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PulseGuard Messaging Platform v4 FINAL</w:t>
      </w:r>
    </w:p>
    <w:p>
      <w:pPr>
        <w:pStyle w:val="Heading1"/>
      </w:pPr>
      <w:r>
        <w:t xml:space="preserve">Executive Summary</w:t>
      </w:r>
    </w:p>
    <w:p>
      <w:r>
        <w:t xml:space="preserve">This document carries internal edits made after the client approval on version 4. It preserves the approved value narrative but incorporates additional language requested by the sales team during a later internal working session. It has not been sent back to the client for a second approval.</w:t>
      </w:r>
    </w:p>
    <w:p>
      <w:pPr>
        <w:pStyle w:val="Heading1"/>
      </w:pPr>
      <w:r>
        <w:t xml:space="preserve">Positioning Statement</w:t>
      </w:r>
    </w:p>
    <w:p>
      <w:r>
        <w:t xml:space="preserve">PulseGuard will pursue a value positioning strategy anchored in outcomes per dollar. The device competes on the clinical and economic return it delivers rather than on prestige, and remains the most defensible investment for budget-conscious cardiology programs.</w:t>
      </w:r>
    </w:p>
    <w:p>
      <w:pPr>
        <w:pStyle w:val="Heading1"/>
      </w:pPr>
      <w:r>
        <w:t xml:space="preserve">Key Messages</w:t>
      </w:r>
    </w:p>
    <w:p>
      <w:r>
        <w:t xml:space="preserve">First, PulseGuard delivers measurable outcomes per dollar. Second, PulseGuard commands a premium price point that reflects best-in-class diagnostic accuracy. Third, procurement teams can justify the investment on both economic and clinical grounds. This revision reintroduces a premium claim that the sales team felt was needed for enterprise conversations.</w:t>
      </w:r>
    </w:p>
    <w:p>
      <w:pPr>
        <w:pStyle w:val="Heading1"/>
      </w:pPr>
      <w:r>
        <w:t xml:space="preserve">Proof Points</w:t>
      </w:r>
    </w:p>
    <w:p>
      <w:r>
        <w:t xml:space="preserve">PulseGuard reports a 98.6 percent arrhythmia detection rate in internal bench testing. Battery life exceeds fourteen days on a single charge. Independent modeling shows a lower cost per monitored patient day than the two leading competitors. The proof points are unchanged from the approved version.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PulseGuard Messaging Platform v4 FINAL</dc:title>
  <dc:creator>Agency Builder</dc:creator>
  <cp:lastModifiedBy>Un-named</cp:lastModifiedBy>
  <cp:revision>1</cp:revision>
  <dcterms:created xsi:type="dcterms:W3CDTF">2026-07-21T07:41:17.489Z</dcterms:created>
  <dcterms:modified xsi:type="dcterms:W3CDTF">2026-07-21T07:41:17.489Z</dcterms:modified>
</cp:coreProperties>
</file>

<file path=docProps/custom.xml><?xml version="1.0" encoding="utf-8"?>
<Properties xmlns="http://schemas.openxmlformats.org/officeDocument/2006/custom-properties" xmlns:vt="http://schemas.openxmlformats.org/officeDocument/2006/docPropsVTypes"/>
</file>