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Review II — Results Section</w:t>
      </w:r>
    </w:p>
    <w:p>
      <w:pPr>
        <w:jc w:val="center"/>
      </w:pPr>
      <w:r>
        <w:rPr>
          <w:i/>
        </w:rPr>
        <w:t>Hybrid Adaptive Color Correction, CLAHE, and Dehazing Framework for Underwater Image Restoration and Quality Enhancement — VIT, BCSE403L Digital Image Processing, Fall 2026-2027</w:t>
      </w:r>
    </w:p>
    <w:p>
      <w:r>
        <w:t>Evaluated on all 890 paired images of the UIEB raw-890 / reference-890 dataset. Section numbers below (1-6) are relative to this results section — renumber to fit the existing Review I document structure.</w:t>
      </w:r>
    </w:p>
    <w:p>
      <w:pPr>
        <w:pStyle w:val="Heading2"/>
      </w:pPr>
      <w:r>
        <w:rPr>
          <w:b/>
        </w:rPr>
        <w:t>1. Overall Comparison — All Methods, All Metrics</w:t>
      </w:r>
    </w:p>
    <w:p>
      <w:r>
        <w:t>Mean ± standard deviation across all 890 UIEB raw/reference-890 image pairs. Significance markers on the proposed hybrid row denote a paired Wilcoxon signed-rank test against that baseline (*** p&lt;0.001, ** p&lt;0.01, * p&lt;0.05, ns = not significant).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Method</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w:t>
            </w:r>
          </w:p>
        </w:tc>
        <w:tc>
          <w:tcPr>
            <w:tcW w:type="dxa" w:w="1440"/>
          </w:tcPr>
          <w:p>
            <w:r>
              <w:rPr>
                <w:sz w:val="18"/>
              </w:rPr>
              <w:t>SSIM</w:t>
            </w:r>
          </w:p>
        </w:tc>
      </w:tr>
      <w:tr>
        <w:tc>
          <w:tcPr>
            <w:tcW w:type="dxa" w:w="1440"/>
          </w:tcPr>
          <w:p>
            <w:r>
              <w:rPr>
                <w:sz w:val="18"/>
              </w:rPr>
              <w:t>Conventional HE (baseline)</w:t>
            </w:r>
          </w:p>
        </w:tc>
        <w:tc>
          <w:tcPr>
            <w:tcW w:type="dxa" w:w="1440"/>
          </w:tcPr>
          <w:p>
            <w:r>
              <w:rPr>
                <w:sz w:val="18"/>
              </w:rPr>
              <w:t>7.846 ± 0.165</w:t>
            </w:r>
          </w:p>
        </w:tc>
        <w:tc>
          <w:tcPr>
            <w:tcW w:type="dxa" w:w="1440"/>
          </w:tcPr>
          <w:p>
            <w:r>
              <w:rPr>
                <w:sz w:val="18"/>
              </w:rPr>
              <w:t>78.158 ± 3.286</w:t>
            </w:r>
          </w:p>
        </w:tc>
        <w:tc>
          <w:tcPr>
            <w:tcW w:type="dxa" w:w="1440"/>
          </w:tcPr>
          <w:p>
            <w:r>
              <w:rPr>
                <w:sz w:val="18"/>
              </w:rPr>
              <w:t>2.530 ± 0.491</w:t>
            </w:r>
          </w:p>
        </w:tc>
        <w:tc>
          <w:tcPr>
            <w:tcW w:type="dxa" w:w="1440"/>
          </w:tcPr>
          <w:p>
            <w:r>
              <w:rPr>
                <w:sz w:val="18"/>
              </w:rPr>
              <w:t>16.473 ± 3.272</w:t>
            </w:r>
          </w:p>
        </w:tc>
        <w:tc>
          <w:tcPr>
            <w:tcW w:type="dxa" w:w="1440"/>
          </w:tcPr>
          <w:p>
            <w:r>
              <w:rPr>
                <w:sz w:val="18"/>
              </w:rPr>
              <w:t>0.785 ± 0.119</w:t>
            </w:r>
          </w:p>
        </w:tc>
      </w:tr>
      <w:tr>
        <w:tc>
          <w:tcPr>
            <w:tcW w:type="dxa" w:w="1440"/>
          </w:tcPr>
          <w:p>
            <w:r>
              <w:rPr>
                <w:sz w:val="18"/>
              </w:rPr>
              <w:t>CLAHE-only (baseline)</w:t>
            </w:r>
          </w:p>
        </w:tc>
        <w:tc>
          <w:tcPr>
            <w:tcW w:type="dxa" w:w="1440"/>
          </w:tcPr>
          <w:p>
            <w:r>
              <w:rPr>
                <w:sz w:val="18"/>
              </w:rPr>
              <w:t>7.309 ± 0.422</w:t>
            </w:r>
          </w:p>
        </w:tc>
        <w:tc>
          <w:tcPr>
            <w:tcW w:type="dxa" w:w="1440"/>
          </w:tcPr>
          <w:p>
            <w:r>
              <w:rPr>
                <w:sz w:val="18"/>
              </w:rPr>
              <w:t>59.448 ± 10.987</w:t>
            </w:r>
          </w:p>
        </w:tc>
        <w:tc>
          <w:tcPr>
            <w:tcW w:type="dxa" w:w="1440"/>
          </w:tcPr>
          <w:p>
            <w:r>
              <w:rPr>
                <w:sz w:val="18"/>
              </w:rPr>
              <w:t>2.180 ± 0.545</w:t>
            </w:r>
          </w:p>
        </w:tc>
        <w:tc>
          <w:tcPr>
            <w:tcW w:type="dxa" w:w="1440"/>
          </w:tcPr>
          <w:p>
            <w:r>
              <w:rPr>
                <w:sz w:val="18"/>
              </w:rPr>
              <w:t>18.228 ± 3.061</w:t>
            </w:r>
          </w:p>
        </w:tc>
        <w:tc>
          <w:tcPr>
            <w:tcW w:type="dxa" w:w="1440"/>
          </w:tcPr>
          <w:p>
            <w:r>
              <w:rPr>
                <w:sz w:val="18"/>
              </w:rPr>
              <w:t>0.838 ± 0.080</w:t>
            </w:r>
          </w:p>
        </w:tc>
      </w:tr>
      <w:tr>
        <w:tc>
          <w:tcPr>
            <w:tcW w:type="dxa" w:w="1440"/>
          </w:tcPr>
          <w:p>
            <w:r>
              <w:rPr>
                <w:sz w:val="18"/>
              </w:rPr>
              <w:t>Hybrid — neither module</w:t>
            </w:r>
          </w:p>
        </w:tc>
        <w:tc>
          <w:tcPr>
            <w:tcW w:type="dxa" w:w="1440"/>
          </w:tcPr>
          <w:p>
            <w:r>
              <w:rPr>
                <w:sz w:val="18"/>
              </w:rPr>
              <w:t>7.155 ± 0.495</w:t>
            </w:r>
          </w:p>
        </w:tc>
        <w:tc>
          <w:tcPr>
            <w:tcW w:type="dxa" w:w="1440"/>
          </w:tcPr>
          <w:p>
            <w:r>
              <w:rPr>
                <w:sz w:val="18"/>
              </w:rPr>
              <w:t>59.467 ± 9.514</w:t>
            </w:r>
          </w:p>
        </w:tc>
        <w:tc>
          <w:tcPr>
            <w:tcW w:type="dxa" w:w="1440"/>
          </w:tcPr>
          <w:p>
            <w:r>
              <w:rPr>
                <w:sz w:val="18"/>
              </w:rPr>
              <w:t>2.553 ± 0.535</w:t>
            </w:r>
          </w:p>
        </w:tc>
        <w:tc>
          <w:tcPr>
            <w:tcW w:type="dxa" w:w="1440"/>
          </w:tcPr>
          <w:p>
            <w:r>
              <w:rPr>
                <w:sz w:val="18"/>
              </w:rPr>
              <w:t>15.234 ± 3.260</w:t>
            </w:r>
          </w:p>
        </w:tc>
        <w:tc>
          <w:tcPr>
            <w:tcW w:type="dxa" w:w="1440"/>
          </w:tcPr>
          <w:p>
            <w:r>
              <w:rPr>
                <w:sz w:val="18"/>
              </w:rPr>
              <w:t>0.776 ± 0.131</w:t>
            </w:r>
          </w:p>
        </w:tc>
      </w:tr>
      <w:tr>
        <w:tc>
          <w:tcPr>
            <w:tcW w:type="dxa" w:w="1440"/>
          </w:tcPr>
          <w:p>
            <w:r>
              <w:rPr>
                <w:sz w:val="18"/>
              </w:rPr>
              <w:t>Hybrid — fusion-optimizer only</w:t>
            </w:r>
          </w:p>
        </w:tc>
        <w:tc>
          <w:tcPr>
            <w:tcW w:type="dxa" w:w="1440"/>
          </w:tcPr>
          <w:p>
            <w:r>
              <w:rPr>
                <w:sz w:val="18"/>
              </w:rPr>
              <w:t>7.252 ± 0.574</w:t>
            </w:r>
          </w:p>
        </w:tc>
        <w:tc>
          <w:tcPr>
            <w:tcW w:type="dxa" w:w="1440"/>
          </w:tcPr>
          <w:p>
            <w:r>
              <w:rPr>
                <w:sz w:val="18"/>
              </w:rPr>
              <w:t>62.520 ± 8.910</w:t>
            </w:r>
          </w:p>
        </w:tc>
        <w:tc>
          <w:tcPr>
            <w:tcW w:type="dxa" w:w="1440"/>
          </w:tcPr>
          <w:p>
            <w:r>
              <w:rPr>
                <w:sz w:val="18"/>
              </w:rPr>
              <w:t>2.545 ± 0.532</w:t>
            </w:r>
          </w:p>
        </w:tc>
        <w:tc>
          <w:tcPr>
            <w:tcW w:type="dxa" w:w="1440"/>
          </w:tcPr>
          <w:p>
            <w:r>
              <w:rPr>
                <w:sz w:val="18"/>
              </w:rPr>
              <w:t>15.722 ± 3.437</w:t>
            </w:r>
          </w:p>
        </w:tc>
        <w:tc>
          <w:tcPr>
            <w:tcW w:type="dxa" w:w="1440"/>
          </w:tcPr>
          <w:p>
            <w:r>
              <w:rPr>
                <w:sz w:val="18"/>
              </w:rPr>
              <w:t>0.770 ± 0.141</w:t>
            </w:r>
          </w:p>
        </w:tc>
      </w:tr>
      <w:tr>
        <w:tc>
          <w:tcPr>
            <w:tcW w:type="dxa" w:w="1440"/>
          </w:tcPr>
          <w:p>
            <w:r>
              <w:rPr>
                <w:sz w:val="18"/>
              </w:rPr>
              <w:t>Hybrid — routing only</w:t>
            </w:r>
          </w:p>
        </w:tc>
        <w:tc>
          <w:tcPr>
            <w:tcW w:type="dxa" w:w="1440"/>
          </w:tcPr>
          <w:p>
            <w:r>
              <w:rPr>
                <w:sz w:val="18"/>
              </w:rPr>
              <w:t>7.144 ± 0.413</w:t>
            </w:r>
          </w:p>
        </w:tc>
        <w:tc>
          <w:tcPr>
            <w:tcW w:type="dxa" w:w="1440"/>
          </w:tcPr>
          <w:p>
            <w:r>
              <w:rPr>
                <w:sz w:val="18"/>
              </w:rPr>
              <w:t>59.583 ± 9.662</w:t>
            </w:r>
          </w:p>
        </w:tc>
        <w:tc>
          <w:tcPr>
            <w:tcW w:type="dxa" w:w="1440"/>
          </w:tcPr>
          <w:p>
            <w:r>
              <w:rPr>
                <w:sz w:val="18"/>
              </w:rPr>
              <w:t>2.599 ± 0.540</w:t>
            </w:r>
          </w:p>
        </w:tc>
        <w:tc>
          <w:tcPr>
            <w:tcW w:type="dxa" w:w="1440"/>
          </w:tcPr>
          <w:p>
            <w:r>
              <w:rPr>
                <w:sz w:val="18"/>
              </w:rPr>
              <w:t>14.678 ± 3.250</w:t>
            </w:r>
          </w:p>
        </w:tc>
        <w:tc>
          <w:tcPr>
            <w:tcW w:type="dxa" w:w="1440"/>
          </w:tcPr>
          <w:p>
            <w:r>
              <w:rPr>
                <w:sz w:val="18"/>
              </w:rPr>
              <w:t>0.761 ± 0.124</w:t>
            </w:r>
          </w:p>
        </w:tc>
      </w:tr>
      <w:tr>
        <w:tc>
          <w:tcPr>
            <w:tcW w:type="dxa" w:w="1440"/>
          </w:tcPr>
          <w:p>
            <w:r>
              <w:rPr>
                <w:sz w:val="18"/>
              </w:rPr>
              <w:t>Hybrid — full (proposed)</w:t>
            </w:r>
          </w:p>
        </w:tc>
        <w:tc>
          <w:tcPr>
            <w:tcW w:type="dxa" w:w="1440"/>
          </w:tcPr>
          <w:p>
            <w:r>
              <w:rPr>
                <w:sz w:val="18"/>
              </w:rPr>
              <w:t>7.186 ± 0.593</w:t>
            </w:r>
          </w:p>
        </w:tc>
        <w:tc>
          <w:tcPr>
            <w:tcW w:type="dxa" w:w="1440"/>
          </w:tcPr>
          <w:p>
            <w:r>
              <w:rPr>
                <w:sz w:val="18"/>
              </w:rPr>
              <w:t>63.023 ± 8.968</w:t>
            </w:r>
          </w:p>
        </w:tc>
        <w:tc>
          <w:tcPr>
            <w:tcW w:type="dxa" w:w="1440"/>
          </w:tcPr>
          <w:p>
            <w:r>
              <w:rPr>
                <w:sz w:val="18"/>
              </w:rPr>
              <w:t>2.592 ± 0.541</w:t>
            </w:r>
          </w:p>
        </w:tc>
        <w:tc>
          <w:tcPr>
            <w:tcW w:type="dxa" w:w="1440"/>
          </w:tcPr>
          <w:p>
            <w:r>
              <w:rPr>
                <w:sz w:val="18"/>
              </w:rPr>
              <w:t>15.047 ± 3.672</w:t>
            </w:r>
          </w:p>
        </w:tc>
        <w:tc>
          <w:tcPr>
            <w:tcW w:type="dxa" w:w="1440"/>
          </w:tcPr>
          <w:p>
            <w:r>
              <w:rPr>
                <w:sz w:val="18"/>
              </w:rPr>
              <w:t>0.737 ± 0.166</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Hybrid (full) vs. baseline</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w:t>
            </w:r>
          </w:p>
        </w:tc>
        <w:tc>
          <w:tcPr>
            <w:tcW w:type="dxa" w:w="1440"/>
          </w:tcPr>
          <w:p>
            <w:r>
              <w:rPr>
                <w:sz w:val="18"/>
              </w:rPr>
              <w:t>SSIM</w:t>
            </w:r>
          </w:p>
        </w:tc>
      </w:tr>
      <w:tr>
        <w:tc>
          <w:tcPr>
            <w:tcW w:type="dxa" w:w="1440"/>
          </w:tcPr>
          <w:p>
            <w:r>
              <w:rPr>
                <w:sz w:val="18"/>
              </w:rPr>
              <w:t>Conventional HE (baseline)</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CLAHE-only (baseline)</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Hybrid — neither module</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ns</w:t>
            </w:r>
          </w:p>
        </w:tc>
        <w:tc>
          <w:tcPr>
            <w:tcW w:type="dxa" w:w="1440"/>
          </w:tcPr>
          <w:p>
            <w:r>
              <w:rPr>
                <w:sz w:val="18"/>
              </w:rPr>
              <w:t>***</w:t>
            </w:r>
          </w:p>
        </w:tc>
      </w:tr>
      <w:tr>
        <w:tc>
          <w:tcPr>
            <w:tcW w:type="dxa" w:w="1440"/>
          </w:tcPr>
          <w:p>
            <w:r>
              <w:rPr>
                <w:sz w:val="18"/>
              </w:rPr>
              <w:t>Hybrid — fusion-optimizer only</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Hybrid — routing only</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ns</w:t>
            </w:r>
          </w:p>
        </w:tc>
      </w:tr>
    </w:tbl>
    <w:p>
      <w:r>
        <w:br w:type="page"/>
      </w:r>
    </w:p>
    <w:p>
      <w:pPr>
        <w:pStyle w:val="Heading2"/>
      </w:pPr>
      <w:r>
        <w:rPr>
          <w:b/>
        </w:rPr>
        <w:t>2. Where the Proposed Method Loses, and Why</w:t>
      </w:r>
    </w:p>
    <w:p>
      <w:r>
        <w:t>The proposed hybrid does not win on every metric, and that is expected rather than a failure of the method:</w:t>
      </w:r>
    </w:p>
    <w:p>
      <w:pPr>
        <w:pStyle w:val="ListBullet"/>
      </w:pPr>
      <w:r>
        <w:t>PSNR / SSIM vs. both baselines. Hybrid PSNR = 15.05 vs. CLAHE-only = 18.23 and conventional HE = 16.47; SSIM = 0.737 vs. 0.838 and 0.785 respectively. These are full-reference metrics measured against the UIEB reference-890 ground truth, which was itself produced by a relatively conservative, single-pass correction. The hybrid pipeline's DCP dehazing and quality-guided fusion push contrast and colour further than the reference does, which increases pixel-level deviation from that specific ground truth even when the output looks visually more corrected. This is a known tension in underwater restoration literature: PSNR/SSIM reward reproducing the reference exactly, not maximizing perceptual quality.</w:t>
      </w:r>
    </w:p>
    <w:p>
      <w:pPr>
        <w:pStyle w:val="ListBullet"/>
      </w:pPr>
      <w:r>
        <w:t>UCIQE / entropy vs. conventional HE. Conventional HE scores UCIQE = 78.16 and entropy = 7.85, both above the hybrid's 63.02 and 7.19. Global histogram equalisation aggressively spreads the intensity histogram to fill the full dynamic range on every channel independently, which inflates chroma variance and information entropy — the exact quantities UCIQE and entropy reward — without regard for whether the result is a faithful or usable image. This is oversaturation/oversharpening being scored as 'quality' by no-reference metrics that were not designed to penalise it. It is why the report evaluates UCIQE/entropy alongside UIQM, PSNR/SSIM, and the downstream ORB/edge-density validation (Section 5) rather than in isolation — on the metrics that account for structure preservation and downstream usability, conventional HE does not hold the same advantage.</w:t>
      </w:r>
    </w:p>
    <w:p>
      <w:r>
        <w:br w:type="page"/>
      </w:r>
    </w:p>
    <w:p>
      <w:pPr>
        <w:pStyle w:val="Heading2"/>
      </w:pPr>
      <w:r>
        <w:rPr>
          <w:b/>
        </w:rPr>
        <w:t>3. Water-Type Routing — Evidence for Module 5</w:t>
      </w:r>
    </w:p>
    <w:p>
      <w:r>
        <w:t>Module 5 routes per-stage parameters (gamma strength, CLAHE clip scale, DCP omega) by a cheap water-type classification. To isolate its effect specifically, this compares the hybrid pipeline WITH routing (fusion-optimizer held on in both arms) against the identical pipeline with routing disabled, per image, grouped by the water type each image was assigned.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Water type</w:t>
            </w:r>
          </w:p>
        </w:tc>
        <w:tc>
          <w:tcPr>
            <w:tcW w:type="dxa" w:w="1728"/>
          </w:tcPr>
          <w:p>
            <w:r>
              <w:rPr>
                <w:sz w:val="18"/>
              </w:rPr>
              <w:t>n images</w:t>
            </w:r>
          </w:p>
        </w:tc>
        <w:tc>
          <w:tcPr>
            <w:tcW w:type="dxa" w:w="1728"/>
          </w:tcPr>
          <w:p>
            <w:r>
              <w:rPr>
                <w:sz w:val="18"/>
              </w:rPr>
              <w:t>UCIQE (routing ON)</w:t>
            </w:r>
          </w:p>
        </w:tc>
        <w:tc>
          <w:tcPr>
            <w:tcW w:type="dxa" w:w="1728"/>
          </w:tcPr>
          <w:p>
            <w:r>
              <w:rPr>
                <w:sz w:val="18"/>
              </w:rPr>
              <w:t>UCIQE (routing OFF)</w:t>
            </w:r>
          </w:p>
        </w:tc>
        <w:tc>
          <w:tcPr>
            <w:tcW w:type="dxa" w:w="1728"/>
          </w:tcPr>
          <w:p>
            <w:r>
              <w:rPr>
                <w:sz w:val="18"/>
              </w:rPr>
              <w:t>Mean gain from routing</w:t>
            </w:r>
          </w:p>
        </w:tc>
      </w:tr>
      <w:tr>
        <w:tc>
          <w:tcPr>
            <w:tcW w:type="dxa" w:w="1728"/>
          </w:tcPr>
          <w:p>
            <w:r>
              <w:rPr>
                <w:sz w:val="18"/>
              </w:rPr>
              <w:t>clear_blue</w:t>
            </w:r>
          </w:p>
        </w:tc>
        <w:tc>
          <w:tcPr>
            <w:tcW w:type="dxa" w:w="1728"/>
          </w:tcPr>
          <w:p>
            <w:r>
              <w:rPr>
                <w:sz w:val="18"/>
              </w:rPr>
              <w:t>639</w:t>
            </w:r>
          </w:p>
        </w:tc>
        <w:tc>
          <w:tcPr>
            <w:tcW w:type="dxa" w:w="1728"/>
          </w:tcPr>
          <w:p>
            <w:r>
              <w:rPr>
                <w:sz w:val="18"/>
              </w:rPr>
              <w:t>64.04</w:t>
            </w:r>
          </w:p>
        </w:tc>
        <w:tc>
          <w:tcPr>
            <w:tcW w:type="dxa" w:w="1728"/>
          </w:tcPr>
          <w:p>
            <w:r>
              <w:rPr>
                <w:sz w:val="18"/>
              </w:rPr>
              <w:t>63.89</w:t>
            </w:r>
          </w:p>
        </w:tc>
        <w:tc>
          <w:tcPr>
            <w:tcW w:type="dxa" w:w="1728"/>
          </w:tcPr>
          <w:p>
            <w:r>
              <w:rPr>
                <w:sz w:val="18"/>
              </w:rPr>
              <w:t>+0.14 ± 1.89</w:t>
            </w:r>
          </w:p>
        </w:tc>
      </w:tr>
      <w:tr>
        <w:tc>
          <w:tcPr>
            <w:tcW w:type="dxa" w:w="1728"/>
          </w:tcPr>
          <w:p>
            <w:r>
              <w:rPr>
                <w:sz w:val="18"/>
              </w:rPr>
              <w:t>deep_lowlight</w:t>
            </w:r>
          </w:p>
        </w:tc>
        <w:tc>
          <w:tcPr>
            <w:tcW w:type="dxa" w:w="1728"/>
          </w:tcPr>
          <w:p>
            <w:r>
              <w:rPr>
                <w:sz w:val="18"/>
              </w:rPr>
              <w:t>96</w:t>
            </w:r>
          </w:p>
        </w:tc>
        <w:tc>
          <w:tcPr>
            <w:tcW w:type="dxa" w:w="1728"/>
          </w:tcPr>
          <w:p>
            <w:r>
              <w:rPr>
                <w:sz w:val="18"/>
              </w:rPr>
              <w:t>65.62</w:t>
            </w:r>
          </w:p>
        </w:tc>
        <w:tc>
          <w:tcPr>
            <w:tcW w:type="dxa" w:w="1728"/>
          </w:tcPr>
          <w:p>
            <w:r>
              <w:rPr>
                <w:sz w:val="18"/>
              </w:rPr>
              <w:t>63.48</w:t>
            </w:r>
          </w:p>
        </w:tc>
        <w:tc>
          <w:tcPr>
            <w:tcW w:type="dxa" w:w="1728"/>
          </w:tcPr>
          <w:p>
            <w:r>
              <w:rPr>
                <w:sz w:val="18"/>
              </w:rPr>
              <w:t>+2.14 ± 5.25</w:t>
            </w:r>
          </w:p>
        </w:tc>
      </w:tr>
      <w:tr>
        <w:tc>
          <w:tcPr>
            <w:tcW w:type="dxa" w:w="1728"/>
          </w:tcPr>
          <w:p>
            <w:r>
              <w:rPr>
                <w:sz w:val="18"/>
              </w:rPr>
              <w:t>green_turbid</w:t>
            </w:r>
          </w:p>
        </w:tc>
        <w:tc>
          <w:tcPr>
            <w:tcW w:type="dxa" w:w="1728"/>
          </w:tcPr>
          <w:p>
            <w:r>
              <w:rPr>
                <w:sz w:val="18"/>
              </w:rPr>
              <w:t>105</w:t>
            </w:r>
          </w:p>
        </w:tc>
        <w:tc>
          <w:tcPr>
            <w:tcW w:type="dxa" w:w="1728"/>
          </w:tcPr>
          <w:p>
            <w:r>
              <w:rPr>
                <w:sz w:val="18"/>
              </w:rPr>
              <w:t>57.65</w:t>
            </w:r>
          </w:p>
        </w:tc>
        <w:tc>
          <w:tcPr>
            <w:tcW w:type="dxa" w:w="1728"/>
          </w:tcPr>
          <w:p>
            <w:r>
              <w:rPr>
                <w:sz w:val="18"/>
              </w:rPr>
              <w:t>56.57</w:t>
            </w:r>
          </w:p>
        </w:tc>
        <w:tc>
          <w:tcPr>
            <w:tcW w:type="dxa" w:w="1728"/>
          </w:tcPr>
          <w:p>
            <w:r>
              <w:rPr>
                <w:sz w:val="18"/>
              </w:rPr>
              <w:t>+1.08 ± 1.07</w:t>
            </w:r>
          </w:p>
        </w:tc>
      </w:tr>
      <w:tr>
        <w:tc>
          <w:tcPr>
            <w:tcW w:type="dxa" w:w="1728"/>
          </w:tcPr>
          <w:p>
            <w:r>
              <w:rPr>
                <w:sz w:val="18"/>
              </w:rPr>
              <w:t>hazy_bright</w:t>
            </w:r>
          </w:p>
        </w:tc>
        <w:tc>
          <w:tcPr>
            <w:tcW w:type="dxa" w:w="1728"/>
          </w:tcPr>
          <w:p>
            <w:r>
              <w:rPr>
                <w:sz w:val="18"/>
              </w:rPr>
              <w:t>50</w:t>
            </w:r>
          </w:p>
        </w:tc>
        <w:tc>
          <w:tcPr>
            <w:tcW w:type="dxa" w:w="1728"/>
          </w:tcPr>
          <w:p>
            <w:r>
              <w:rPr>
                <w:sz w:val="18"/>
              </w:rPr>
              <w:t>56.34</w:t>
            </w:r>
          </w:p>
        </w:tc>
        <w:tc>
          <w:tcPr>
            <w:tcW w:type="dxa" w:w="1728"/>
          </w:tcPr>
          <w:p>
            <w:r>
              <w:rPr>
                <w:sz w:val="18"/>
              </w:rPr>
              <w:t>55.60</w:t>
            </w:r>
          </w:p>
        </w:tc>
        <w:tc>
          <w:tcPr>
            <w:tcW w:type="dxa" w:w="1728"/>
          </w:tcPr>
          <w:p>
            <w:r>
              <w:rPr>
                <w:sz w:val="18"/>
              </w:rPr>
              <w:t>+0.74 ± 3.41</w:t>
            </w:r>
          </w:p>
        </w:tc>
      </w:tr>
    </w:tbl>
    <w:p>
      <w:r>
        <w:drawing>
          <wp:inline xmlns:a="http://schemas.openxmlformats.org/drawingml/2006/main" xmlns:pic="http://schemas.openxmlformats.org/drawingml/2006/picture">
            <wp:extent cx="5029200" cy="2933700"/>
            <wp:docPr id="1" name="Picture 1"/>
            <wp:cNvGraphicFramePr>
              <a:graphicFrameLocks noChangeAspect="1"/>
            </wp:cNvGraphicFramePr>
            <a:graphic>
              <a:graphicData uri="http://schemas.openxmlformats.org/drawingml/2006/picture">
                <pic:pic>
                  <pic:nvPicPr>
                    <pic:cNvPr id="0" name="_watertype_routing_gain.png"/>
                    <pic:cNvPicPr/>
                  </pic:nvPicPr>
                  <pic:blipFill>
                    <a:blip r:embed="rId9"/>
                    <a:stretch>
                      <a:fillRect/>
                    </a:stretch>
                  </pic:blipFill>
                  <pic:spPr>
                    <a:xfrm>
                      <a:off x="0" y="0"/>
                      <a:ext cx="5029200" cy="2933700"/>
                    </a:xfrm>
                    <a:prstGeom prst="rect"/>
                  </pic:spPr>
                </pic:pic>
              </a:graphicData>
            </a:graphic>
          </wp:inline>
        </w:drawing>
      </w:r>
    </w:p>
    <w:p>
      <w:r>
        <w:br w:type="page"/>
      </w:r>
    </w:p>
    <w:p>
      <w:pPr>
        <w:pStyle w:val="Heading2"/>
      </w:pPr>
      <w:r>
        <w:rPr>
          <w:b/>
        </w:rPr>
        <w:t>4. Ablation Table — Isolating Module 5 and Module 7</w:t>
      </w:r>
    </w:p>
    <w:p>
      <w:r>
        <w:t>Mean ± std per metric across all 890 images for each of the 4 hybrid-pipeline configurations plus the 2 external baselines. Row 3 (neither novel module) is the control; subtracting it from rows 4-6 isolates each novel module's individual and combined contribution.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Configuration</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w:t>
            </w:r>
          </w:p>
        </w:tc>
        <w:tc>
          <w:tcPr>
            <w:tcW w:type="dxa" w:w="1440"/>
          </w:tcPr>
          <w:p>
            <w:r>
              <w:rPr>
                <w:sz w:val="18"/>
              </w:rPr>
              <w:t>SSIM</w:t>
            </w:r>
          </w:p>
        </w:tc>
      </w:tr>
      <w:tr>
        <w:tc>
          <w:tcPr>
            <w:tcW w:type="dxa" w:w="1440"/>
          </w:tcPr>
          <w:p>
            <w:r>
              <w:rPr>
                <w:sz w:val="18"/>
              </w:rPr>
              <w:t>1. Conventional HE baseline</w:t>
            </w:r>
          </w:p>
        </w:tc>
        <w:tc>
          <w:tcPr>
            <w:tcW w:type="dxa" w:w="1440"/>
          </w:tcPr>
          <w:p>
            <w:r>
              <w:rPr>
                <w:sz w:val="18"/>
              </w:rPr>
              <w:t>7.846 ± 0.165</w:t>
            </w:r>
          </w:p>
        </w:tc>
        <w:tc>
          <w:tcPr>
            <w:tcW w:type="dxa" w:w="1440"/>
          </w:tcPr>
          <w:p>
            <w:r>
              <w:rPr>
                <w:sz w:val="18"/>
              </w:rPr>
              <w:t>78.158 ± 3.286</w:t>
            </w:r>
          </w:p>
        </w:tc>
        <w:tc>
          <w:tcPr>
            <w:tcW w:type="dxa" w:w="1440"/>
          </w:tcPr>
          <w:p>
            <w:r>
              <w:rPr>
                <w:sz w:val="18"/>
              </w:rPr>
              <w:t>2.530 ± 0.491</w:t>
            </w:r>
          </w:p>
        </w:tc>
        <w:tc>
          <w:tcPr>
            <w:tcW w:type="dxa" w:w="1440"/>
          </w:tcPr>
          <w:p>
            <w:r>
              <w:rPr>
                <w:sz w:val="18"/>
              </w:rPr>
              <w:t>16.473 ± 3.272</w:t>
            </w:r>
          </w:p>
        </w:tc>
        <w:tc>
          <w:tcPr>
            <w:tcW w:type="dxa" w:w="1440"/>
          </w:tcPr>
          <w:p>
            <w:r>
              <w:rPr>
                <w:sz w:val="18"/>
              </w:rPr>
              <w:t>0.785 ± 0.119</w:t>
            </w:r>
          </w:p>
        </w:tc>
      </w:tr>
      <w:tr>
        <w:tc>
          <w:tcPr>
            <w:tcW w:type="dxa" w:w="1440"/>
          </w:tcPr>
          <w:p>
            <w:r>
              <w:rPr>
                <w:sz w:val="18"/>
              </w:rPr>
              <w:t>2. CLAHE-only baseline</w:t>
            </w:r>
          </w:p>
        </w:tc>
        <w:tc>
          <w:tcPr>
            <w:tcW w:type="dxa" w:w="1440"/>
          </w:tcPr>
          <w:p>
            <w:r>
              <w:rPr>
                <w:sz w:val="18"/>
              </w:rPr>
              <w:t>7.309 ± 0.422</w:t>
            </w:r>
          </w:p>
        </w:tc>
        <w:tc>
          <w:tcPr>
            <w:tcW w:type="dxa" w:w="1440"/>
          </w:tcPr>
          <w:p>
            <w:r>
              <w:rPr>
                <w:sz w:val="18"/>
              </w:rPr>
              <w:t>59.448 ± 10.987</w:t>
            </w:r>
          </w:p>
        </w:tc>
        <w:tc>
          <w:tcPr>
            <w:tcW w:type="dxa" w:w="1440"/>
          </w:tcPr>
          <w:p>
            <w:r>
              <w:rPr>
                <w:sz w:val="18"/>
              </w:rPr>
              <w:t>2.180 ± 0.545</w:t>
            </w:r>
          </w:p>
        </w:tc>
        <w:tc>
          <w:tcPr>
            <w:tcW w:type="dxa" w:w="1440"/>
          </w:tcPr>
          <w:p>
            <w:r>
              <w:rPr>
                <w:sz w:val="18"/>
              </w:rPr>
              <w:t>18.228 ± 3.061</w:t>
            </w:r>
          </w:p>
        </w:tc>
        <w:tc>
          <w:tcPr>
            <w:tcW w:type="dxa" w:w="1440"/>
          </w:tcPr>
          <w:p>
            <w:r>
              <w:rPr>
                <w:sz w:val="18"/>
              </w:rPr>
              <w:t>0.838 ± 0.080</w:t>
            </w:r>
          </w:p>
        </w:tc>
      </w:tr>
      <w:tr>
        <w:tc>
          <w:tcPr>
            <w:tcW w:type="dxa" w:w="1440"/>
          </w:tcPr>
          <w:p>
            <w:r>
              <w:rPr>
                <w:sz w:val="18"/>
              </w:rPr>
              <w:t>3. Hybrid - no routing, fixed alpha=0.5 (neither novel module)</w:t>
            </w:r>
          </w:p>
        </w:tc>
        <w:tc>
          <w:tcPr>
            <w:tcW w:type="dxa" w:w="1440"/>
          </w:tcPr>
          <w:p>
            <w:r>
              <w:rPr>
                <w:sz w:val="18"/>
              </w:rPr>
              <w:t>7.155 ± 0.495</w:t>
            </w:r>
          </w:p>
        </w:tc>
        <w:tc>
          <w:tcPr>
            <w:tcW w:type="dxa" w:w="1440"/>
          </w:tcPr>
          <w:p>
            <w:r>
              <w:rPr>
                <w:sz w:val="18"/>
              </w:rPr>
              <w:t>59.467 ± 9.514</w:t>
            </w:r>
          </w:p>
        </w:tc>
        <w:tc>
          <w:tcPr>
            <w:tcW w:type="dxa" w:w="1440"/>
          </w:tcPr>
          <w:p>
            <w:r>
              <w:rPr>
                <w:sz w:val="18"/>
              </w:rPr>
              <w:t>2.553 ± 0.535</w:t>
            </w:r>
          </w:p>
        </w:tc>
        <w:tc>
          <w:tcPr>
            <w:tcW w:type="dxa" w:w="1440"/>
          </w:tcPr>
          <w:p>
            <w:r>
              <w:rPr>
                <w:sz w:val="18"/>
              </w:rPr>
              <w:t>15.234 ± 3.260</w:t>
            </w:r>
          </w:p>
        </w:tc>
        <w:tc>
          <w:tcPr>
            <w:tcW w:type="dxa" w:w="1440"/>
          </w:tcPr>
          <w:p>
            <w:r>
              <w:rPr>
                <w:sz w:val="18"/>
              </w:rPr>
              <w:t>0.776 ± 0.131</w:t>
            </w:r>
          </w:p>
        </w:tc>
      </w:tr>
      <w:tr>
        <w:tc>
          <w:tcPr>
            <w:tcW w:type="dxa" w:w="1440"/>
          </w:tcPr>
          <w:p>
            <w:r>
              <w:rPr>
                <w:sz w:val="18"/>
              </w:rPr>
              <w:t>4. Hybrid - no routing, optimized alpha (fusion-optimizer only)</w:t>
            </w:r>
          </w:p>
        </w:tc>
        <w:tc>
          <w:tcPr>
            <w:tcW w:type="dxa" w:w="1440"/>
          </w:tcPr>
          <w:p>
            <w:r>
              <w:rPr>
                <w:sz w:val="18"/>
              </w:rPr>
              <w:t>7.252 ± 0.574</w:t>
            </w:r>
          </w:p>
        </w:tc>
        <w:tc>
          <w:tcPr>
            <w:tcW w:type="dxa" w:w="1440"/>
          </w:tcPr>
          <w:p>
            <w:r>
              <w:rPr>
                <w:sz w:val="18"/>
              </w:rPr>
              <w:t>62.520 ± 8.910</w:t>
            </w:r>
          </w:p>
        </w:tc>
        <w:tc>
          <w:tcPr>
            <w:tcW w:type="dxa" w:w="1440"/>
          </w:tcPr>
          <w:p>
            <w:r>
              <w:rPr>
                <w:sz w:val="18"/>
              </w:rPr>
              <w:t>2.545 ± 0.532</w:t>
            </w:r>
          </w:p>
        </w:tc>
        <w:tc>
          <w:tcPr>
            <w:tcW w:type="dxa" w:w="1440"/>
          </w:tcPr>
          <w:p>
            <w:r>
              <w:rPr>
                <w:sz w:val="18"/>
              </w:rPr>
              <w:t>15.722 ± 3.437</w:t>
            </w:r>
          </w:p>
        </w:tc>
        <w:tc>
          <w:tcPr>
            <w:tcW w:type="dxa" w:w="1440"/>
          </w:tcPr>
          <w:p>
            <w:r>
              <w:rPr>
                <w:sz w:val="18"/>
              </w:rPr>
              <w:t>0.770 ± 0.141</w:t>
            </w:r>
          </w:p>
        </w:tc>
      </w:tr>
      <w:tr>
        <w:tc>
          <w:tcPr>
            <w:tcW w:type="dxa" w:w="1440"/>
          </w:tcPr>
          <w:p>
            <w:r>
              <w:rPr>
                <w:sz w:val="18"/>
              </w:rPr>
              <w:t>5. Hybrid - routing, fixed alpha=0.5 (routing only)</w:t>
            </w:r>
          </w:p>
        </w:tc>
        <w:tc>
          <w:tcPr>
            <w:tcW w:type="dxa" w:w="1440"/>
          </w:tcPr>
          <w:p>
            <w:r>
              <w:rPr>
                <w:sz w:val="18"/>
              </w:rPr>
              <w:t>7.144 ± 0.413</w:t>
            </w:r>
          </w:p>
        </w:tc>
        <w:tc>
          <w:tcPr>
            <w:tcW w:type="dxa" w:w="1440"/>
          </w:tcPr>
          <w:p>
            <w:r>
              <w:rPr>
                <w:sz w:val="18"/>
              </w:rPr>
              <w:t>59.583 ± 9.662</w:t>
            </w:r>
          </w:p>
        </w:tc>
        <w:tc>
          <w:tcPr>
            <w:tcW w:type="dxa" w:w="1440"/>
          </w:tcPr>
          <w:p>
            <w:r>
              <w:rPr>
                <w:sz w:val="18"/>
              </w:rPr>
              <w:t>2.599 ± 0.540</w:t>
            </w:r>
          </w:p>
        </w:tc>
        <w:tc>
          <w:tcPr>
            <w:tcW w:type="dxa" w:w="1440"/>
          </w:tcPr>
          <w:p>
            <w:r>
              <w:rPr>
                <w:sz w:val="18"/>
              </w:rPr>
              <w:t>14.678 ± 3.250</w:t>
            </w:r>
          </w:p>
        </w:tc>
        <w:tc>
          <w:tcPr>
            <w:tcW w:type="dxa" w:w="1440"/>
          </w:tcPr>
          <w:p>
            <w:r>
              <w:rPr>
                <w:sz w:val="18"/>
              </w:rPr>
              <w:t>0.761 ± 0.124</w:t>
            </w:r>
          </w:p>
        </w:tc>
      </w:tr>
      <w:tr>
        <w:tc>
          <w:tcPr>
            <w:tcW w:type="dxa" w:w="1440"/>
          </w:tcPr>
          <w:p>
            <w:r>
              <w:rPr>
                <w:sz w:val="18"/>
              </w:rPr>
              <w:t>6. Hybrid - full (routing + fusion-optimizer)</w:t>
            </w:r>
          </w:p>
        </w:tc>
        <w:tc>
          <w:tcPr>
            <w:tcW w:type="dxa" w:w="1440"/>
          </w:tcPr>
          <w:p>
            <w:r>
              <w:rPr>
                <w:sz w:val="18"/>
              </w:rPr>
              <w:t>7.186 ± 0.593</w:t>
            </w:r>
          </w:p>
        </w:tc>
        <w:tc>
          <w:tcPr>
            <w:tcW w:type="dxa" w:w="1440"/>
          </w:tcPr>
          <w:p>
            <w:r>
              <w:rPr>
                <w:sz w:val="18"/>
              </w:rPr>
              <w:t>63.023 ± 8.968</w:t>
            </w:r>
          </w:p>
        </w:tc>
        <w:tc>
          <w:tcPr>
            <w:tcW w:type="dxa" w:w="1440"/>
          </w:tcPr>
          <w:p>
            <w:r>
              <w:rPr>
                <w:sz w:val="18"/>
              </w:rPr>
              <w:t>2.592 ± 0.541</w:t>
            </w:r>
          </w:p>
        </w:tc>
        <w:tc>
          <w:tcPr>
            <w:tcW w:type="dxa" w:w="1440"/>
          </w:tcPr>
          <w:p>
            <w:r>
              <w:rPr>
                <w:sz w:val="18"/>
              </w:rPr>
              <w:t>15.047 ± 3.672</w:t>
            </w:r>
          </w:p>
        </w:tc>
        <w:tc>
          <w:tcPr>
            <w:tcW w:type="dxa" w:w="1440"/>
          </w:tcPr>
          <w:p>
            <w:r>
              <w:rPr>
                <w:sz w:val="18"/>
              </w:rPr>
              <w:t>0.737 ± 0.166</w:t>
            </w:r>
          </w:p>
        </w:tc>
      </w:tr>
    </w:tbl>
    <w:p/>
    <w:p>
      <w:r>
        <w:rPr>
          <w:b/>
        </w:rPr>
        <w:t>Module contribution (subtraction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Metric</w:t>
            </w:r>
          </w:p>
        </w:tc>
        <w:tc>
          <w:tcPr>
            <w:tcW w:type="dxa" w:w="1728"/>
          </w:tcPr>
          <w:p>
            <w:r>
              <w:rPr>
                <w:sz w:val="18"/>
              </w:rPr>
              <w:t>Combined gain (row6-row3)</w:t>
            </w:r>
          </w:p>
        </w:tc>
        <w:tc>
          <w:tcPr>
            <w:tcW w:type="dxa" w:w="1728"/>
          </w:tcPr>
          <w:p>
            <w:r>
              <w:rPr>
                <w:sz w:val="18"/>
              </w:rPr>
              <w:t>Fusion-optimizer alone (row4-row3)</w:t>
            </w:r>
          </w:p>
        </w:tc>
        <w:tc>
          <w:tcPr>
            <w:tcW w:type="dxa" w:w="1728"/>
          </w:tcPr>
          <w:p>
            <w:r>
              <w:rPr>
                <w:sz w:val="18"/>
              </w:rPr>
              <w:t>Routing alone (row5-row3)</w:t>
            </w:r>
          </w:p>
        </w:tc>
        <w:tc>
          <w:tcPr>
            <w:tcW w:type="dxa" w:w="1728"/>
          </w:tcPr>
          <w:p>
            <w:r>
              <w:rPr>
                <w:sz w:val="18"/>
              </w:rPr>
              <w:t>Interaction (row6-row4-row5+row3)</w:t>
            </w:r>
          </w:p>
        </w:tc>
      </w:tr>
      <w:tr>
        <w:tc>
          <w:tcPr>
            <w:tcW w:type="dxa" w:w="1728"/>
          </w:tcPr>
          <w:p>
            <w:r>
              <w:rPr>
                <w:sz w:val="18"/>
              </w:rPr>
              <w:t>Entropy</w:t>
            </w:r>
          </w:p>
        </w:tc>
        <w:tc>
          <w:tcPr>
            <w:tcW w:type="dxa" w:w="1728"/>
          </w:tcPr>
          <w:p>
            <w:r>
              <w:rPr>
                <w:sz w:val="18"/>
              </w:rPr>
              <w:t>+0.031</w:t>
            </w:r>
          </w:p>
        </w:tc>
        <w:tc>
          <w:tcPr>
            <w:tcW w:type="dxa" w:w="1728"/>
          </w:tcPr>
          <w:p>
            <w:r>
              <w:rPr>
                <w:sz w:val="18"/>
              </w:rPr>
              <w:t>+0.097</w:t>
            </w:r>
          </w:p>
        </w:tc>
        <w:tc>
          <w:tcPr>
            <w:tcW w:type="dxa" w:w="1728"/>
          </w:tcPr>
          <w:p>
            <w:r>
              <w:rPr>
                <w:sz w:val="18"/>
              </w:rPr>
              <w:t>-0.011</w:t>
            </w:r>
          </w:p>
        </w:tc>
        <w:tc>
          <w:tcPr>
            <w:tcW w:type="dxa" w:w="1728"/>
          </w:tcPr>
          <w:p>
            <w:r>
              <w:rPr>
                <w:sz w:val="18"/>
              </w:rPr>
              <w:t>-0.055</w:t>
            </w:r>
          </w:p>
        </w:tc>
      </w:tr>
      <w:tr>
        <w:tc>
          <w:tcPr>
            <w:tcW w:type="dxa" w:w="1728"/>
          </w:tcPr>
          <w:p>
            <w:r>
              <w:rPr>
                <w:sz w:val="18"/>
              </w:rPr>
              <w:t>UCIQE</w:t>
            </w:r>
          </w:p>
        </w:tc>
        <w:tc>
          <w:tcPr>
            <w:tcW w:type="dxa" w:w="1728"/>
          </w:tcPr>
          <w:p>
            <w:r>
              <w:rPr>
                <w:sz w:val="18"/>
              </w:rPr>
              <w:t>+3.556</w:t>
            </w:r>
          </w:p>
        </w:tc>
        <w:tc>
          <w:tcPr>
            <w:tcW w:type="dxa" w:w="1728"/>
          </w:tcPr>
          <w:p>
            <w:r>
              <w:rPr>
                <w:sz w:val="18"/>
              </w:rPr>
              <w:t>+3.053</w:t>
            </w:r>
          </w:p>
        </w:tc>
        <w:tc>
          <w:tcPr>
            <w:tcW w:type="dxa" w:w="1728"/>
          </w:tcPr>
          <w:p>
            <w:r>
              <w:rPr>
                <w:sz w:val="18"/>
              </w:rPr>
              <w:t>+0.117</w:t>
            </w:r>
          </w:p>
        </w:tc>
        <w:tc>
          <w:tcPr>
            <w:tcW w:type="dxa" w:w="1728"/>
          </w:tcPr>
          <w:p>
            <w:r>
              <w:rPr>
                <w:sz w:val="18"/>
              </w:rPr>
              <w:t>+0.387</w:t>
            </w:r>
          </w:p>
        </w:tc>
      </w:tr>
      <w:tr>
        <w:tc>
          <w:tcPr>
            <w:tcW w:type="dxa" w:w="1728"/>
          </w:tcPr>
          <w:p>
            <w:r>
              <w:rPr>
                <w:sz w:val="18"/>
              </w:rPr>
              <w:t>UIQM</w:t>
            </w:r>
          </w:p>
        </w:tc>
        <w:tc>
          <w:tcPr>
            <w:tcW w:type="dxa" w:w="1728"/>
          </w:tcPr>
          <w:p>
            <w:r>
              <w:rPr>
                <w:sz w:val="18"/>
              </w:rPr>
              <w:t>+0.039</w:t>
            </w:r>
          </w:p>
        </w:tc>
        <w:tc>
          <w:tcPr>
            <w:tcW w:type="dxa" w:w="1728"/>
          </w:tcPr>
          <w:p>
            <w:r>
              <w:rPr>
                <w:sz w:val="18"/>
              </w:rPr>
              <w:t>-0.008</w:t>
            </w:r>
          </w:p>
        </w:tc>
        <w:tc>
          <w:tcPr>
            <w:tcW w:type="dxa" w:w="1728"/>
          </w:tcPr>
          <w:p>
            <w:r>
              <w:rPr>
                <w:sz w:val="18"/>
              </w:rPr>
              <w:t>+0.046</w:t>
            </w:r>
          </w:p>
        </w:tc>
        <w:tc>
          <w:tcPr>
            <w:tcW w:type="dxa" w:w="1728"/>
          </w:tcPr>
          <w:p>
            <w:r>
              <w:rPr>
                <w:sz w:val="18"/>
              </w:rPr>
              <w:t>+0.002</w:t>
            </w:r>
          </w:p>
        </w:tc>
      </w:tr>
      <w:tr>
        <w:tc>
          <w:tcPr>
            <w:tcW w:type="dxa" w:w="1728"/>
          </w:tcPr>
          <w:p>
            <w:r>
              <w:rPr>
                <w:sz w:val="18"/>
              </w:rPr>
              <w:t>PSNR</w:t>
            </w:r>
          </w:p>
        </w:tc>
        <w:tc>
          <w:tcPr>
            <w:tcW w:type="dxa" w:w="1728"/>
          </w:tcPr>
          <w:p>
            <w:r>
              <w:rPr>
                <w:sz w:val="18"/>
              </w:rPr>
              <w:t>-0.187</w:t>
            </w:r>
          </w:p>
        </w:tc>
        <w:tc>
          <w:tcPr>
            <w:tcW w:type="dxa" w:w="1728"/>
          </w:tcPr>
          <w:p>
            <w:r>
              <w:rPr>
                <w:sz w:val="18"/>
              </w:rPr>
              <w:t>+0.489</w:t>
            </w:r>
          </w:p>
        </w:tc>
        <w:tc>
          <w:tcPr>
            <w:tcW w:type="dxa" w:w="1728"/>
          </w:tcPr>
          <w:p>
            <w:r>
              <w:rPr>
                <w:sz w:val="18"/>
              </w:rPr>
              <w:t>-0.556</w:t>
            </w:r>
          </w:p>
        </w:tc>
        <w:tc>
          <w:tcPr>
            <w:tcW w:type="dxa" w:w="1728"/>
          </w:tcPr>
          <w:p>
            <w:r>
              <w:rPr>
                <w:sz w:val="18"/>
              </w:rPr>
              <w:t>-0.120</w:t>
            </w:r>
          </w:p>
        </w:tc>
      </w:tr>
      <w:tr>
        <w:tc>
          <w:tcPr>
            <w:tcW w:type="dxa" w:w="1728"/>
          </w:tcPr>
          <w:p>
            <w:r>
              <w:rPr>
                <w:sz w:val="18"/>
              </w:rPr>
              <w:t>SSIM</w:t>
            </w:r>
          </w:p>
        </w:tc>
        <w:tc>
          <w:tcPr>
            <w:tcW w:type="dxa" w:w="1728"/>
          </w:tcPr>
          <w:p>
            <w:r>
              <w:rPr>
                <w:sz w:val="18"/>
              </w:rPr>
              <w:t>-0.039</w:t>
            </w:r>
          </w:p>
        </w:tc>
        <w:tc>
          <w:tcPr>
            <w:tcW w:type="dxa" w:w="1728"/>
          </w:tcPr>
          <w:p>
            <w:r>
              <w:rPr>
                <w:sz w:val="18"/>
              </w:rPr>
              <w:t>-0.006</w:t>
            </w:r>
          </w:p>
        </w:tc>
        <w:tc>
          <w:tcPr>
            <w:tcW w:type="dxa" w:w="1728"/>
          </w:tcPr>
          <w:p>
            <w:r>
              <w:rPr>
                <w:sz w:val="18"/>
              </w:rPr>
              <w:t>-0.015</w:t>
            </w:r>
          </w:p>
        </w:tc>
        <w:tc>
          <w:tcPr>
            <w:tcW w:type="dxa" w:w="1728"/>
          </w:tcPr>
          <w:p>
            <w:r>
              <w:rPr>
                <w:sz w:val="18"/>
              </w:rPr>
              <w:t>-0.018</w:t>
            </w:r>
          </w:p>
        </w:tc>
      </w:tr>
    </w:tbl>
    <w:p>
      <w:r>
        <w:t>A non-zero interaction term indicates the two modules' contributions are not purely additive (expected: routing changes the CLAHE/DCP streams the fusion-optimizer then searches over, so the two are not independent).</w:t>
      </w:r>
    </w:p>
    <w:p>
      <w:r>
        <w:br w:type="page"/>
      </w:r>
    </w:p>
    <w:p>
      <w:pPr>
        <w:pStyle w:val="Heading2"/>
      </w:pPr>
      <w:r>
        <w:rPr>
          <w:b/>
        </w:rPr>
        <w:t>5. Downstream Task Validation</w:t>
      </w:r>
    </w:p>
    <w:p>
      <w:r>
        <w:t>ORB keypoint yield and Canny edge density, computed with the corrected detector (nfeatures raised from 1000 to 200,000 — see Section 6, Known Issues Fixed, item 2) so the reported gains are real, not an artifact of both raw and restored counts hitting a shared detection ceiling.</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Metric</w:t>
            </w:r>
          </w:p>
        </w:tc>
        <w:tc>
          <w:tcPr>
            <w:tcW w:type="dxa" w:w="4320"/>
          </w:tcPr>
          <w:p>
            <w:r>
              <w:rPr>
                <w:sz w:val="18"/>
              </w:rPr>
              <w:t>Value across 890 images</w:t>
            </w:r>
          </w:p>
        </w:tc>
      </w:tr>
      <w:tr>
        <w:tc>
          <w:tcPr>
            <w:tcW w:type="dxa" w:w="4320"/>
          </w:tcPr>
          <w:p>
            <w:r>
              <w:rPr>
                <w:sz w:val="18"/>
              </w:rPr>
              <w:t>Keypoint gain, mean %</w:t>
            </w:r>
          </w:p>
        </w:tc>
        <w:tc>
          <w:tcPr>
            <w:tcW w:type="dxa" w:w="4320"/>
          </w:tcPr>
          <w:p>
            <w:r>
              <w:rPr>
                <w:sz w:val="18"/>
              </w:rPr>
              <w:t>569.4%</w:t>
            </w:r>
          </w:p>
        </w:tc>
      </w:tr>
      <w:tr>
        <w:tc>
          <w:tcPr>
            <w:tcW w:type="dxa" w:w="4320"/>
          </w:tcPr>
          <w:p>
            <w:r>
              <w:rPr>
                <w:sz w:val="18"/>
              </w:rPr>
              <w:t>Keypoint gain, median %</w:t>
            </w:r>
          </w:p>
        </w:tc>
        <w:tc>
          <w:tcPr>
            <w:tcW w:type="dxa" w:w="4320"/>
          </w:tcPr>
          <w:p>
            <w:r>
              <w:rPr>
                <w:sz w:val="18"/>
              </w:rPr>
              <w:t>194.2%</w:t>
            </w:r>
          </w:p>
        </w:tc>
      </w:tr>
      <w:tr>
        <w:tc>
          <w:tcPr>
            <w:tcW w:type="dxa" w:w="4320"/>
          </w:tcPr>
          <w:p>
            <w:r>
              <w:rPr>
                <w:sz w:val="18"/>
              </w:rPr>
              <w:t>Images with exactly 0% keypoint gain</w:t>
            </w:r>
          </w:p>
        </w:tc>
        <w:tc>
          <w:tcPr>
            <w:tcW w:type="dxa" w:w="4320"/>
          </w:tcPr>
          <w:p>
            <w:r>
              <w:rPr>
                <w:sz w:val="18"/>
              </w:rPr>
              <w:t>0/884 (0.0%)</w:t>
            </w:r>
          </w:p>
        </w:tc>
      </w:tr>
      <w:tr>
        <w:tc>
          <w:tcPr>
            <w:tcW w:type="dxa" w:w="4320"/>
          </w:tcPr>
          <w:p>
            <w:r>
              <w:rPr>
                <w:sz w:val="18"/>
              </w:rPr>
              <w:t>Edge density gain, mean %</w:t>
            </w:r>
          </w:p>
        </w:tc>
        <w:tc>
          <w:tcPr>
            <w:tcW w:type="dxa" w:w="4320"/>
          </w:tcPr>
          <w:p>
            <w:r>
              <w:rPr>
                <w:sz w:val="18"/>
              </w:rPr>
              <w:t>371.1%</w:t>
            </w:r>
          </w:p>
        </w:tc>
      </w:tr>
      <w:tr>
        <w:tc>
          <w:tcPr>
            <w:tcW w:type="dxa" w:w="4320"/>
          </w:tcPr>
          <w:p>
            <w:r>
              <w:rPr>
                <w:sz w:val="18"/>
              </w:rPr>
              <w:t>Edge density gain, median %</w:t>
            </w:r>
          </w:p>
        </w:tc>
        <w:tc>
          <w:tcPr>
            <w:tcW w:type="dxa" w:w="4320"/>
          </w:tcPr>
          <w:p>
            <w:r>
              <w:rPr>
                <w:sz w:val="18"/>
              </w:rPr>
              <w:t>73.2%</w:t>
            </w:r>
          </w:p>
        </w:tc>
      </w:tr>
      <w:tr>
        <w:tc>
          <w:tcPr>
            <w:tcW w:type="dxa" w:w="4320"/>
          </w:tcPr>
          <w:p>
            <w:r>
              <w:rPr>
                <w:sz w:val="18"/>
              </w:rPr>
              <w:t>Cross-matches (raw vs. restored), mean</w:t>
            </w:r>
          </w:p>
        </w:tc>
        <w:tc>
          <w:tcPr>
            <w:tcW w:type="dxa" w:w="4320"/>
          </w:tcPr>
          <w:p>
            <w:r>
              <w:rPr>
                <w:sz w:val="18"/>
              </w:rPr>
              <w:t>6431.1</w:t>
            </w:r>
          </w:p>
        </w:tc>
      </w:tr>
    </w:tbl>
    <w:p>
      <w:r>
        <w:br w:type="page"/>
      </w:r>
    </w:p>
    <w:p>
      <w:pPr>
        <w:pStyle w:val="Heading2"/>
      </w:pPr>
      <w:r>
        <w:rPr>
          <w:b/>
        </w:rPr>
        <w:t>6. Known Issues &amp; Limitations</w:t>
      </w:r>
    </w:p>
    <w:p>
      <w:r>
        <w:t>Issues surfaced while building out batch evaluation and the ablation study — recorded here (rather than silently patched) since each would otherwise quietly distort the tables above.</w:t>
      </w:r>
    </w:p>
    <w:p>
      <w:r>
        <w:rPr>
          <w:b/>
        </w:rPr>
        <w:t xml:space="preserve">UCIQE blow-up on near-black pixels (Found &amp; Fixed). </w:t>
      </w:r>
      <w:r>
        <w:t>modules/metrics.py's compute_uciqe computed average saturation as chroma / (L + 1e-6); a handful of pixels with L≈0 (borders/shadows/vignetting, common in UIEB raw images) sent individual pixels' saturation into the millions, dominating the whole-image mean — 59% of hybrid_uciqe values were &gt;1000 before the fix. Fixed by excluding pixels with L&lt;1.0 from the saturation mean rather than merely epsilon-guarding the division; all UCIQE values reported in this document are post-fix and sit in the expected 0-100 range.</w:t>
      </w:r>
    </w:p>
    <w:p>
      <w:r>
        <w:rPr>
          <w:b/>
        </w:rPr>
        <w:t xml:space="preserve">ORB keypoint cap artificially tying raw vs. restored counts (Found &amp; Fixed). </w:t>
      </w:r>
      <w:r>
        <w:t>cv2.ORB_create(nfeatures=1000) was low enough that both raw and restored images routinely hit the same ceiling, reporting keypoint_gain_pct == 0% for a large fraction of the dataset even though restoration was clearly revealing more real detail. Raised to nfeatures=200000 (restored images were found reaching up to ~144k keypoints). _pct_change returning inf when a raw image had zero detected keypoints was also fixed — it now returns None, excluded from aggregates, rather than distorting the mean.</w:t>
      </w:r>
    </w:p>
    <w:p>
      <w:r>
        <w:rPr>
          <w:b/>
        </w:rPr>
        <w:t xml:space="preserve">Fusion-optimizer (Module 7) search validity (Found &amp; Mitigated). </w:t>
      </w:r>
      <w:r>
        <w:t>A fine grid scan (step=0.02) of combined_quality_score(alpha) over 8 sample images spanning all 4 water types found 6/8 curves monotonic and 1/8 cleanly unimodal — both handled correctly by golden-section search — but 1/8 (a deep_lowlight sample, 651_img_.png) showed a genuine non-convex curve with two local maxima: golden-section converged to alpha=0.70 (score=54.14) vs. the true grid optimum alpha=1.00 (score=54.43). A wider 40-image sample (10 per water type) confirmed this at 3/40 (7.5%) non-convex — a meaningful fraction, not sampling noise. Mitigated with a bracketing grid-search fallback (modules/fusion_optimizer.py): a coarse 11-point grid over [0,1] first, then golden-section refinement restricted to a bracket around the best grid point. Re-validated on all 4 flagged non-convex images found across both samples: the fallback matches the true grid optimum exactly on 2/4 (incl. 651_img_.png, now 54.430 = the true optimum), clearly beats the old search on a 3rd (37.625 vs. 37.323), and ties within noise on the 4th (45.508 vs. old 45.522, a 0.03% difference from the old search landing on an off-grid point marginally above the discretized truth). See outputs/fusion_alpha_investigation/ for the per-image plots and investigate_fusion_alpha.py's printed validation table.</w:t>
      </w:r>
    </w:p>
    <w:p>
      <w:r>
        <w:rPr>
          <w:b/>
        </w:rPr>
        <w:t xml:space="preserve">Water-type classifier (Module 5) green_dominance threshold scale bug (Found &amp; Fixed). </w:t>
      </w:r>
      <w:r>
        <w:t>modules/water_type_classifier.py gated the green_turbid rule on f['green_dominance'] &gt; 8/255.0 (≈0.031), but green_dominance is a difference of raw 0-255-scale channel means (from white_balance.estimate_color_cast_severity, not normalized to 0-1), with real values ranging from -130 to +146 across the dataset. The /255.0 division made the gate effectively "greener than zero" rather than the "strong green cast" the code comment describes. Evidence: 146 images labeled clear_blue had green_dominance &gt; 8 (a real green tint on the raw scale) but never reached green_turbid only because haze_density stayed ≤ 0.35 for all of them. Fixed by changing the comparison to f['green_dominance'] &gt; 8 (dropping the /255.0); mean_luminance (0.30), haze_density (0.35/0.45) and mean_saturation (0.35) were checked against the same per-image feature data and show sensibly ordered separation across water types with no comparable evidence of a bug, so were left unchanged. Re-classifying all 890 raw images confirmed the fix exactly as predicted in the prior pass: 65/170 (38%) of green_turbid images reclassify (49 to clear_blue, 16 to hazy_bright), green_turbid's mean green_dominance rises from 17.7 to 26.5, and hazy_bright grows from 34 to 50 images. Because this changes per-image routing, batch_metrics.csv and every routing-ON ablation config (ablation_fixed_alpha.csv) were re-run in full (890/890, 0 failures, ~53 min and ~27 min respectively); the two routing-OFF configs (ablation_no_routing.csv, ablation_neither.csv) are provably invariant to this fix — the classifier is never called on that code path — so were kept rather than re-run. All tables in this document are computed post-fix.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