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0"/>
          <w:szCs w:val="40"/>
        </w:rPr>
        <w:t xml:space="preserve">DARPAN LABS</w:t>
      </w:r>
    </w:p>
    <w:p>
      <w:pPr>
        <w:spacing w:after="100"/>
        <w:jc w:val="center"/>
      </w:pPr>
      <w:r>
        <w:rPr>
          <w:rFonts w:ascii="Arial" w:cs="Arial" w:eastAsia="Arial" w:hAnsi="Arial"/>
          <w:b/>
          <w:bCs/>
          <w:color w:val="2E75B6"/>
          <w:sz w:val="32"/>
          <w:szCs w:val="32"/>
        </w:rPr>
        <w:t xml:space="preserve">Twin Generation Infrastructure</w:t>
      </w:r>
    </w:p>
    <w:p>
      <w:pPr>
        <w:spacing w:after="100"/>
        <w:jc w:val="center"/>
      </w:pPr>
      <w:r>
        <w:rPr>
          <w:rFonts w:ascii="Arial" w:cs="Arial" w:eastAsia="Arial" w:hAnsi="Arial"/>
          <w:color w:val="2E75B6"/>
          <w:sz w:val="24"/>
          <w:szCs w:val="24"/>
        </w:rPr>
        <w:t xml:space="preserve">Vector DB vs Knowledge Graph: Libraries, Research &amp; Recommendation</w:t>
      </w:r>
    </w:p>
    <w:p>
      <w:pPr>
        <w:spacing w:after="400"/>
        <w:jc w:val="center"/>
      </w:pPr>
      <w:r>
        <w:rPr>
          <w:rFonts w:ascii="Arial" w:cs="Arial" w:eastAsia="Arial" w:hAnsi="Arial"/>
          <w:i/>
          <w:iCs/>
          <w:color w:val="666666"/>
          <w:sz w:val="20"/>
          <w:szCs w:val="20"/>
        </w:rPr>
        <w:t xml:space="preserve">March 2026 | CONFIDENTIAL</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document evaluates open-source libraries and academic research supporting the two inference layer approaches defined in the Twin Generation Execution Plan: Vector DB (Step 4A) and Knowledge Graph (Step 4B). The goal is to identify production-ready tooling for embedding, indexing, and graph-based retrieval over 2,000 digital twin profiles (700,000 Q&amp;A pairs), and anchor each approach in peer-reviewed research validating its applicability to consumer digital twin simulation.</w:t>
      </w:r>
    </w:p>
    <w:p>
      <w:pPr>
        <w:spacing w:after="60"/>
      </w:pPr>
    </w:p>
    <w:p>
      <w:pPr>
        <w:spacing w:after="120"/>
      </w:pPr>
      <w:r>
        <w:rPr>
          <w:rFonts w:ascii="Arial" w:cs="Arial" w:eastAsia="Arial" w:hAnsi="Arial"/>
          <w:b/>
          <w:bCs/>
          <w:sz w:val="22"/>
          <w:szCs w:val="22"/>
        </w:rPr>
        <w:t xml:space="preserve">BLUF: </w:t>
      </w:r>
      <w:r>
        <w:rPr>
          <w:rFonts w:ascii="Arial" w:cs="Arial" w:eastAsia="Arial" w:hAnsi="Arial"/>
          <w:sz w:val="22"/>
          <w:szCs w:val="22"/>
        </w:rPr>
        <w:t xml:space="preserve">For MVP, use ChromaDB (vector DB) + NetworkX (knowledge graph) for speed of implementation. Post-MVP, migrate to Qdrant/pgvector (vector) and Neo4j (graph) for production scale. Both approaches are independently validated by recent research on LLM-powered digital twins, but serve complementary functions: vector DB excels at semantic retrieval for concept-test questions; knowledge graphs excel at explainable reasoning chains and identity coherence.</w:t>
      </w:r>
    </w:p>
    <w:p>
      <w:r>
        <w:br w:type="page"/>
      </w:r>
    </w:p>
    <w:p>
      <w:pPr>
        <w:pStyle w:val="Heading1"/>
      </w:pPr>
      <w:r>
        <w:rPr>
          <w:rFonts w:ascii="Arial" w:cs="Arial" w:eastAsia="Arial" w:hAnsi="Arial"/>
        </w:rPr>
        <w:t xml:space="preserve">2. Vector Database Libraries</w:t>
      </w:r>
    </w:p>
    <w:p>
      <w:pPr>
        <w:spacing w:after="120"/>
      </w:pPr>
      <w:r>
        <w:rPr>
          <w:rFonts w:ascii="Arial" w:cs="Arial" w:eastAsia="Arial" w:hAnsi="Arial"/>
          <w:sz w:val="22"/>
          <w:szCs w:val="22"/>
        </w:rPr>
        <w:t xml:space="preserve">The vector DB approach requires embedding 700,000 Q&amp;A pairs, storing them with metadata (twin_id, source_type, quality_weight, domain_tag), and performing weighted semantic search at inference time. The following libraries are evaluated against your specific requirements: metadata filtering, cosine distance computation, quality-weighted retrieval, and scale (2,000 twins, ~350 embeddings each).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800"/>
        <w:gridCol w:w="1200"/>
        <w:gridCol w:w="2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License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Scale Fit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Darpan Verdict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ChromaDB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Apache 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prototyping; in-memory or persistent; auto-embedding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1M vectors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MVP pick. Fastest path to working demo. Migrate later.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Qdrant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Apache 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 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payload filtering, quality-weighted search, HNSW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Post-MVP production pick. Native payload filtering maps to quality_weight.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pgvector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 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DB: vectors + relational data in one Postgres instance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 vectors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Strong option if consolidating infra with existing Postgres (PRD uses Postgres).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Milvus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Apache 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 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Enterprise-scale; distributed; hybrid search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Trillions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Overkill for 700K vectors. Consider if scaling to 100K+ twins.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FAISS (Meta)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speed; GPU indexing; ANN benchmarks; no metadata filtering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as index engine under Qdrant/Chroma, not standalone. No native metadata.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Weaviate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BSD-3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 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vector + keyword search; built-in vectorizers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alternative to Qdrant. Heavier infra footprint.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LanceDB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Apache 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 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Embedded, serverless; columnar format; zero-copy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~100M vectors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Interesting for edge/embedded deployment. Less community maturity.</w:t>
            </w:r>
          </w:p>
        </w:tc>
      </w:tr>
    </w:tbl>
    <w:p>
      <w:pPr>
        <w:spacing w:after="60"/>
      </w:pPr>
    </w:p>
    <w:p>
      <w:pPr>
        <w:pStyle w:val="Heading2"/>
      </w:pPr>
      <w:r>
        <w:rPr>
          <w:rFonts w:ascii="Arial" w:cs="Arial" w:eastAsia="Arial" w:hAnsi="Arial"/>
        </w:rPr>
        <w:t xml:space="preserve">2.1 Recommended Stack for Darpan</w:t>
      </w:r>
    </w:p>
    <w:p>
      <w:pPr>
        <w:spacing w:after="120"/>
      </w:pPr>
      <w:r>
        <w:rPr>
          <w:rFonts w:ascii="Arial" w:cs="Arial" w:eastAsia="Arial" w:hAnsi="Arial"/>
          <w:b/>
          <w:bCs/>
          <w:sz w:val="22"/>
          <w:szCs w:val="22"/>
        </w:rPr>
        <w:t xml:space="preserve">Phase 0–Pilot (Now → May 2026): </w:t>
      </w:r>
      <w:r>
        <w:rPr>
          <w:rFonts w:ascii="Arial" w:cs="Arial" w:eastAsia="Arial" w:hAnsi="Arial"/>
          <w:sz w:val="22"/>
          <w:szCs w:val="22"/>
        </w:rPr>
        <w:t xml:space="preserve">ChromaDB. Zero infrastructure overhead. pip install chromadb. Store 700K embeddings in-memory or with persistent SQLite backend. Supports metadata filtering by twin_id and source_type out of the box. Limitation: no native quality-weighted ranking—implement in application layer.</w:t>
      </w:r>
    </w:p>
    <w:p>
      <w:pPr>
        <w:spacing w:after="120"/>
      </w:pPr>
      <w:r>
        <w:rPr>
          <w:rFonts w:ascii="Arial" w:cs="Arial" w:eastAsia="Arial" w:hAnsi="Arial"/>
          <w:b/>
          <w:bCs/>
          <w:sz w:val="22"/>
          <w:szCs w:val="22"/>
        </w:rPr>
        <w:t xml:space="preserve">Phase 2–Scale (H2 2026): </w:t>
      </w:r>
      <w:r>
        <w:rPr>
          <w:rFonts w:ascii="Arial" w:cs="Arial" w:eastAsia="Arial" w:hAnsi="Arial"/>
          <w:sz w:val="22"/>
          <w:szCs w:val="22"/>
        </w:rPr>
        <w:t xml:space="preserve">pgvector (if consolidating with existing Postgres per PRD architecture) OR Qdrant (if wanting a dedicated vector engine with native payload filtering and quality-weighted search). pgvector keeps infra simple; Qdrant gives better ANN performance at scale.</w:t>
      </w:r>
    </w:p>
    <w:p>
      <w:pPr>
        <w:spacing w:after="60"/>
      </w:pPr>
    </w:p>
    <w:p>
      <w:pPr>
        <w:pStyle w:val="Heading2"/>
      </w:pPr>
      <w:r>
        <w:rPr>
          <w:rFonts w:ascii="Arial" w:cs="Arial" w:eastAsia="Arial" w:hAnsi="Arial"/>
        </w:rPr>
        <w:t xml:space="preserve">2.2 Contrarian View &amp; Risks</w:t>
      </w:r>
    </w:p>
    <w:p>
      <w:pPr>
        <w:spacing w:after="120"/>
      </w:pPr>
      <w:r>
        <w:rPr>
          <w:rFonts w:ascii="Arial" w:cs="Arial" w:eastAsia="Arial" w:hAnsi="Arial"/>
          <w:sz w:val="22"/>
          <w:szCs w:val="22"/>
        </w:rPr>
        <w:t xml:space="preserve">ChromaDB has had breaking API changes between versions and limited production battle-testing compared to Qdrant/Milvus. If the MVP demo leads directly to a paying pilot, the migration cost from Chroma to a production DB is non-trivial. A counter-argument: start with pgvector from Day 1 since the PRD already specifies Postgres + pgvector. This avoids a migration entirely, at the cost of slightly more setup time (~2–4 hours vs. 30 minutes for Chroma).</w:t>
      </w:r>
    </w:p>
    <w:p>
      <w:r>
        <w:br w:type="page"/>
      </w:r>
    </w:p>
    <w:p>
      <w:pPr>
        <w:pStyle w:val="Heading1"/>
      </w:pPr>
      <w:r>
        <w:rPr>
          <w:rFonts w:ascii="Arial" w:cs="Arial" w:eastAsia="Arial" w:hAnsi="Arial"/>
        </w:rPr>
        <w:t xml:space="preserve">3. Knowledge Graph Libraries</w:t>
      </w:r>
    </w:p>
    <w:p>
      <w:pPr>
        <w:spacing w:after="120"/>
      </w:pPr>
      <w:r>
        <w:rPr>
          <w:rFonts w:ascii="Arial" w:cs="Arial" w:eastAsia="Arial" w:hAnsi="Arial"/>
          <w:sz w:val="22"/>
          <w:szCs w:val="22"/>
        </w:rPr>
        <w:t xml:space="preserve">The knowledge graph approach requires extracting 25–35 behavioral trait nodes per twin, weighted edges (causal, correlational, conditional), and graph traversal at inference time to produce reasoning subgraphs. The following libraries are evaluated against these requirements.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800"/>
        <w:gridCol w:w="1200"/>
        <w:gridCol w:w="2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License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Scale Fit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Darpan Verdict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NetworkX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BSD-3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In-memory graph analysis; rich algorithm library; rapid prototyping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100K nodes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MVP pick. 2,000 twins × 35 nodes = 70K nodes. Fits comfortably in memory.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Neo4j (Community)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GPL v3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 + 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graph DB; Cypher queries; GDS algorithms; GraphRAG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Post-MVP production pick. Persistence, Cypher queries, visual exploration via Bloom.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Microsoft GraphRAG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LLM-powered KG extraction + community detection + hierarchical summarization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corpus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Highly relevant for trait extraction pipeline. Use as extraction layer, store in Neo4j/NetworkX.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LightRAG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Low-cost alternative to GraphRAG; dual-level retrieval; 10x token reduction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corpus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Cost-efficient alternative if GraphRAG token usage is too high for 2,000 twin profiles.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Neo4j GraphRAG (Python)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Apache 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 builder from unstructured data; entity extraction; community summaries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Medium–Large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if committing to Neo4j. Combines extraction + storage + retrieval.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knowledge-graph-maker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Text-to-KG using open-source LLMs (Llama, Mixtral); Neo4j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Small–Medium</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Useful for quick KG prototyping with open-source models. Less production-ready.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iGraph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GPL v2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High-performance graph analysis; faster than NetworkX for large graphs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Millions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if NetworkX becomes a bottleneck. Faster community detection algorithms.</w:t>
            </w:r>
          </w:p>
        </w:tc>
      </w:tr>
    </w:tbl>
    <w:p>
      <w:pPr>
        <w:spacing w:after="60"/>
      </w:pPr>
    </w:p>
    <w:p>
      <w:pPr>
        <w:pStyle w:val="Heading2"/>
      </w:pPr>
      <w:r>
        <w:rPr>
          <w:rFonts w:ascii="Arial" w:cs="Arial" w:eastAsia="Arial" w:hAnsi="Arial"/>
        </w:rPr>
        <w:t xml:space="preserve">3.1 Recommended Stack for Darpan</w:t>
      </w:r>
    </w:p>
    <w:p>
      <w:pPr>
        <w:spacing w:after="120"/>
      </w:pPr>
      <w:r>
        <w:rPr>
          <w:rFonts w:ascii="Arial" w:cs="Arial" w:eastAsia="Arial" w:hAnsi="Arial"/>
          <w:b/>
          <w:bCs/>
          <w:sz w:val="22"/>
          <w:szCs w:val="22"/>
        </w:rPr>
        <w:t xml:space="preserve">Phase 0–Pilot: </w:t>
      </w:r>
      <w:r>
        <w:rPr>
          <w:rFonts w:ascii="Arial" w:cs="Arial" w:eastAsia="Arial" w:hAnsi="Arial"/>
          <w:sz w:val="22"/>
          <w:szCs w:val="22"/>
        </w:rPr>
        <w:t xml:space="preserve">NetworkX for in-memory graph storage + Microsoft GraphRAG (or custom LLM extraction prompts per your Execution Plan) for trait extraction. At 2,000 twins × ~35 nodes each = ~70,000 nodes and ~150,000 edges, NetworkX handles this comfortably in &lt;2GB RAM. Graph serialization to JSON/pickle for persistence between sessions.</w:t>
      </w:r>
    </w:p>
    <w:p>
      <w:pPr>
        <w:spacing w:after="120"/>
      </w:pPr>
      <w:r>
        <w:rPr>
          <w:rFonts w:ascii="Arial" w:cs="Arial" w:eastAsia="Arial" w:hAnsi="Arial"/>
          <w:b/>
          <w:bCs/>
          <w:sz w:val="22"/>
          <w:szCs w:val="22"/>
        </w:rPr>
        <w:t xml:space="preserve">Phase 2–Scale: </w:t>
      </w:r>
      <w:r>
        <w:rPr>
          <w:rFonts w:ascii="Arial" w:cs="Arial" w:eastAsia="Arial" w:hAnsi="Arial"/>
          <w:sz w:val="22"/>
          <w:szCs w:val="22"/>
        </w:rPr>
        <w:t xml:space="preserve">Neo4j Community Edition. Provides: persistent storage, Cypher query language for subgraph traversal (critical for the “fan out 1–2 hops” inference pattern), visual exploration via Neo4j Bloom for debugging twin graphs, and the Graph Data Science library for community detection and similarity algorithms.</w:t>
      </w:r>
    </w:p>
    <w:p>
      <w:pPr>
        <w:spacing w:after="60"/>
      </w:pPr>
    </w:p>
    <w:p>
      <w:pPr>
        <w:pStyle w:val="Heading2"/>
      </w:pPr>
      <w:r>
        <w:rPr>
          <w:rFonts w:ascii="Arial" w:cs="Arial" w:eastAsia="Arial" w:hAnsi="Arial"/>
        </w:rPr>
        <w:t xml:space="preserve">3.2 Contrarian View &amp; Risks</w:t>
      </w:r>
    </w:p>
    <w:p>
      <w:pPr>
        <w:spacing w:after="120"/>
      </w:pPr>
      <w:r>
        <w:rPr>
          <w:rFonts w:ascii="Arial" w:cs="Arial" w:eastAsia="Arial" w:hAnsi="Arial"/>
          <w:sz w:val="22"/>
          <w:szCs w:val="22"/>
        </w:rPr>
        <w:t xml:space="preserve">The knowledge graph approach adds significant complexity vs. pure vector retrieval: LLM-based trait extraction is non-deterministic (different runs may extract different nodes), edge weight calibration has no established methodology for consumer behavioral data, and the reasoning subgraph quality depends heavily on extraction precision. If extraction accuracy is &lt;80%, the KG approach may produce less reliable inference than vector similarity. Mitigation: benchmark both approaches on the same holdout set (Step 5 of Execution Plan) before committing to one.</w:t>
      </w:r>
    </w:p>
    <w:p>
      <w:r>
        <w:br w:type="page"/>
      </w:r>
    </w:p>
    <w:p>
      <w:pPr>
        <w:pStyle w:val="Heading1"/>
      </w:pPr>
      <w:r>
        <w:rPr>
          <w:rFonts w:ascii="Arial" w:cs="Arial" w:eastAsia="Arial" w:hAnsi="Arial"/>
        </w:rPr>
        <w:t xml:space="preserve">4. Research Papers: Vector DB Approach</w:t>
      </w:r>
    </w:p>
    <w:p>
      <w:pPr>
        <w:spacing w:after="120"/>
      </w:pPr>
      <w:r>
        <w:rPr>
          <w:rFonts w:ascii="Arial" w:cs="Arial" w:eastAsia="Arial" w:hAnsi="Arial"/>
          <w:sz w:val="22"/>
          <w:szCs w:val="22"/>
        </w:rPr>
        <w:t xml:space="preserve">The following papers validate the core assumption that embedding-based retrieval over interview/survey data can produce accurate digital twin inference.</w:t>
      </w:r>
    </w:p>
    <w:p>
      <w:pPr>
        <w:spacing w:after="60"/>
      </w:pPr>
    </w:p>
    <w:p>
      <w:pPr>
        <w:pStyle w:val="Heading2"/>
      </w:pPr>
      <w:r>
        <w:rPr>
          <w:rFonts w:ascii="Arial" w:cs="Arial" w:eastAsia="Arial" w:hAnsi="Arial"/>
        </w:rPr>
        <w:t xml:space="preserve">4.1 Toubia et al. (2025) — Twin-2K-500 Dataset</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Marketing Science (INFORMS). </w:t>
      </w:r>
      <w:r>
        <w:rPr>
          <w:rFonts w:ascii="Arial" w:cs="Arial" w:eastAsia="Arial" w:hAnsi="Arial"/>
          <w:color w:val="2E75B6"/>
          <w:sz w:val="20"/>
          <w:szCs w:val="20"/>
        </w:rPr>
        <w:t xml:space="preserve">https://pubsonline.informs.org/doi/10.1287/mksc.2025.0262</w:t>
      </w:r>
    </w:p>
    <w:p>
      <w:pPr>
        <w:spacing w:after="120"/>
      </w:pPr>
      <w:r>
        <w:rPr>
          <w:rFonts w:ascii="Arial" w:cs="Arial" w:eastAsia="Arial" w:hAnsi="Arial"/>
          <w:sz w:val="22"/>
          <w:szCs w:val="22"/>
        </w:rPr>
        <w:t xml:space="preserve">Surveyed 2,058 US participants (~2.4 hours each) across 500+ questions covering demographics, psychology, economics, personality, and behavioral experiments. Achieved 81.72% average test-retest accuracy using ICL-based digital twins—directly validating the prompt-conditioning approach in Darpan’s PRD. The modular JSON-based profile format mirrors Darpan’s structured_profile_json architecture.</w:t>
      </w:r>
    </w:p>
    <w:p>
      <w:pPr>
        <w:spacing w:after="120"/>
      </w:pPr>
      <w:r>
        <w:rPr>
          <w:rFonts w:ascii="Arial" w:cs="Arial" w:eastAsia="Arial" w:hAnsi="Arial"/>
          <w:b/>
          <w:bCs/>
          <w:sz w:val="22"/>
          <w:szCs w:val="22"/>
        </w:rPr>
        <w:t xml:space="preserve">Relevance to Vector DB: </w:t>
      </w:r>
      <w:r>
        <w:rPr>
          <w:rFonts w:ascii="Arial" w:cs="Arial" w:eastAsia="Arial" w:hAnsi="Arial"/>
          <w:sz w:val="22"/>
          <w:szCs w:val="22"/>
        </w:rPr>
        <w:t xml:space="preserve">The paper demonstrates that embedding-based similarity between Q&amp;A pairs can predict holdout responses. Their data format (JSON records per individual) maps directly to the vector DB indexing strategy in Step 4A.</w:t>
      </w:r>
    </w:p>
    <w:p>
      <w:pPr>
        <w:spacing w:after="60"/>
      </w:pPr>
    </w:p>
    <w:p>
      <w:pPr>
        <w:pStyle w:val="Heading2"/>
      </w:pPr>
      <w:r>
        <w:rPr>
          <w:rFonts w:ascii="Arial" w:cs="Arial" w:eastAsia="Arial" w:hAnsi="Arial"/>
        </w:rPr>
        <w:t xml:space="preserve">4.2 Li, Wei &amp; Wang (2025) — LLM-Powered Consumer Digital Twins</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Marketing Science Institute Working Paper 25-135. </w:t>
      </w:r>
      <w:r>
        <w:rPr>
          <w:rFonts w:ascii="Arial" w:cs="Arial" w:eastAsia="Arial" w:hAnsi="Arial"/>
          <w:color w:val="2E75B6"/>
          <w:sz w:val="20"/>
          <w:szCs w:val="20"/>
        </w:rPr>
        <w:t xml:space="preserve">https://papers.ssrn.com/sol3/papers.cfm?abstract_id=5256223</w:t>
      </w:r>
    </w:p>
    <w:p>
      <w:pPr>
        <w:spacing w:after="120"/>
      </w:pPr>
      <w:r>
        <w:rPr>
          <w:rFonts w:ascii="Arial" w:cs="Arial" w:eastAsia="Arial" w:hAnsi="Arial"/>
          <w:sz w:val="22"/>
          <w:szCs w:val="22"/>
        </w:rPr>
        <w:t xml:space="preserve">Constructed 304 digital twins from Amazon e-commerce data using fine-tuning + RAG. Achieved 86% purchase prediction accuracy and 0.94 cosine similarity on review generation. Key insight: RAG with contextual retrieval (product/category knowledge) significantly outperforms fine-tuning alone.</w:t>
      </w:r>
    </w:p>
    <w:p>
      <w:pPr>
        <w:spacing w:after="120"/>
      </w:pPr>
      <w:r>
        <w:rPr>
          <w:rFonts w:ascii="Arial" w:cs="Arial" w:eastAsia="Arial" w:hAnsi="Arial"/>
          <w:b/>
          <w:bCs/>
          <w:sz w:val="22"/>
          <w:szCs w:val="22"/>
        </w:rPr>
        <w:t xml:space="preserve">Relevance to Vector DB: </w:t>
      </w:r>
      <w:r>
        <w:rPr>
          <w:rFonts w:ascii="Arial" w:cs="Arial" w:eastAsia="Arial" w:hAnsi="Arial"/>
          <w:sz w:val="22"/>
          <w:szCs w:val="22"/>
        </w:rPr>
        <w:t xml:space="preserve">Directly validates the RAG pattern used in Step 4A—retrieving relevant Q&amp;A evidence via embedding similarity before generating twin responses. The “contrast twin” mechanism in Darpan’s plan (selecting maximally different twins via cosine distance matrix) extends this approach.</w:t>
      </w:r>
    </w:p>
    <w:p>
      <w:pPr>
        <w:spacing w:after="60"/>
      </w:pPr>
    </w:p>
    <w:p>
      <w:pPr>
        <w:pStyle w:val="Heading2"/>
      </w:pPr>
      <w:r>
        <w:rPr>
          <w:rFonts w:ascii="Arial" w:cs="Arial" w:eastAsia="Arial" w:hAnsi="Arial"/>
        </w:rPr>
        <w:t xml:space="preserve">4.3 SSR Method (2025) — Semantic Similarity Elicitation of Likert Ratings</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arXiv preprint (Oct 2025). Covered in VentureBeat. </w:t>
      </w:r>
    </w:p>
    <w:p>
      <w:pPr>
        <w:spacing w:after="120"/>
      </w:pPr>
      <w:r>
        <w:rPr>
          <w:rFonts w:ascii="Arial" w:cs="Arial" w:eastAsia="Arial" w:hAnsi="Arial"/>
          <w:sz w:val="22"/>
          <w:szCs w:val="22"/>
        </w:rPr>
        <w:t xml:space="preserve">Tested against 57 product surveys and 9,300 human responses from a personal care corporation. The SSR method achieved 90% of human test-retest reliability by converting LLM text opinions into embeddings and measuring cosine similarity to reference statements. Distribution of AI ratings was statistically almost indistinguishable from human panel data.</w:t>
      </w:r>
    </w:p>
    <w:p>
      <w:pPr>
        <w:spacing w:after="120"/>
      </w:pPr>
      <w:r>
        <w:rPr>
          <w:rFonts w:ascii="Arial" w:cs="Arial" w:eastAsia="Arial" w:hAnsi="Arial"/>
          <w:b/>
          <w:bCs/>
          <w:sz w:val="22"/>
          <w:szCs w:val="22"/>
        </w:rPr>
        <w:t xml:space="preserve">Relevance to Vector DB: </w:t>
      </w:r>
      <w:r>
        <w:rPr>
          <w:rFonts w:ascii="Arial" w:cs="Arial" w:eastAsia="Arial" w:hAnsi="Arial"/>
          <w:sz w:val="22"/>
          <w:szCs w:val="22"/>
        </w:rPr>
        <w:t xml:space="preserve">Validated on personal care products—the exact sector Darpan targets (D2C beauty/personal care). Demonstrates that embedding-based similarity scoring produces population-level accuracy sufficient for concept testing.</w:t>
      </w:r>
    </w:p>
    <w:p>
      <w:pPr>
        <w:spacing w:after="60"/>
      </w:pPr>
    </w:p>
    <w:p>
      <w:pPr>
        <w:pStyle w:val="Heading2"/>
      </w:pPr>
      <w:r>
        <w:rPr>
          <w:rFonts w:ascii="Arial" w:cs="Arial" w:eastAsia="Arial" w:hAnsi="Arial"/>
        </w:rPr>
        <w:t xml:space="preserve">4.4 Park et al. (2024) — Generative Agent Simulations of 1,000 People</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Stanford HAI / Google DeepMind. Referenced in PRD v2.0 and Business Model Source of Truth.</w:t>
      </w:r>
    </w:p>
    <w:p>
      <w:pPr>
        <w:spacing w:after="120"/>
      </w:pPr>
      <w:r>
        <w:rPr>
          <w:rFonts w:ascii="Arial" w:cs="Arial" w:eastAsia="Arial" w:hAnsi="Arial"/>
          <w:sz w:val="22"/>
          <w:szCs w:val="22"/>
        </w:rPr>
        <w:t xml:space="preserve">Created digital twins of 1,000+ individuals from qualitative interview transcripts. Simulated agents replicated human responses on the General Social Survey 85% as accurately as participants replicate their own answers two weeks later. This is the foundational paper for Darpan’s entire approach.</w:t>
      </w:r>
    </w:p>
    <w:p>
      <w:pPr>
        <w:spacing w:after="120"/>
      </w:pPr>
      <w:r>
        <w:rPr>
          <w:rFonts w:ascii="Arial" w:cs="Arial" w:eastAsia="Arial" w:hAnsi="Arial"/>
          <w:b/>
          <w:bCs/>
          <w:sz w:val="22"/>
          <w:szCs w:val="22"/>
        </w:rPr>
        <w:t xml:space="preserve">Relevance to Vector DB: </w:t>
      </w:r>
      <w:r>
        <w:rPr>
          <w:rFonts w:ascii="Arial" w:cs="Arial" w:eastAsia="Arial" w:hAnsi="Arial"/>
          <w:sz w:val="22"/>
          <w:szCs w:val="22"/>
        </w:rPr>
        <w:t xml:space="preserve">The 85% accuracy benchmark uses ICL with interview-derived context—the same architecture as Darpan’s twin creation. Evidence retrieval from interview transcripts maps to vector similarity search over Q&amp;A embeddings.</w:t>
      </w:r>
    </w:p>
    <w:p>
      <w:r>
        <w:br w:type="page"/>
      </w:r>
    </w:p>
    <w:p>
      <w:pPr>
        <w:pStyle w:val="Heading1"/>
      </w:pPr>
      <w:r>
        <w:rPr>
          <w:rFonts w:ascii="Arial" w:cs="Arial" w:eastAsia="Arial" w:hAnsi="Arial"/>
        </w:rPr>
        <w:t xml:space="preserve">5. Research Papers: Knowledge Graph Approach</w:t>
      </w:r>
    </w:p>
    <w:p>
      <w:pPr>
        <w:spacing w:after="60"/>
      </w:pPr>
    </w:p>
    <w:p>
      <w:pPr>
        <w:pStyle w:val="Heading2"/>
      </w:pPr>
      <w:r>
        <w:rPr>
          <w:rFonts w:ascii="Arial" w:cs="Arial" w:eastAsia="Arial" w:hAnsi="Arial"/>
        </w:rPr>
        <w:t xml:space="preserve">5.1 Platnick et al. (2025) — ID-RAG: Identity Retrieval-Augmented Generation</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MIT Media Lab. arXiv:2509.25299. </w:t>
      </w:r>
      <w:r>
        <w:rPr>
          <w:rFonts w:ascii="Arial" w:cs="Arial" w:eastAsia="Arial" w:hAnsi="Arial"/>
          <w:color w:val="2E75B6"/>
          <w:sz w:val="20"/>
          <w:szCs w:val="20"/>
        </w:rPr>
        <w:t xml:space="preserve">https://arxiv.org/abs/2509.25299</w:t>
      </w:r>
    </w:p>
    <w:p>
      <w:pPr>
        <w:spacing w:after="120"/>
      </w:pPr>
      <w:r>
        <w:rPr>
          <w:rFonts w:ascii="Arial" w:cs="Arial" w:eastAsia="Arial" w:hAnsi="Arial"/>
          <w:sz w:val="22"/>
          <w:szCs w:val="22"/>
        </w:rPr>
        <w:t xml:space="preserve">Introduces ID-RAG: grounding agent persona in a dynamic knowledge graph of core beliefs, traits, and values. In social simulations, ID-RAG agents outperformed baseline agents in long-horizon persona coherence and reduced simulation convergence time by 19–58%. Key finding: treating identity as an explicit, retrievable knowledge structure prevents identity drift.</w:t>
      </w:r>
    </w:p>
    <w:p>
      <w:pPr>
        <w:spacing w:after="120"/>
      </w:pPr>
      <w:r>
        <w:rPr>
          <w:rFonts w:ascii="Arial" w:cs="Arial" w:eastAsia="Arial" w:hAnsi="Arial"/>
          <w:b/>
          <w:bCs/>
          <w:sz w:val="22"/>
          <w:szCs w:val="22"/>
        </w:rPr>
        <w:t xml:space="preserve">Relevance to Knowledge Graph: </w:t>
      </w:r>
      <w:r>
        <w:rPr>
          <w:rFonts w:ascii="Arial" w:cs="Arial" w:eastAsia="Arial" w:hAnsi="Arial"/>
          <w:sz w:val="22"/>
          <w:szCs w:val="22"/>
        </w:rPr>
        <w:t xml:space="preserve">This is the closest architectural analog to Step 4B. The “Chronicle structure” (a KG of beliefs/traits/values learned from digital footprint) maps directly to Darpan’s twin KG (25–35 behavioral trait nodes with weighted edges). ID-RAG demonstrates that KG-grounded agents maintain coherence over extended interactions—critical for experiment engine reliability.</w:t>
      </w:r>
    </w:p>
    <w:p>
      <w:pPr>
        <w:spacing w:after="60"/>
      </w:pPr>
    </w:p>
    <w:p>
      <w:pPr>
        <w:pStyle w:val="Heading2"/>
      </w:pPr>
      <w:r>
        <w:rPr>
          <w:rFonts w:ascii="Arial" w:cs="Arial" w:eastAsia="Arial" w:hAnsi="Arial"/>
        </w:rPr>
        <w:t xml:space="preserve">5.2 Edge et al. (2024) — Microsoft GraphRAG</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Microsoft Research. Open-sourced July 2024. 29,800+ GitHub stars. </w:t>
      </w:r>
      <w:r>
        <w:rPr>
          <w:rFonts w:ascii="Arial" w:cs="Arial" w:eastAsia="Arial" w:hAnsi="Arial"/>
          <w:color w:val="2E75B6"/>
          <w:sz w:val="20"/>
          <w:szCs w:val="20"/>
        </w:rPr>
        <w:t xml:space="preserve">https://github.com/microsoft/graphrag</w:t>
      </w:r>
    </w:p>
    <w:p>
      <w:pPr>
        <w:spacing w:after="120"/>
      </w:pPr>
      <w:r>
        <w:rPr>
          <w:rFonts w:ascii="Arial" w:cs="Arial" w:eastAsia="Arial" w:hAnsi="Arial"/>
          <w:sz w:val="22"/>
          <w:szCs w:val="22"/>
        </w:rPr>
        <w:t xml:space="preserve">Demonstrates that LLM-derived knowledge graphs with community detection (Leiden algorithm) and hierarchical summarization substantially outperform baseline RAG on comprehensiveness (70–80% win rate) and diversity of answers. The key innovation: extracting entities and relationships, then clustering them into community summaries at multiple levels.</w:t>
      </w:r>
    </w:p>
    <w:p>
      <w:pPr>
        <w:spacing w:after="120"/>
      </w:pPr>
      <w:r>
        <w:rPr>
          <w:rFonts w:ascii="Arial" w:cs="Arial" w:eastAsia="Arial" w:hAnsi="Arial"/>
          <w:b/>
          <w:bCs/>
          <w:sz w:val="22"/>
          <w:szCs w:val="22"/>
        </w:rPr>
        <w:t xml:space="preserve">Relevance to Knowledge Graph: </w:t>
      </w:r>
      <w:r>
        <w:rPr>
          <w:rFonts w:ascii="Arial" w:cs="Arial" w:eastAsia="Arial" w:hAnsi="Arial"/>
          <w:sz w:val="22"/>
          <w:szCs w:val="22"/>
        </w:rPr>
        <w:t xml:space="preserve">The entity extraction + community detection pipeline can be adapted for twin trait extraction. Instead of extracting entities from text documents, Darpan extracts behavioral traits from Q&amp;A pairs. The hierarchical community structure maps to trait clusters (e.g., price-sensitive behaviors clustering together). GraphRAG’s open-source library provides the extraction pipeline infrastructure.</w:t>
      </w:r>
    </w:p>
    <w:p>
      <w:pPr>
        <w:spacing w:after="60"/>
      </w:pPr>
    </w:p>
    <w:p>
      <w:pPr>
        <w:pStyle w:val="Heading2"/>
      </w:pPr>
      <w:r>
        <w:rPr>
          <w:rFonts w:ascii="Arial" w:cs="Arial" w:eastAsia="Arial" w:hAnsi="Arial"/>
        </w:rPr>
        <w:t xml:space="preserve">5.3 KG-RAG: Knowledge Graph Enhanced RAG (Nature, 2025)</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Scientific Reports (Nature). Nov 2025. </w:t>
      </w:r>
      <w:r>
        <w:rPr>
          <w:rFonts w:ascii="Arial" w:cs="Arial" w:eastAsia="Arial" w:hAnsi="Arial"/>
          <w:color w:val="2E75B6"/>
          <w:sz w:val="20"/>
          <w:szCs w:val="20"/>
        </w:rPr>
        <w:t xml:space="preserve">https://www.nature.com/articles/s41598-025-21222-z</w:t>
      </w:r>
    </w:p>
    <w:p>
      <w:pPr>
        <w:spacing w:after="120"/>
      </w:pPr>
      <w:r>
        <w:rPr>
          <w:rFonts w:ascii="Arial" w:cs="Arial" w:eastAsia="Arial" w:hAnsi="Arial"/>
          <w:sz w:val="22"/>
          <w:szCs w:val="22"/>
        </w:rPr>
        <w:t xml:space="preserve">Proposes a dual-channel retrieval mechanism: Dense Passage Retrieval (DPR) for vectorized text retrieval + Graph Neural Networks (GNN) for structured semantic path retrieval within a knowledge graph. The combination outperforms either approach alone on knowledge-intensive tasks.</w:t>
      </w:r>
    </w:p>
    <w:p>
      <w:pPr>
        <w:spacing w:after="120"/>
      </w:pPr>
      <w:r>
        <w:rPr>
          <w:rFonts w:ascii="Arial" w:cs="Arial" w:eastAsia="Arial" w:hAnsi="Arial"/>
          <w:b/>
          <w:bCs/>
          <w:sz w:val="22"/>
          <w:szCs w:val="22"/>
        </w:rPr>
        <w:t xml:space="preserve">Relevance to Knowledge Graph: </w:t>
      </w:r>
      <w:r>
        <w:rPr>
          <w:rFonts w:ascii="Arial" w:cs="Arial" w:eastAsia="Arial" w:hAnsi="Arial"/>
          <w:sz w:val="22"/>
          <w:szCs w:val="22"/>
        </w:rPr>
        <w:t xml:space="preserve">Validates the dual-approach architecture Darpan is building (Vector DB + KG independently). The dual-channel pattern could be a post-MVP integration: use vector retrieval for Q&amp;A evidence AND graph traversal for reasoning chains simultaneously, fusing results before LLM generation.</w:t>
      </w:r>
    </w:p>
    <w:p>
      <w:pPr>
        <w:spacing w:after="60"/>
      </w:pPr>
    </w:p>
    <w:p>
      <w:pPr>
        <w:pStyle w:val="Heading2"/>
      </w:pPr>
      <w:r>
        <w:rPr>
          <w:rFonts w:ascii="Arial" w:cs="Arial" w:eastAsia="Arial" w:hAnsi="Arial"/>
        </w:rPr>
        <w:t xml:space="preserve">5.4 Social Digital Twins for Policy Simulation (arXiv, Jan 2026)</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arXiv:2601.06111. </w:t>
      </w:r>
      <w:r>
        <w:rPr>
          <w:rFonts w:ascii="Arial" w:cs="Arial" w:eastAsia="Arial" w:hAnsi="Arial"/>
          <w:color w:val="2E75B6"/>
          <w:sz w:val="20"/>
          <w:szCs w:val="20"/>
        </w:rPr>
        <w:t xml:space="preserve">https://arxiv.org/html/2601.06111v1</w:t>
      </w:r>
    </w:p>
    <w:p>
      <w:pPr>
        <w:spacing w:after="120"/>
      </w:pPr>
      <w:r>
        <w:rPr>
          <w:rFonts w:ascii="Arial" w:cs="Arial" w:eastAsia="Arial" w:hAnsi="Arial"/>
          <w:sz w:val="22"/>
          <w:szCs w:val="22"/>
        </w:rPr>
        <w:t xml:space="preserve">Presents a domain-agnostic framework for LLM-powered social digital twins where synthetic personas with demographic/psychographic attributes generate multi-dimensional behavioral outputs. Achieves 20.7% improvement over gradient boosting baselines on population-level behavioral prediction. Key contribution: calibration layer mapping agent responses to observable metrics.</w:t>
      </w:r>
    </w:p>
    <w:p>
      <w:pPr>
        <w:spacing w:after="120"/>
      </w:pPr>
      <w:r>
        <w:rPr>
          <w:rFonts w:ascii="Arial" w:cs="Arial" w:eastAsia="Arial" w:hAnsi="Arial"/>
          <w:b/>
          <w:bCs/>
          <w:sz w:val="22"/>
          <w:szCs w:val="22"/>
        </w:rPr>
        <w:t xml:space="preserve">Relevance to Both Approaches: </w:t>
      </w:r>
      <w:r>
        <w:rPr>
          <w:rFonts w:ascii="Arial" w:cs="Arial" w:eastAsia="Arial" w:hAnsi="Arial"/>
          <w:sz w:val="22"/>
          <w:szCs w:val="22"/>
        </w:rPr>
        <w:t xml:space="preserve">The calibration layer concept directly addresses Darpan’s benchmark design (Step 5). The paper’s persona attribute structure (demographic + psychographic) maps to Darpan’s twin profiles, and the multi-dimensional behavioral output format maps to concept test response generation.</w:t>
      </w:r>
    </w:p>
    <w:p>
      <w:r>
        <w:br w:type="page"/>
      </w:r>
    </w:p>
    <w:p>
      <w:pPr>
        <w:pStyle w:val="Heading1"/>
      </w:pPr>
      <w:r>
        <w:rPr>
          <w:rFonts w:ascii="Arial" w:cs="Arial" w:eastAsia="Arial" w:hAnsi="Arial"/>
        </w:rPr>
        <w:t xml:space="preserve">6. Vector DB vs Knowledge Graph: Head-to-Head for Darpan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Vector DB (Step 4A)</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Knowledge Graph (Step 4B)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Implementation Complexity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ChromaDB setup in &lt;1 hour. Embed + store + query.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Medium–High. LLM extraction pass + graph construction + edge weighting.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Novel Question Handling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Semantic similarity finds relevant Q&amp;A even for unseen concepts.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Requires concept-to-trait dimension mapping before traversal.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Twin Differentiation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Cosine distance matrix enables contrast twin selection.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strong. Structural graph topology forces different reasoning paths.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Explainability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“Here are the 15 most relevant Q&amp;A pairs.”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Strong. “Price-sensitive → because student → compares extensively → but pays premium for proven ingredients.”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Reasoning Quality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Pattern-matching on retrieved text. May conflate unrelated Q&amp;A.</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Chain-of-trait reasoning. Structured logic flow per twin.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Cost at Scale (2K twins)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Embedding once ($5–10). Retrieval near-zero.</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Higher. LLM extraction pass per twin (~$15–25 total) + graph 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Research Validation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Twin-2K, SSR method, Park et al. all use embedding-based retrieval.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Emerging. ID-RAG (MIT) is the closest direct validation. GraphRAG validates extraction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Identity Coherence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risk of drift over extended queries.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Strong. ID-RAG shows 19–58% improvement in coherence via KG grounding.</w:t>
            </w:r>
          </w:p>
        </w:tc>
      </w:tr>
    </w:tbl>
    <w:p>
      <w:pPr>
        <w:spacing w:after="60"/>
      </w:pPr>
    </w:p>
    <w:p>
      <w:pPr>
        <w:pStyle w:val="Heading2"/>
      </w:pPr>
      <w:r>
        <w:rPr>
          <w:rFonts w:ascii="Arial" w:cs="Arial" w:eastAsia="Arial" w:hAnsi="Arial"/>
        </w:rPr>
        <w:t xml:space="preserve">6.1 Recommendation</w:t>
      </w:r>
    </w:p>
    <w:p>
      <w:pPr>
        <w:spacing w:after="120"/>
      </w:pPr>
      <w:r>
        <w:rPr>
          <w:rFonts w:ascii="Arial" w:cs="Arial" w:eastAsia="Arial" w:hAnsi="Arial"/>
          <w:sz w:val="22"/>
          <w:szCs w:val="22"/>
        </w:rPr>
        <w:t xml:space="preserve">Build both approaches as planned in the Execution Plan. The benchmark (Step 5) will provide empirical evidence for which performs better on Darpan’s specific concept test. Based on the research review, the most likely outcome is:</w:t>
      </w:r>
    </w:p>
    <w:p>
      <w:pPr>
        <w:spacing w:after="120"/>
      </w:pPr>
      <w:r>
        <w:rPr>
          <w:rFonts w:ascii="Arial" w:cs="Arial" w:eastAsia="Arial" w:hAnsi="Arial"/>
          <w:b/>
          <w:bCs/>
          <w:sz w:val="22"/>
          <w:szCs w:val="22"/>
        </w:rPr>
        <w:t xml:space="preserve">Vector DB wins on: </w:t>
      </w:r>
      <w:r>
        <w:rPr>
          <w:rFonts w:ascii="Arial" w:cs="Arial" w:eastAsia="Arial" w:hAnsi="Arial"/>
          <w:sz w:val="22"/>
          <w:szCs w:val="22"/>
        </w:rPr>
        <w:t xml:space="preserve">Aggregate distribution accuracy (JS Divergence), cost efficiency, and handling novel concept-test questions not covered by the trait taxonomy.</w:t>
      </w:r>
    </w:p>
    <w:p>
      <w:pPr>
        <w:spacing w:after="120"/>
      </w:pPr>
      <w:r>
        <w:rPr>
          <w:rFonts w:ascii="Arial" w:cs="Arial" w:eastAsia="Arial" w:hAnsi="Arial"/>
          <w:b/>
          <w:bCs/>
          <w:sz w:val="22"/>
          <w:szCs w:val="22"/>
        </w:rPr>
        <w:t xml:space="preserve">Knowledge Graph wins on: </w:t>
      </w:r>
      <w:r>
        <w:rPr>
          <w:rFonts w:ascii="Arial" w:cs="Arial" w:eastAsia="Arial" w:hAnsi="Arial"/>
          <w:sz w:val="22"/>
          <w:szCs w:val="22"/>
        </w:rPr>
        <w:t xml:space="preserve">Reasoning plausibility, inter-twin variance (differentiation), and explainability—all of which are critical for building trust with brand clients who need to understand WHY twins respond differently.</w:t>
      </w:r>
    </w:p>
    <w:p>
      <w:pPr>
        <w:spacing w:after="120"/>
      </w:pPr>
      <w:r>
        <w:rPr>
          <w:rFonts w:ascii="Arial" w:cs="Arial" w:eastAsia="Arial" w:hAnsi="Arial"/>
          <w:b/>
          <w:bCs/>
          <w:sz w:val="22"/>
          <w:szCs w:val="22"/>
        </w:rPr>
        <w:t xml:space="preserve">Post-MVP fusion: </w:t>
      </w:r>
      <w:r>
        <w:rPr>
          <w:rFonts w:ascii="Arial" w:cs="Arial" w:eastAsia="Arial" w:hAnsi="Arial"/>
          <w:sz w:val="22"/>
          <w:szCs w:val="22"/>
        </w:rPr>
        <w:t xml:space="preserve">The KG-RAG paper (Nature, 2025) suggests a dual-channel architecture where both retrieval mechanisms operate in parallel and results are fused before LLM generation. This is the likely production architecture—using vector retrieval for evidence and graph traversal for reasoning structure.</w:t>
      </w:r>
    </w:p>
    <w:p>
      <w:r>
        <w:br w:type="page"/>
      </w:r>
    </w:p>
    <w:p>
      <w:pPr>
        <w:pStyle w:val="Heading1"/>
      </w:pPr>
      <w:r>
        <w:rPr>
          <w:rFonts w:ascii="Arial" w:cs="Arial" w:eastAsia="Arial" w:hAnsi="Arial"/>
        </w:rPr>
        <w:t xml:space="preserve">7. Quick Reference: Installation &amp; Getting Started</w:t>
      </w:r>
    </w:p>
    <w:p>
      <w:pPr>
        <w:spacing w:after="60"/>
      </w:pPr>
    </w:p>
    <w:p>
      <w:pPr>
        <w:pStyle w:val="Heading2"/>
      </w:pPr>
      <w:r>
        <w:rPr>
          <w:rFonts w:ascii="Arial" w:cs="Arial" w:eastAsia="Arial" w:hAnsi="Arial"/>
        </w:rPr>
        <w:t xml:space="preserve">7.1 Vector DB Quick Start</w:t>
      </w:r>
    </w:p>
    <w:p>
      <w:pPr>
        <w:spacing w:after="120"/>
      </w:pPr>
      <w:r>
        <w:rPr>
          <w:rFonts w:ascii="Arial" w:cs="Arial" w:eastAsia="Arial" w:hAnsi="Arial"/>
          <w:b/>
          <w:bCs/>
          <w:sz w:val="22"/>
          <w:szCs w:val="22"/>
        </w:rPr>
        <w:t xml:space="preserve">ChromaDB: </w:t>
      </w:r>
      <w:r>
        <w:rPr>
          <w:rFonts w:ascii="Arial" w:cs="Arial" w:eastAsia="Arial" w:hAnsi="Arial"/>
          <w:sz w:val="22"/>
          <w:szCs w:val="22"/>
        </w:rPr>
        <w:t xml:space="preserve">pip install chromadb  —  In-memory or persistent. Auto-embedding via sentence-transformers. Python-native.</w:t>
      </w:r>
    </w:p>
    <w:p>
      <w:pPr>
        <w:spacing w:after="120"/>
      </w:pPr>
      <w:r>
        <w:rPr>
          <w:rFonts w:ascii="Arial" w:cs="Arial" w:eastAsia="Arial" w:hAnsi="Arial"/>
          <w:b/>
          <w:bCs/>
          <w:sz w:val="22"/>
          <w:szCs w:val="22"/>
        </w:rPr>
        <w:t xml:space="preserve">Qdrant: </w:t>
      </w:r>
      <w:r>
        <w:rPr>
          <w:rFonts w:ascii="Arial" w:cs="Arial" w:eastAsia="Arial" w:hAnsi="Arial"/>
          <w:sz w:val="22"/>
          <w:szCs w:val="22"/>
        </w:rPr>
        <w:t xml:space="preserve">docker pull qdrant/qdrant &amp;&amp; pip install qdrant-client  —  REST + gRPC API. Payload filtering. HNSW index.</w:t>
      </w:r>
    </w:p>
    <w:p>
      <w:pPr>
        <w:spacing w:after="120"/>
      </w:pPr>
      <w:r>
        <w:rPr>
          <w:rFonts w:ascii="Arial" w:cs="Arial" w:eastAsia="Arial" w:hAnsi="Arial"/>
          <w:b/>
          <w:bCs/>
          <w:sz w:val="22"/>
          <w:szCs w:val="22"/>
        </w:rPr>
        <w:t xml:space="preserve">pgvector: </w:t>
      </w:r>
      <w:r>
        <w:rPr>
          <w:rFonts w:ascii="Arial" w:cs="Arial" w:eastAsia="Arial" w:hAnsi="Arial"/>
          <w:sz w:val="22"/>
          <w:szCs w:val="22"/>
        </w:rPr>
        <w:t xml:space="preserve">CREATE EXTENSION vector;  —  Runs inside existing Postgres. SQL interface. ivfflat or HNSW indexing.</w:t>
      </w:r>
    </w:p>
    <w:p>
      <w:pPr>
        <w:spacing w:after="60"/>
      </w:pPr>
    </w:p>
    <w:p>
      <w:pPr>
        <w:pStyle w:val="Heading2"/>
      </w:pPr>
      <w:r>
        <w:rPr>
          <w:rFonts w:ascii="Arial" w:cs="Arial" w:eastAsia="Arial" w:hAnsi="Arial"/>
        </w:rPr>
        <w:t xml:space="preserve">7.2 Knowledge Graph Quick Start</w:t>
      </w:r>
    </w:p>
    <w:p>
      <w:pPr>
        <w:spacing w:after="120"/>
      </w:pPr>
      <w:r>
        <w:rPr>
          <w:rFonts w:ascii="Arial" w:cs="Arial" w:eastAsia="Arial" w:hAnsi="Arial"/>
          <w:b/>
          <w:bCs/>
          <w:sz w:val="22"/>
          <w:szCs w:val="22"/>
        </w:rPr>
        <w:t xml:space="preserve">NetworkX: </w:t>
      </w:r>
      <w:r>
        <w:rPr>
          <w:rFonts w:ascii="Arial" w:cs="Arial" w:eastAsia="Arial" w:hAnsi="Arial"/>
          <w:sz w:val="22"/>
          <w:szCs w:val="22"/>
        </w:rPr>
        <w:t xml:space="preserve">pip install networkx  —  Pure Python. DiGraph for directed trait relationships. JSON serialization.</w:t>
      </w:r>
    </w:p>
    <w:p>
      <w:pPr>
        <w:spacing w:after="120"/>
      </w:pPr>
      <w:r>
        <w:rPr>
          <w:rFonts w:ascii="Arial" w:cs="Arial" w:eastAsia="Arial" w:hAnsi="Arial"/>
          <w:b/>
          <w:bCs/>
          <w:sz w:val="22"/>
          <w:szCs w:val="22"/>
        </w:rPr>
        <w:t xml:space="preserve">Neo4j: </w:t>
      </w:r>
      <w:r>
        <w:rPr>
          <w:rFonts w:ascii="Arial" w:cs="Arial" w:eastAsia="Arial" w:hAnsi="Arial"/>
          <w:sz w:val="22"/>
          <w:szCs w:val="22"/>
        </w:rPr>
        <w:t xml:space="preserve">docker pull neo4j:community &amp;&amp; pip install neo4j  —  Cypher queries. Bloom visualization. GDS algorithms.</w:t>
      </w:r>
    </w:p>
    <w:p>
      <w:pPr>
        <w:spacing w:after="120"/>
      </w:pPr>
      <w:r>
        <w:rPr>
          <w:rFonts w:ascii="Arial" w:cs="Arial" w:eastAsia="Arial" w:hAnsi="Arial"/>
          <w:b/>
          <w:bCs/>
          <w:sz w:val="22"/>
          <w:szCs w:val="22"/>
        </w:rPr>
        <w:t xml:space="preserve">Microsoft GraphRAG: </w:t>
      </w:r>
      <w:r>
        <w:rPr>
          <w:rFonts w:ascii="Arial" w:cs="Arial" w:eastAsia="Arial" w:hAnsi="Arial"/>
          <w:sz w:val="22"/>
          <w:szCs w:val="22"/>
        </w:rPr>
        <w:t xml:space="preserve">pip install graphrag  —  LLM-powered entity/relationship extraction + Leiden community detection.</w:t>
      </w:r>
    </w:p>
    <w:p>
      <w:pPr>
        <w:spacing w:after="60"/>
      </w:pPr>
    </w:p>
    <w:p>
      <w:pPr>
        <w:spacing w:before="400"/>
      </w:pPr>
      <w:r>
        <w:rPr>
          <w:rFonts w:ascii="Arial" w:cs="Arial" w:eastAsia="Arial" w:hAnsi="Arial"/>
          <w:i/>
          <w:iCs/>
          <w:color w:val="999999"/>
          <w:sz w:val="18"/>
          <w:szCs w:val="18"/>
        </w:rPr>
        <w:t xml:space="preserve">Document prepared: March 2026 | Darpan Labs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Darpan Labs — Twin Generation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2026-03-03T10:14:35.804Z</dcterms:created>
  <dcterms:modified xsi:type="dcterms:W3CDTF">2026-03-03T10:14:35.805Z</dcterms:modified>
</cp:coreProperties>
</file>

<file path=docProps/custom.xml><?xml version="1.0" encoding="utf-8"?>
<Properties xmlns="http://schemas.openxmlformats.org/officeDocument/2006/custom-properties" xmlns:vt="http://schemas.openxmlformats.org/officeDocument/2006/docPropsVTypes"/>
</file>