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1a3a6b"/>
          <w:sz w:val="52"/>
          <w:szCs w:val="52"/>
        </w:rPr>
        <w:t xml:space="preserve">BANKING RISK ANALYTICS</w:t>
      </w:r>
    </w:p>
    <w:p>
      <w:pPr>
        <w:pBdr>
          <w:bottom w:val="single" w:color="2E5FA3" w:sz="8" w:space="8"/>
        </w:pBdr>
        <w:spacing w:after="0" w:before="80"/>
      </w:pPr>
      <w:r>
        <w:rPr>
          <w:rFonts w:ascii="Arial" w:cs="Arial" w:eastAsia="Arial" w:hAnsi="Arial"/>
          <w:color w:val="2E5FA3"/>
          <w:sz w:val="24"/>
          <w:szCs w:val="24"/>
        </w:rPr>
        <w:t xml:space="preserve">Integrated Capstone Project  —  SQL  ·  Python EDA  ·  Power BI</w:t>
      </w:r>
    </w:p>
    <w:p>
      <w:pPr>
        <w:spacing w:after="32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r>
              <w:rPr>
                <w:rFonts w:ascii="Arial" w:cs="Arial" w:eastAsia="Arial" w:hAnsi="Arial"/>
                <w:color w:val="555555"/>
                <w:sz w:val="18"/>
                <w:szCs w:val="18"/>
              </w:rPr>
              <w:t xml:space="preserve">Dataset</w:t>
            </w:r>
          </w:p>
          <w:p>
            <w:r>
              <w:rPr>
                <w:rFonts w:ascii="Arial" w:cs="Arial" w:eastAsia="Arial" w:hAnsi="Arial"/>
                <w:b/>
                <w:bCs/>
                <w:color w:val="1a3a6b"/>
                <w:sz w:val="20"/>
                <w:szCs w:val="20"/>
              </w:rPr>
              <w:t xml:space="preserve">3,000 Clients  ·  25 Columns</w:t>
            </w:r>
          </w:p>
        </w:tc>
        <w:tc>
          <w:tcPr>
            <w:tcW w:type="dxa" w:w="324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r>
              <w:rPr>
                <w:rFonts w:ascii="Arial" w:cs="Arial" w:eastAsia="Arial" w:hAnsi="Arial"/>
                <w:color w:val="555555"/>
                <w:sz w:val="18"/>
                <w:szCs w:val="18"/>
              </w:rPr>
              <w:t xml:space="preserve">Period</w:t>
            </w:r>
          </w:p>
          <w:p>
            <w:r>
              <w:rPr>
                <w:rFonts w:ascii="Arial" w:cs="Arial" w:eastAsia="Arial" w:hAnsi="Arial"/>
                <w:b/>
                <w:bCs/>
                <w:color w:val="1a3a6b"/>
                <w:sz w:val="20"/>
                <w:szCs w:val="20"/>
              </w:rPr>
              <w:t xml:space="preserve">1999 – 2021</w:t>
            </w:r>
          </w:p>
        </w:tc>
        <w:tc>
          <w:tcPr>
            <w:tcW w:type="dxa" w:w="324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r>
              <w:rPr>
                <w:rFonts w:ascii="Arial" w:cs="Arial" w:eastAsia="Arial" w:hAnsi="Arial"/>
                <w:color w:val="555555"/>
                <w:sz w:val="18"/>
                <w:szCs w:val="18"/>
              </w:rPr>
              <w:t xml:space="preserve">Tools</w:t>
            </w:r>
          </w:p>
          <w:p>
            <w:r>
              <w:rPr>
                <w:rFonts w:ascii="Arial" w:cs="Arial" w:eastAsia="Arial" w:hAnsi="Arial"/>
                <w:b/>
                <w:bCs/>
                <w:color w:val="1a3a6b"/>
                <w:sz w:val="20"/>
                <w:szCs w:val="20"/>
              </w:rPr>
              <w:t xml:space="preserve">MySQL  ·  Python  ·  Power BI</w:t>
            </w:r>
          </w:p>
        </w:tc>
      </w:tr>
    </w:tbl>
    <w:p>
      <w:pPr>
        <w:spacing w:after="480" w:before="0"/>
      </w:pPr>
    </w:p>
    <w:p>
      <w:pPr>
        <w:pStyle w:val="Heading1"/>
        <w:spacing w:after="120" w:before="360"/>
      </w:pPr>
      <w:r>
        <w:rPr>
          <w:rFonts w:ascii="Arial" w:cs="Arial" w:eastAsia="Arial" w:hAnsi="Arial"/>
          <w:b/>
          <w:bCs/>
          <w:color w:val="1a3a6b"/>
          <w:sz w:val="28"/>
          <w:szCs w:val="28"/>
        </w:rPr>
        <w:t xml:space="preserve">1.  Problem Statement</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Banks face a fundamental business challenge: every loan they approve represents a calculated risk. Approve too freely and non-performing loans erode capital reserves. Approve too conservatively and the bank loses revenue to competitors. The core problem is the absence of a systematic, data-driven framework that allows decision-makers to evaluate lending risk at the client and portfolio level simultaneously.</w:t>
      </w:r>
    </w:p>
    <w:p>
      <w:pPr>
        <w:spacing w:after="120" w:before="0"/>
      </w:pPr>
    </w:p>
    <w:p>
      <w:pPr>
        <w:spacing w:after="120" w:before="0"/>
      </w:pPr>
      <w:r>
        <w:rPr>
          <w:rFonts w:ascii="Arial" w:cs="Arial" w:eastAsia="Arial" w:hAnsi="Arial"/>
          <w:color w:val="1A1A2E"/>
          <w:sz w:val="22"/>
          <w:szCs w:val="22"/>
        </w:rPr>
        <w:t xml:space="preserve">This project addresses that challenge directly. Using a dataset of 3,000 banking clients across 25 variables — spanning loan balances, deposit accounts, income levels, demographics, and banking relationship types — we build an integrated analytics solution that answers three fundamental questions every banking risk officer must answer:</w:t>
      </w:r>
    </w:p>
    <w:p>
      <w:pPr>
        <w:spacing w:after="120" w:before="0"/>
      </w:pPr>
    </w:p>
    <w:p>
      <w:pPr>
        <w:pStyle w:val="ListParagraph"/>
        <w:numPr>
          <w:ilvl w:val="0"/>
          <w:numId w:val="2"/>
        </w:numPr>
        <w:spacing w:after="80" w:before="0"/>
      </w:pPr>
      <w:r>
        <w:rPr>
          <w:rFonts w:ascii="Arial" w:cs="Arial" w:eastAsia="Arial" w:hAnsi="Arial"/>
          <w:color w:val="1A1A2E"/>
          <w:sz w:val="22"/>
          <w:szCs w:val="22"/>
        </w:rPr>
        <w:t xml:space="preserve">Which clients and segments represent the highest probability of default or financial loss?</w:t>
      </w:r>
    </w:p>
    <w:p>
      <w:pPr>
        <w:pStyle w:val="ListParagraph"/>
        <w:numPr>
          <w:ilvl w:val="0"/>
          <w:numId w:val="2"/>
        </w:numPr>
        <w:spacing w:after="80" w:before="0"/>
      </w:pPr>
      <w:r>
        <w:rPr>
          <w:rFonts w:ascii="Arial" w:cs="Arial" w:eastAsia="Arial" w:hAnsi="Arial"/>
          <w:color w:val="1A1A2E"/>
          <w:sz w:val="22"/>
          <w:szCs w:val="22"/>
        </w:rPr>
        <w:t xml:space="preserve">How is the client portfolio growing, and which segments are driving that growth?</w:t>
      </w:r>
    </w:p>
    <w:p>
      <w:pPr>
        <w:pStyle w:val="ListParagraph"/>
        <w:numPr>
          <w:ilvl w:val="0"/>
          <w:numId w:val="2"/>
        </w:numPr>
        <w:spacing w:after="80" w:before="0"/>
      </w:pPr>
      <w:r>
        <w:rPr>
          <w:rFonts w:ascii="Arial" w:cs="Arial" w:eastAsia="Arial" w:hAnsi="Arial"/>
          <w:color w:val="1A1A2E"/>
          <w:sz w:val="22"/>
          <w:szCs w:val="22"/>
        </w:rPr>
        <w:t xml:space="preserve">Which client profiles generate the most fee revenue on a risk-adjusted basis?</w:t>
      </w:r>
    </w:p>
    <w:p>
      <w:pPr>
        <w:spacing w:after="120" w:before="0"/>
      </w:pPr>
    </w:p>
    <w:p>
      <w:pPr>
        <w:spacing w:after="120" w:before="0"/>
      </w:pPr>
      <w:r>
        <w:rPr>
          <w:rFonts w:ascii="Arial" w:cs="Arial" w:eastAsia="Arial" w:hAnsi="Arial"/>
          <w:color w:val="1A1A2E"/>
          <w:sz w:val="22"/>
          <w:szCs w:val="22"/>
        </w:rPr>
        <w:t xml:space="preserve">The solution delivers a 9-page interactive Power BI dashboard, a 1,283-line SQL analytical script, and a full Python EDA notebook — three integrated components that together form a complete banking risk analytics capability.</w:t>
      </w:r>
    </w:p>
    <w:p>
      <w:pPr>
        <w:spacing w:after="240" w:before="0"/>
      </w:pPr>
    </w:p>
    <w:p>
      <w:pPr>
        <w:pStyle w:val="Heading1"/>
        <w:spacing w:after="120" w:before="360"/>
      </w:pPr>
      <w:r>
        <w:rPr>
          <w:rFonts w:ascii="Arial" w:cs="Arial" w:eastAsia="Arial" w:hAnsi="Arial"/>
          <w:b/>
          <w:bCs/>
          <w:color w:val="1a3a6b"/>
          <w:sz w:val="28"/>
          <w:szCs w:val="28"/>
        </w:rPr>
        <w:t xml:space="preserve">2.  Dataset Overview</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The dataset contains client records from a retail and commercial banking portfolio, spanning 22 years of client acquisition history from 1999 to 2021. It is a flat-file structure with 3,000 rows and 25 columns, containing zero null values — making it analytically clean but requiring significant feature engineering to extract meaningful risk and profitability signals.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Banking.csv  /  Banking01.xlsx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Total clients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columns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 variables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Date range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1999 – 2021 (joining 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Nationalities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American, African, Asian, European, Australian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Banking Relationship</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Premium, Business, Personal, SME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(5%)  ·  Mid (3%)  ·  Low (1%)</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Loyalty Tiers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Jade, Gold, Silver, Platinum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 values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dataset is 100% complete</w:t>
            </w:r>
          </w:p>
        </w:tc>
      </w:tr>
    </w:tbl>
    <w:p>
      <w:pPr>
        <w:spacing w:after="240" w:before="0"/>
      </w:pPr>
    </w:p>
    <w:p>
      <w:pPr>
        <w:pStyle w:val="Heading1"/>
        <w:spacing w:after="120" w:before="360"/>
      </w:pPr>
      <w:r>
        <w:rPr>
          <w:rFonts w:ascii="Arial" w:cs="Arial" w:eastAsia="Arial" w:hAnsi="Arial"/>
          <w:b/>
          <w:bCs/>
          <w:color w:val="1a3a6b"/>
          <w:sz w:val="28"/>
          <w:szCs w:val="28"/>
        </w:rPr>
        <w:t xml:space="preserve">3.  Methodology</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The project follows a three-stage integrated analytical pipeline. Each stage feeds into the next — SQL establishes the environment and validates the data, Python EDA surfaces statistical patterns, and Power BI delivers those insights as an interactive decision-support tool.</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1  —  Data Setup &amp; Exploration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MySQL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creation, table structuring, initial data validation and range checks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2  —  Statistical EDA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Python (Colab)</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 engineering, distribution analysis, correlation matrix, regression plots, 10 data-driven insights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3  —  Interactive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BI Desktop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9-page dashboard covering Risk, Growth, and Profitability with 25+ DAX measures</w:t>
            </w:r>
          </w:p>
        </w:tc>
      </w:tr>
    </w:tbl>
    <w:p>
      <w:pPr>
        <w:spacing w:after="240" w:before="0"/>
      </w:pPr>
    </w:p>
    <w:p>
      <w:pPr>
        <w:pStyle w:val="Heading2"/>
        <w:spacing w:after="80" w:before="240"/>
      </w:pPr>
      <w:r>
        <w:rPr>
          <w:rFonts w:ascii="Arial" w:cs="Arial" w:eastAsia="Arial" w:hAnsi="Arial"/>
          <w:b/>
          <w:bCs/>
          <w:color w:val="2E5FA3"/>
          <w:sz w:val="24"/>
          <w:szCs w:val="24"/>
        </w:rPr>
        <w:t xml:space="preserve">3.1  Feature Engineering</w:t>
      </w:r>
    </w:p>
    <w:p>
      <w:pPr>
        <w:spacing w:after="120" w:before="0"/>
      </w:pPr>
      <w:r>
        <w:rPr>
          <w:rFonts w:ascii="Arial" w:cs="Arial" w:eastAsia="Arial" w:hAnsi="Arial"/>
          <w:color w:val="1A1A2E"/>
          <w:sz w:val="22"/>
          <w:szCs w:val="22"/>
        </w:rPr>
        <w:t xml:space="preserve">Five derived columns were created consistently across all three tools to ensure analytical alignment:</w:t>
      </w:r>
    </w:p>
    <w:p>
      <w:pPr>
        <w:spacing w:after="12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tblGrid>
      <w:t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Derived Column</w:t>
            </w:r>
          </w:p>
        </w:tc>
        <w:tc>
          <w:tcPr>
            <w:tcW w:type="dxa" w:w="3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Logic</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Income Band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(&lt;$100K)  ·  Mid (&lt;$300K)  ·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  Python  ·  Power BI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 Band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18–30  ·  31–45  ·  46–60  ·  61+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SQL  ·  Python  ·  Power BI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Processing Fees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 0.05  ·  Mid = 0.03  ·  Low = 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  Python  ·  Power BI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Engagement Days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DATEDIFF(today, Joined Bank)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SQL  ·  Power BI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Engagement Timeframe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&lt;1yr  ·  1–5yr  ·  5–10yr  ·  10+yr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  Power BI</w:t>
            </w:r>
          </w:p>
        </w:tc>
      </w:tr>
    </w:tbl>
    <w:p>
      <w:pPr>
        <w:spacing w:after="240" w:before="0"/>
      </w:pPr>
    </w:p>
    <w:p>
      <w:pPr>
        <w:pStyle w:val="Heading2"/>
        <w:spacing w:after="80" w:before="240"/>
      </w:pPr>
      <w:r>
        <w:rPr>
          <w:rFonts w:ascii="Arial" w:cs="Arial" w:eastAsia="Arial" w:hAnsi="Arial"/>
          <w:b/>
          <w:bCs/>
          <w:color w:val="2E5FA3"/>
          <w:sz w:val="24"/>
          <w:szCs w:val="24"/>
        </w:rPr>
        <w:t xml:space="preserve">3.2  Data Modelling (Power BI)</w:t>
      </w:r>
    </w:p>
    <w:p>
      <w:pPr>
        <w:spacing w:after="120" w:before="0"/>
      </w:pPr>
      <w:r>
        <w:rPr>
          <w:rFonts w:ascii="Arial" w:cs="Arial" w:eastAsia="Arial" w:hAnsi="Arial"/>
          <w:color w:val="1A1A2E"/>
          <w:sz w:val="22"/>
          <w:szCs w:val="22"/>
        </w:rPr>
        <w:t xml:space="preserve">A Date Table was created in DAX spanning 1995–2021 and marked as an official date table, enabling time intelligence functions. A one-to-many relationship was established between Date Table[Date] and Banking[Joined Bank], allowing all 9 dashboard pages to respond to year-based slicer selections with correct YoY calculations.</w:t>
      </w:r>
    </w:p>
    <w:p>
      <w:pPr>
        <w:spacing w:after="240" w:before="0"/>
      </w:pPr>
    </w:p>
    <w:p>
      <w:pPr>
        <w:pStyle w:val="Heading2"/>
        <w:spacing w:after="80" w:before="240"/>
      </w:pPr>
      <w:r>
        <w:rPr>
          <w:rFonts w:ascii="Arial" w:cs="Arial" w:eastAsia="Arial" w:hAnsi="Arial"/>
          <w:b/>
          <w:bCs/>
          <w:color w:val="2E5FA3"/>
          <w:sz w:val="24"/>
          <w:szCs w:val="24"/>
        </w:rPr>
        <w:t xml:space="preserve">3.3  DAX Measure Library</w:t>
      </w:r>
    </w:p>
    <w:p>
      <w:pPr>
        <w:spacing w:after="120" w:before="0"/>
      </w:pPr>
      <w:r>
        <w:rPr>
          <w:rFonts w:ascii="Arial" w:cs="Arial" w:eastAsia="Arial" w:hAnsi="Arial"/>
          <w:color w:val="1A1A2E"/>
          <w:sz w:val="22"/>
          <w:szCs w:val="22"/>
        </w:rPr>
        <w:t xml:space="preserve">25 DAX measures were built across four categories:</w:t>
      </w:r>
    </w:p>
    <w:p>
      <w:pPr>
        <w:spacing w:after="120" w:before="0"/>
      </w:pPr>
    </w:p>
    <w:p>
      <w:pPr>
        <w:pStyle w:val="ListParagraph"/>
        <w:numPr>
          <w:ilvl w:val="0"/>
          <w:numId w:val="2"/>
        </w:numPr>
        <w:spacing w:after="80" w:before="0"/>
      </w:pPr>
      <w:r>
        <w:rPr>
          <w:rFonts w:ascii="Arial" w:cs="Arial" w:eastAsia="Arial" w:hAnsi="Arial"/>
          <w:color w:val="1A1A2E"/>
          <w:sz w:val="22"/>
          <w:szCs w:val="22"/>
        </w:rPr>
        <w:t xml:space="preserve">Base measures: Total Clients, Bank Loan Amount, Business Lending Amount, Credit Cards Balance, Total Bank Deposit, Total Checking Accounts, Total Saving Account, Foreign Currency Amount</w:t>
      </w:r>
    </w:p>
    <w:p>
      <w:pPr>
        <w:pStyle w:val="ListParagraph"/>
        <w:numPr>
          <w:ilvl w:val="0"/>
          <w:numId w:val="2"/>
        </w:numPr>
        <w:spacing w:after="80" w:before="0"/>
      </w:pPr>
      <w:r>
        <w:rPr>
          <w:rFonts w:ascii="Arial" w:cs="Arial" w:eastAsia="Arial" w:hAnsi="Arial"/>
          <w:color w:val="1A1A2E"/>
          <w:sz w:val="22"/>
          <w:szCs w:val="22"/>
        </w:rPr>
        <w:t xml:space="preserve">Composite measures: Total Loan (loans + business lending + CC), Total Deposit (deposits + saving + checking + FX), Total Fees (SUMX with processing fee rate)</w:t>
      </w:r>
    </w:p>
    <w:p>
      <w:pPr>
        <w:pStyle w:val="ListParagraph"/>
        <w:numPr>
          <w:ilvl w:val="0"/>
          <w:numId w:val="2"/>
        </w:numPr>
        <w:spacing w:after="80" w:before="0"/>
      </w:pPr>
      <w:r>
        <w:rPr>
          <w:rFonts w:ascii="Arial" w:cs="Arial" w:eastAsia="Arial" w:hAnsi="Arial"/>
          <w:color w:val="1A1A2E"/>
          <w:sz w:val="22"/>
          <w:szCs w:val="22"/>
        </w:rPr>
        <w:t xml:space="preserve">Time intelligence: YoY Loan Growth, YoY Deposit Growth, YoY Client Growth, Cumulative Clients, Growth Rate % — all using HASONEVALUE pattern for correct blank handling</w:t>
      </w:r>
    </w:p>
    <w:p>
      <w:pPr>
        <w:pStyle w:val="ListParagraph"/>
        <w:numPr>
          <w:ilvl w:val="0"/>
          <w:numId w:val="2"/>
        </w:numPr>
        <w:spacing w:after="80" w:before="0"/>
      </w:pPr>
      <w:r>
        <w:rPr>
          <w:rFonts w:ascii="Arial" w:cs="Arial" w:eastAsia="Arial" w:hAnsi="Arial"/>
          <w:color w:val="1A1A2E"/>
          <w:sz w:val="22"/>
          <w:szCs w:val="22"/>
        </w:rPr>
        <w:t xml:space="preserve">Risk measures: High Risk Loan Clients, Overleveraged Clients, Credit Risk Ratio, High Loan Low Income Count, Loan Concentration %</w:t>
      </w:r>
    </w:p>
    <w:p>
      <w:pPr>
        <w:spacing w:after="320" w:before="0"/>
      </w:pPr>
    </w:p>
    <w:p>
      <w:r>
        <w:br w:type="page"/>
      </w:r>
    </w:p>
    <w:p>
      <w:pPr>
        <w:pStyle w:val="Heading1"/>
        <w:spacing w:after="120" w:before="360"/>
      </w:pPr>
      <w:r>
        <w:rPr>
          <w:rFonts w:ascii="Arial" w:cs="Arial" w:eastAsia="Arial" w:hAnsi="Arial"/>
          <w:b/>
          <w:bCs/>
          <w:color w:val="1a3a6b"/>
          <w:sz w:val="28"/>
          <w:szCs w:val="28"/>
        </w:rPr>
        <w:t xml:space="preserve">4.  Key Findings</w:t>
      </w:r>
    </w:p>
    <w:p>
      <w:pPr>
        <w:pBdr>
          <w:bottom w:val="single" w:color="2E5FA3" w:sz="4" w:space="1"/>
        </w:pBdr>
        <w:spacing w:after="120" w:before="120"/>
      </w:pPr>
    </w:p>
    <w:p>
      <w:pPr>
        <w:spacing w:after="120" w:before="0"/>
      </w:pPr>
    </w:p>
    <w:p>
      <w:pPr>
        <w:pStyle w:val="Heading2"/>
        <w:spacing w:after="80" w:before="240"/>
      </w:pPr>
      <w:r>
        <w:rPr>
          <w:rFonts w:ascii="Arial" w:cs="Arial" w:eastAsia="Arial" w:hAnsi="Arial"/>
          <w:b/>
          <w:bCs/>
          <w:color w:val="2E5FA3"/>
          <w:sz w:val="24"/>
          <w:szCs w:val="24"/>
        </w:rPr>
        <w:t xml:space="preserve">4.1  Portfolio Overview</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3,000</w:t>
            </w:r>
          </w:p>
          <w:p>
            <w:pPr>
              <w:spacing w:after="0" w:before="0"/>
            </w:pPr>
            <w:r>
              <w:rPr>
                <w:rFonts w:ascii="Arial" w:cs="Arial" w:eastAsia="Arial" w:hAnsi="Arial"/>
                <w:color w:val="555555"/>
                <w:sz w:val="18"/>
                <w:szCs w:val="18"/>
              </w:rPr>
              <w:t xml:space="preserve">Total Clients</w:t>
            </w:r>
          </w:p>
        </w:tc>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$4.38B</w:t>
            </w:r>
          </w:p>
          <w:p>
            <w:pPr>
              <w:spacing w:after="0" w:before="0"/>
            </w:pPr>
            <w:r>
              <w:rPr>
                <w:rFonts w:ascii="Arial" w:cs="Arial" w:eastAsia="Arial" w:hAnsi="Arial"/>
                <w:color w:val="555555"/>
                <w:sz w:val="18"/>
                <w:szCs w:val="18"/>
              </w:rPr>
              <w:t xml:space="preserve">Total Loan Exposure</w:t>
            </w:r>
          </w:p>
        </w:tc>
      </w:tr>
      <w:tr>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$3.77B</w:t>
            </w:r>
          </w:p>
          <w:p>
            <w:pPr>
              <w:spacing w:after="0" w:before="0"/>
            </w:pPr>
            <w:r>
              <w:rPr>
                <w:rFonts w:ascii="Arial" w:cs="Arial" w:eastAsia="Arial" w:hAnsi="Arial"/>
                <w:color w:val="555555"/>
                <w:sz w:val="18"/>
                <w:szCs w:val="18"/>
              </w:rPr>
              <w:t xml:space="preserve">Total Deposits</w:t>
            </w:r>
          </w:p>
        </w:tc>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$2.60B</w:t>
            </w:r>
          </w:p>
          <w:p>
            <w:pPr>
              <w:spacing w:after="0" w:before="0"/>
            </w:pPr>
            <w:r>
              <w:rPr>
                <w:rFonts w:ascii="Arial" w:cs="Arial" w:eastAsia="Arial" w:hAnsi="Arial"/>
                <w:color w:val="555555"/>
                <w:sz w:val="18"/>
                <w:szCs w:val="18"/>
              </w:rPr>
              <w:t xml:space="preserve">Business Lending</w:t>
            </w:r>
          </w:p>
        </w:tc>
      </w:tr>
      <w:tr>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$158.19M</w:t>
            </w:r>
          </w:p>
          <w:p>
            <w:pPr>
              <w:spacing w:after="0" w:before="0"/>
            </w:pPr>
            <w:r>
              <w:rPr>
                <w:rFonts w:ascii="Arial" w:cs="Arial" w:eastAsia="Arial" w:hAnsi="Arial"/>
                <w:color w:val="555555"/>
                <w:sz w:val="18"/>
                <w:szCs w:val="18"/>
              </w:rPr>
              <w:t xml:space="preserve">Total Fee Revenue</w:t>
            </w:r>
          </w:p>
        </w:tc>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$52,730</w:t>
            </w:r>
          </w:p>
          <w:p>
            <w:pPr>
              <w:spacing w:after="0" w:before="0"/>
            </w:pPr>
            <w:r>
              <w:rPr>
                <w:rFonts w:ascii="Arial" w:cs="Arial" w:eastAsia="Arial" w:hAnsi="Arial"/>
                <w:color w:val="555555"/>
                <w:sz w:val="18"/>
                <w:szCs w:val="18"/>
              </w:rPr>
              <w:t xml:space="preserve">Avg Fee Per Client</w:t>
            </w:r>
          </w:p>
        </w:tc>
      </w:tr>
      <w:tr>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1.16x</w:t>
            </w:r>
          </w:p>
          <w:p>
            <w:pPr>
              <w:spacing w:after="0" w:before="0"/>
            </w:pPr>
            <w:r>
              <w:rPr>
                <w:rFonts w:ascii="Arial" w:cs="Arial" w:eastAsia="Arial" w:hAnsi="Arial"/>
                <w:color w:val="555555"/>
                <w:sz w:val="18"/>
                <w:szCs w:val="18"/>
              </w:rPr>
              <w:t xml:space="preserve">Loan to Deposit Ratio</w:t>
            </w:r>
          </w:p>
        </w:tc>
        <w:tc>
          <w:tcPr>
            <w:tcW w:type="dxa" w:w="4500"/>
            <w:tcBorders>
              <w:top w:val="single" w:color="CCCCCC" w:sz="1"/>
              <w:left w:val="single" w:color="CCCCCC" w:sz="1"/>
              <w:bottom w:val="single" w:color="CCCCCC" w:sz="1"/>
              <w:right w:val="single" w:color="CCCCCC" w:sz="1"/>
            </w:tcBorders>
            <w:shd w:fill="EBF2FB" w:val="clear"/>
            <w:tcMar>
              <w:top w:type="dxa" w:w="120"/>
              <w:left w:type="dxa" w:w="160"/>
              <w:bottom w:type="dxa" w:w="120"/>
              <w:right w:type="dxa" w:w="160"/>
            </w:tcMar>
          </w:tcPr>
          <w:p>
            <w:pPr>
              <w:spacing w:after="40" w:before="0"/>
            </w:pPr>
            <w:r>
              <w:rPr>
                <w:rFonts w:ascii="Arial" w:cs="Arial" w:eastAsia="Arial" w:hAnsi="Arial"/>
                <w:b/>
                <w:bCs/>
                <w:color w:val="1a3a6b"/>
                <w:sz w:val="28"/>
                <w:szCs w:val="28"/>
              </w:rPr>
              <w:t xml:space="preserve">$1.46M</w:t>
            </w:r>
          </w:p>
          <w:p>
            <w:pPr>
              <w:spacing w:after="0" w:before="0"/>
            </w:pPr>
            <w:r>
              <w:rPr>
                <w:rFonts w:ascii="Arial" w:cs="Arial" w:eastAsia="Arial" w:hAnsi="Arial"/>
                <w:color w:val="555555"/>
                <w:sz w:val="18"/>
                <w:szCs w:val="18"/>
              </w:rPr>
              <w:t xml:space="preserve">Avg Loan Per Client</w:t>
            </w:r>
          </w:p>
        </w:tc>
      </w:tr>
    </w:tbl>
    <w:p>
      <w:pPr>
        <w:spacing w:after="240" w:before="0"/>
      </w:pPr>
    </w:p>
    <w:p>
      <w:pPr>
        <w:spacing w:after="120" w:before="0"/>
      </w:pPr>
      <w:r>
        <w:rPr>
          <w:rFonts w:ascii="Arial" w:cs="Arial" w:eastAsia="Arial" w:hAnsi="Arial"/>
          <w:color w:val="1A1A2E"/>
          <w:sz w:val="22"/>
          <w:szCs w:val="22"/>
        </w:rPr>
        <w:t xml:space="preserve">The portfolio carries $4.38 billion in total loan exposure against $3.77 billion in total deposits — a Loan to Deposit Ratio of 1.16x. This means the bank is lending out more than it holds in deposits, a liquidity risk flag that warrants active monitoring. Business Lending at $2.60 billion represents the single largest exposure category, exceeding Bank Loans ($1.77B) by a significant margin.</w:t>
      </w:r>
    </w:p>
    <w:p>
      <w:pPr>
        <w:spacing w:after="240" w:before="0"/>
      </w:pPr>
    </w:p>
    <w:p>
      <w:pPr>
        <w:pStyle w:val="Heading2"/>
        <w:spacing w:after="80" w:before="240"/>
      </w:pPr>
      <w:r>
        <w:rPr>
          <w:rFonts w:ascii="Arial" w:cs="Arial" w:eastAsia="Arial" w:hAnsi="Arial"/>
          <w:b/>
          <w:bCs/>
          <w:color w:val="2E5FA3"/>
          <w:sz w:val="24"/>
          <w:szCs w:val="24"/>
        </w:rPr>
        <w:t xml:space="preserve">4.2  Risk Analysis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33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Metric</w:t>
            </w:r>
          </w:p>
        </w:tc>
        <w:tc>
          <w:tcPr>
            <w:tcW w:type="dxa" w:w="1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Portfolio</w:t>
            </w:r>
          </w:p>
        </w:tc>
        <w:tc>
          <w:tcPr>
            <w:tcW w:type="dxa" w:w="3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Risk Loan Clients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Loans above portfolio average — elevated default exposure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Overleveraged Clients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1,506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Loan balance exceeds deposit balance — dual vulnerability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Loan Low Income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income + high loan — highest default probability segment</w:t>
            </w:r>
          </w:p>
        </w:tc>
      </w:tr>
    </w:tbl>
    <w:p>
      <w:pPr>
        <w:spacing w:after="200" w:before="0"/>
      </w:pPr>
    </w:p>
    <w:p>
      <w:pPr>
        <w:pStyle w:val="ListParagraph"/>
        <w:numPr>
          <w:ilvl w:val="0"/>
          <w:numId w:val="2"/>
        </w:numPr>
        <w:spacing w:after="80" w:before="0"/>
      </w:pPr>
      <w:r>
        <w:rPr>
          <w:rFonts w:ascii="Arial" w:cs="Arial" w:eastAsia="Arial" w:hAnsi="Arial"/>
          <w:color w:val="1A1A2E"/>
          <w:sz w:val="22"/>
          <w:szCs w:val="22"/>
        </w:rPr>
        <w:t xml:space="preserve">Nearly half the portfolio (50.2%) is overleveraged — clients whose loan obligations exceed their deposit holdings represent the most structurally vulnerable segment.</w:t>
      </w:r>
    </w:p>
    <w:p>
      <w:pPr>
        <w:pStyle w:val="ListParagraph"/>
        <w:numPr>
          <w:ilvl w:val="0"/>
          <w:numId w:val="2"/>
        </w:numPr>
        <w:spacing w:after="80" w:before="0"/>
      </w:pPr>
      <w:r>
        <w:rPr>
          <w:rFonts w:ascii="Arial" w:cs="Arial" w:eastAsia="Arial" w:hAnsi="Arial"/>
          <w:color w:val="1A1A2E"/>
          <w:sz w:val="22"/>
          <w:szCs w:val="22"/>
        </w:rPr>
        <w:t xml:space="preserve">The High Loan Low Income cohort (269 clients, 9.0%) carries the highest individual default risk. These clients have above-average loan burdens on below-average income — the combination most predictive of repayment failure.</w:t>
      </w:r>
    </w:p>
    <w:p>
      <w:pPr>
        <w:pStyle w:val="ListParagraph"/>
        <w:numPr>
          <w:ilvl w:val="0"/>
          <w:numId w:val="2"/>
        </w:numPr>
        <w:spacing w:after="80" w:before="0"/>
      </w:pPr>
      <w:r>
        <w:rPr>
          <w:rFonts w:ascii="Arial" w:cs="Arial" w:eastAsia="Arial" w:hAnsi="Arial"/>
          <w:color w:val="1A1A2E"/>
          <w:sz w:val="22"/>
          <w:szCs w:val="22"/>
        </w:rPr>
        <w:t xml:space="preserve">Australian and American clients carry the highest average loan balances ($606,921 and $603,605 respectively), making these nationalities the highest concentration risk despite representing only ~20% of clients each.</w:t>
      </w:r>
    </w:p>
    <w:p>
      <w:pPr>
        <w:pStyle w:val="ListParagraph"/>
        <w:numPr>
          <w:ilvl w:val="0"/>
          <w:numId w:val="2"/>
        </w:numPr>
        <w:spacing w:after="80" w:before="0"/>
      </w:pPr>
      <w:r>
        <w:rPr>
          <w:rFonts w:ascii="Arial" w:cs="Arial" w:eastAsia="Arial" w:hAnsi="Arial"/>
          <w:color w:val="1A1A2E"/>
          <w:sz w:val="22"/>
          <w:szCs w:val="22"/>
        </w:rPr>
        <w:t xml:space="preserve">The Credit Risk Ratio (CC Balance / Total Loan) is low across the portfolio, indicating credit card exposure is not the primary risk driver — term loans and business lending are.</w:t>
      </w:r>
    </w:p>
    <w:p>
      <w:pPr>
        <w:spacing w:after="240" w:before="0"/>
      </w:pPr>
    </w:p>
    <w:p>
      <w:pPr>
        <w:pStyle w:val="Heading2"/>
        <w:spacing w:after="80" w:before="240"/>
      </w:pPr>
      <w:r>
        <w:rPr>
          <w:rFonts w:ascii="Arial" w:cs="Arial" w:eastAsia="Arial" w:hAnsi="Arial"/>
          <w:b/>
          <w:bCs/>
          <w:color w:val="2E5FA3"/>
          <w:sz w:val="24"/>
          <w:szCs w:val="24"/>
        </w:rPr>
        <w:t xml:space="preserve">4.3  Growth Analysis</w:t>
      </w:r>
    </w:p>
    <w:p>
      <w:pPr>
        <w:spacing w:after="120" w:before="0"/>
      </w:pPr>
    </w:p>
    <w:p>
      <w:pPr>
        <w:spacing w:after="120" w:before="0"/>
      </w:pPr>
      <w:r>
        <w:rPr>
          <w:rFonts w:ascii="Arial" w:cs="Arial" w:eastAsia="Arial" w:hAnsi="Arial"/>
          <w:color w:val="1A1A2E"/>
          <w:sz w:val="22"/>
          <w:szCs w:val="22"/>
        </w:rPr>
        <w:t xml:space="preserve">Client acquisition accelerated significantly from 2019 onwards, with 2020 recording peak intake at 248 new clients — an 32.6% increase over 2019. The cumulative client base grew steadily from 97 clients in 1995 to 3,000 by end of 2021.</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2160"/>
        <w:gridCol w:w="2700"/>
      </w:tblGrid>
      <w:tr>
        <w:tc>
          <w:tcPr>
            <w:tcW w:type="dxa" w:w="2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Banking Relationship</w:t>
            </w:r>
          </w:p>
        </w:tc>
        <w:tc>
          <w:tcPr>
            <w:tcW w:type="dxa" w:w="14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Clients</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Portfolio</w:t>
            </w:r>
          </w:p>
        </w:tc>
        <w:tc>
          <w:tcPr>
            <w:tcW w:type="dxa" w:w="2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Fee Revenue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1,352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45.1%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$72.6M</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Premium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660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22.0%</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$34.4M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Business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$25.1M</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SME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493</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16.4%</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$26.1M</w:t>
            </w:r>
          </w:p>
        </w:tc>
      </w:tr>
    </w:tbl>
    <w:p>
      <w:pPr>
        <w:spacing w:after="200" w:before="0"/>
      </w:pPr>
    </w:p>
    <w:p>
      <w:pPr>
        <w:pStyle w:val="ListParagraph"/>
        <w:numPr>
          <w:ilvl w:val="0"/>
          <w:numId w:val="2"/>
        </w:numPr>
        <w:spacing w:after="80" w:before="0"/>
      </w:pPr>
      <w:r>
        <w:rPr>
          <w:rFonts w:ascii="Arial" w:cs="Arial" w:eastAsia="Arial" w:hAnsi="Arial"/>
          <w:color w:val="1A1A2E"/>
          <w:sz w:val="22"/>
          <w:szCs w:val="22"/>
        </w:rPr>
        <w:t xml:space="preserve">Personal banking clients dominate at 45.1% of the portfolio but generate only 45.8% of fee revenue, suggesting conversion to higher fee tiers is the primary growth lever.</w:t>
      </w:r>
    </w:p>
    <w:p>
      <w:pPr>
        <w:pStyle w:val="ListParagraph"/>
        <w:numPr>
          <w:ilvl w:val="0"/>
          <w:numId w:val="2"/>
        </w:numPr>
        <w:spacing w:after="80" w:before="0"/>
      </w:pPr>
      <w:r>
        <w:rPr>
          <w:rFonts w:ascii="Arial" w:cs="Arial" w:eastAsia="Arial" w:hAnsi="Arial"/>
          <w:color w:val="1A1A2E"/>
          <w:sz w:val="22"/>
          <w:szCs w:val="22"/>
        </w:rPr>
        <w:t xml:space="preserve">Premium clients (22.0%) generate $34.4M in fee revenue — a revenue-per-client ratio significantly higher than the Personal segment.</w:t>
      </w:r>
    </w:p>
    <w:p>
      <w:pPr>
        <w:pStyle w:val="ListParagraph"/>
        <w:numPr>
          <w:ilvl w:val="0"/>
          <w:numId w:val="2"/>
        </w:numPr>
        <w:spacing w:after="80" w:before="0"/>
      </w:pPr>
      <w:r>
        <w:rPr>
          <w:rFonts w:ascii="Arial" w:cs="Arial" w:eastAsia="Arial" w:hAnsi="Arial"/>
          <w:color w:val="1A1A2E"/>
          <w:sz w:val="22"/>
          <w:szCs w:val="22"/>
        </w:rPr>
        <w:t xml:space="preserve">Jade loyalty clients form the largest loyalty cohort at 1,331 clients (44.4%) with $1.98B in total loan exposure, making them the most important segment for both risk monitoring and revenue growth.</w:t>
      </w:r>
    </w:p>
    <w:p>
      <w:pPr>
        <w:spacing w:after="240" w:before="0"/>
      </w:pPr>
    </w:p>
    <w:p>
      <w:pPr>
        <w:pStyle w:val="Heading2"/>
        <w:spacing w:after="80" w:before="240"/>
      </w:pPr>
      <w:r>
        <w:rPr>
          <w:rFonts w:ascii="Arial" w:cs="Arial" w:eastAsia="Arial" w:hAnsi="Arial"/>
          <w:b/>
          <w:bCs/>
          <w:color w:val="2E5FA3"/>
          <w:sz w:val="24"/>
          <w:szCs w:val="24"/>
        </w:rPr>
        <w:t xml:space="preserve">4.4  Profitability Analysis</w:t>
      </w:r>
    </w:p>
    <w:p>
      <w:pPr>
        <w:spacing w:after="120" w:before="0"/>
      </w:pPr>
    </w:p>
    <w:p>
      <w:pPr>
        <w:spacing w:after="120" w:before="0"/>
      </w:pPr>
      <w:r>
        <w:rPr>
          <w:rFonts w:ascii="Arial" w:cs="Arial" w:eastAsia="Arial" w:hAnsi="Arial"/>
          <w:color w:val="1A1A2E"/>
          <w:sz w:val="22"/>
          <w:szCs w:val="22"/>
        </w:rPr>
        <w:t xml:space="preserve">Total fee revenue of $158.19M represents a 3.6% yield on total loan exposure — a figure directly driven by client fee structure tier allocation. High fee structure clients generate 5x the fee rate of Low fee clients on equivalent loan balances.</w:t>
      </w:r>
    </w:p>
    <w:p>
      <w:pPr>
        <w:spacing w:after="120" w:before="0"/>
      </w:pPr>
    </w:p>
    <w:p>
      <w:pPr>
        <w:pStyle w:val="ListParagraph"/>
        <w:numPr>
          <w:ilvl w:val="0"/>
          <w:numId w:val="2"/>
        </w:numPr>
        <w:spacing w:after="80" w:before="0"/>
      </w:pPr>
      <w:r>
        <w:rPr>
          <w:rFonts w:ascii="Arial" w:cs="Arial" w:eastAsia="Arial" w:hAnsi="Arial"/>
          <w:color w:val="1A1A2E"/>
          <w:sz w:val="22"/>
          <w:szCs w:val="22"/>
        </w:rPr>
        <w:t xml:space="preserve">Fee structure is the primary profitability lever. A 10% shift of Personal clients from Low to High fee structure would add approximately $7.2M in annual fee revenue.</w:t>
      </w:r>
    </w:p>
    <w:p>
      <w:pPr>
        <w:pStyle w:val="ListParagraph"/>
        <w:numPr>
          <w:ilvl w:val="0"/>
          <w:numId w:val="2"/>
        </w:numPr>
        <w:spacing w:after="80" w:before="0"/>
      </w:pPr>
      <w:r>
        <w:rPr>
          <w:rFonts w:ascii="Arial" w:cs="Arial" w:eastAsia="Arial" w:hAnsi="Arial"/>
          <w:color w:val="1A1A2E"/>
          <w:sz w:val="22"/>
          <w:szCs w:val="22"/>
        </w:rPr>
        <w:t xml:space="preserve">High income clients (15.2% of portfolio) disproportionately drive fee revenue due to higher loan balances combined with higher fee structure allocation.</w:t>
      </w:r>
    </w:p>
    <w:p>
      <w:pPr>
        <w:pStyle w:val="ListParagraph"/>
        <w:numPr>
          <w:ilvl w:val="0"/>
          <w:numId w:val="2"/>
        </w:numPr>
        <w:spacing w:after="80" w:before="0"/>
      </w:pPr>
      <w:r>
        <w:rPr>
          <w:rFonts w:ascii="Arial" w:cs="Arial" w:eastAsia="Arial" w:hAnsi="Arial"/>
          <w:color w:val="1A1A2E"/>
          <w:sz w:val="22"/>
          <w:szCs w:val="22"/>
        </w:rPr>
        <w:t xml:space="preserve">The Avg Fee Per Client of $52,730 masks significant segment variance — Premium clients generate materially higher fees per client than Personal or SME clients.</w:t>
      </w:r>
    </w:p>
    <w:p>
      <w:pPr>
        <w:spacing w:after="320" w:before="0"/>
      </w:pPr>
    </w:p>
    <w:p>
      <w:r>
        <w:br w:type="page"/>
      </w:r>
    </w:p>
    <w:p>
      <w:pPr>
        <w:pStyle w:val="Heading1"/>
        <w:spacing w:after="120" w:before="360"/>
      </w:pPr>
      <w:r>
        <w:rPr>
          <w:rFonts w:ascii="Arial" w:cs="Arial" w:eastAsia="Arial" w:hAnsi="Arial"/>
          <w:b/>
          <w:bCs/>
          <w:color w:val="1a3a6b"/>
          <w:sz w:val="28"/>
          <w:szCs w:val="28"/>
        </w:rPr>
        <w:t xml:space="preserve">5.  Python EDA — Statistical Insights</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The Python EDA notebook conducts seven analytical steps across 24 cells: data loading and profiling, feature engineering, univariate categorical analysis, bivariate analysis by Gender and Nationality, numerical distribution histplots, Pearson correlation matrix, and regression analysis across seven strategically selected variable pairs. The ten key statistical findings are:</w:t>
      </w:r>
    </w:p>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2880"/>
      </w:tblGrid>
      <w:tr>
        <w:tc>
          <w:tcPr>
            <w:tcW w:type="dxa" w:w="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Insight</w:t>
            </w:r>
          </w:p>
        </w:tc>
        <w:tc>
          <w:tcPr>
            <w:tcW w:type="dxa" w:w="28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Statistical Basis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 and Business Lending distributions are right-skewed — the mean loan ($591K) significantly exceeds the median, indicating a high-value tail drives total exposure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Skewness &gt; 1.0 on both variables</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Bank Deposits and Checking Accounts are strongly correlated — deposit products move together and should be bundled in cross-sell strategy</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 = 0.844</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Business Lending and Bank Loans are moderately correlated — commercial borrowers carry personal loan exposure, creating dual-exposure risk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 = 0.417</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 and Superannuation are positively correlated — lifecycle savings behaviour is confirmed, with 61+ clients holding the highest retirement balances</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 positive, monotonic by age band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Card Balance is independent of all wealth variables — CC debt is behaviourally driven and cannot be predicted from income or loan size alone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 &lt; 0.38 with all variables</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Gender split is near-equal across all segments — gender is not a significant portfolio differentiator</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49.6% Male / 50.4% Female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Nationality is evenly distributed by client count but loan behaviour varies — Australian clients carry the highest average loan at $606,921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loan range: $569K–$607K</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Personal Banking Relationship dominates at 45.1% — fee strategy should prioritise converting this cohort to higher fee tiers</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1,352 of 3,000 clients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Checking and Saving Accounts move together (r=0.754) — high checking + high saving clients are the ideal premium upsell targets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 = 0.754</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Mid income band is the dominant segment (50.6%) — lending policy must account for moderate repayment capacity as the portfolio norm</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1,517 of 3,000 clients</w:t>
            </w:r>
          </w:p>
        </w:tc>
      </w:tr>
    </w:tbl>
    <w:p>
      <w:pPr>
        <w:spacing w:after="320" w:before="0"/>
      </w:pPr>
    </w:p>
    <w:p>
      <w:pPr>
        <w:pStyle w:val="Heading1"/>
        <w:spacing w:after="120" w:before="360"/>
      </w:pPr>
      <w:r>
        <w:rPr>
          <w:rFonts w:ascii="Arial" w:cs="Arial" w:eastAsia="Arial" w:hAnsi="Arial"/>
          <w:b/>
          <w:bCs/>
          <w:color w:val="1a3a6b"/>
          <w:sz w:val="28"/>
          <w:szCs w:val="28"/>
        </w:rPr>
        <w:t xml:space="preserve">6.  Power BI Dashboard</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The dashboard is structured across 9 pages covering the full analytical scope of the project. Each page is interactive, responding to year, gender, income band, and banking relationship slicers. All measures are powered by the 25-measure DAX library documented in the methodology section.</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2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Visuals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  Home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Executive portfolio overview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cards, client acquisition trend, BR donut, loyalty donut, nationality bar, age band, gender</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  Loan Analysis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Loan portfolio breakdown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Loan by BR, nationality, income band, occupation (Top 10), loan trend by year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Deposit Analysis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Deposit portfolio breakdown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Deposit by BR, gender, fee structure × BR stacked, nationality, occupation funnel, income band</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  —  Deposit Analysis 2</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Extended deposit dimensions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Loyalty × BR, deposit vs loan trend, age band × gender, engagement timeframe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  Risk Analysis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Risk identification and monitoring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 concentration, LDR by BR, CC treemap, high loan low income, risk by engagement, avg loan by age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  —  Growth Analysis</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 growth over time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Cumulative area, YoY dual axis line, clients by nationality per year, age band × income band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  Growth Analysis 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Loyalty and demographic growth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Income band over time, engagement × gender, loyalty stacked area</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  —  Revenue &amp; Profitability</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Fee revenue and segment margins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Fee by BR × loyalty, fee by income × fee structure, fee trend, avg fee by loyalty, fee by nationality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  —  Summary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executive KPI snapshot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KPI cards, loyalty clustered column, portfolio donut, full YoY trend line</w:t>
            </w:r>
          </w:p>
        </w:tc>
      </w:tr>
    </w:tbl>
    <w:p>
      <w:pPr>
        <w:spacing w:after="320" w:before="0"/>
      </w:pPr>
    </w:p>
    <w:p>
      <w:pPr>
        <w:pStyle w:val="Heading1"/>
        <w:spacing w:after="120" w:before="360"/>
      </w:pPr>
      <w:r>
        <w:rPr>
          <w:rFonts w:ascii="Arial" w:cs="Arial" w:eastAsia="Arial" w:hAnsi="Arial"/>
          <w:b/>
          <w:bCs/>
          <w:color w:val="1a3a6b"/>
          <w:sz w:val="28"/>
          <w:szCs w:val="28"/>
        </w:rPr>
        <w:t xml:space="preserve">7.  Conclusions &amp; Recommendations</w:t>
      </w:r>
    </w:p>
    <w:p>
      <w:pPr>
        <w:pBdr>
          <w:bottom w:val="single" w:color="2E5FA3" w:sz="4" w:space="1"/>
        </w:pBdr>
        <w:spacing w:after="120" w:before="120"/>
      </w:pPr>
    </w:p>
    <w:p>
      <w:pPr>
        <w:spacing w:after="120" w:before="0"/>
      </w:pPr>
    </w:p>
    <w:p>
      <w:pPr>
        <w:spacing w:after="120" w:before="0"/>
      </w:pPr>
      <w:r>
        <w:rPr>
          <w:rFonts w:ascii="Arial" w:cs="Arial" w:eastAsia="Arial" w:hAnsi="Arial"/>
          <w:color w:val="1A1A2E"/>
          <w:sz w:val="22"/>
          <w:szCs w:val="22"/>
        </w:rPr>
        <w:t xml:space="preserve">This project demonstrates how an integrated analytics pipeline — SQL for data engineering, Python for statistical exploration, and Power BI for interactive delivery — transforms a flat client dataset into a comprehensive risk decision-support system. The three analytical pillars — Risk, Growth, and Profitability — collectively address the problem statement: using data to minimise lending risk while maximising return on client relationships.</w:t>
      </w:r>
    </w:p>
    <w:p>
      <w:pPr>
        <w:spacing w:after="200" w:before="0"/>
      </w:pPr>
    </w:p>
    <w:p>
      <w:pPr>
        <w:pStyle w:val="Heading2"/>
        <w:spacing w:after="80" w:before="240"/>
      </w:pPr>
      <w:r>
        <w:rPr>
          <w:rFonts w:ascii="Arial" w:cs="Arial" w:eastAsia="Arial" w:hAnsi="Arial"/>
          <w:b/>
          <w:bCs/>
          <w:color w:val="2E5FA3"/>
          <w:sz w:val="24"/>
          <w:szCs w:val="24"/>
        </w:rPr>
        <w:t xml:space="preserve">Recommendations</w:t>
      </w:r>
    </w:p>
    <w:p>
      <w:pPr>
        <w:spacing w:after="120" w:before="0"/>
      </w:pPr>
    </w:p>
    <w:p>
      <w:pPr>
        <w:pStyle w:val="ListParagraph"/>
        <w:numPr>
          <w:ilvl w:val="0"/>
          <w:numId w:val="2"/>
        </w:numPr>
        <w:spacing w:after="80" w:before="0"/>
      </w:pPr>
      <w:r>
        <w:rPr>
          <w:rFonts w:ascii="Arial" w:cs="Arial" w:eastAsia="Arial" w:hAnsi="Arial"/>
          <w:color w:val="1A1A2E"/>
          <w:sz w:val="22"/>
          <w:szCs w:val="22"/>
        </w:rPr>
        <w:t xml:space="preserve">Implement enhanced monitoring for the 1,506 overleveraged clients and 269 High Loan Low Income clients. These two cohorts represent the highest default risk in the portfolio and should be subject to quarterly stress-testing.</w:t>
      </w:r>
    </w:p>
    <w:p>
      <w:pPr>
        <w:pStyle w:val="ListParagraph"/>
        <w:numPr>
          <w:ilvl w:val="0"/>
          <w:numId w:val="2"/>
        </w:numPr>
        <w:spacing w:after="80" w:before="0"/>
      </w:pPr>
      <w:r>
        <w:rPr>
          <w:rFonts w:ascii="Arial" w:cs="Arial" w:eastAsia="Arial" w:hAnsi="Arial"/>
          <w:color w:val="1A1A2E"/>
          <w:sz w:val="22"/>
          <w:szCs w:val="22"/>
        </w:rPr>
        <w:t xml:space="preserve">Address the Loan to Deposit Ratio of 1.16x. The bank is lending $1.16 for every $1.00 held in deposits — a liquidity buffer strategy should be implemented targeting a ratio below 1.05x.</w:t>
      </w:r>
    </w:p>
    <w:p>
      <w:pPr>
        <w:pStyle w:val="ListParagraph"/>
        <w:numPr>
          <w:ilvl w:val="0"/>
          <w:numId w:val="2"/>
        </w:numPr>
        <w:spacing w:after="80" w:before="0"/>
      </w:pPr>
      <w:r>
        <w:rPr>
          <w:rFonts w:ascii="Arial" w:cs="Arial" w:eastAsia="Arial" w:hAnsi="Arial"/>
          <w:color w:val="1A1A2E"/>
          <w:sz w:val="22"/>
          <w:szCs w:val="22"/>
        </w:rPr>
        <w:t xml:space="preserve">Prioritise fee structure upsell for Personal banking clients. At 45.1% of the portfolio on a mix of Low and Mid fee structures, even a 15% conversion to High fee would add approximately $10.8M in annual fee revenue.</w:t>
      </w:r>
    </w:p>
    <w:p>
      <w:pPr>
        <w:pStyle w:val="ListParagraph"/>
        <w:numPr>
          <w:ilvl w:val="0"/>
          <w:numId w:val="2"/>
        </w:numPr>
        <w:spacing w:after="80" w:before="0"/>
      </w:pPr>
      <w:r>
        <w:rPr>
          <w:rFonts w:ascii="Arial" w:cs="Arial" w:eastAsia="Arial" w:hAnsi="Arial"/>
          <w:color w:val="1A1A2E"/>
          <w:sz w:val="22"/>
          <w:szCs w:val="22"/>
        </w:rPr>
        <w:t xml:space="preserve">Target the Jade loyalty tier (44.4% of clients, $1.98B loan exposure) for both risk monitoring and premium product cross-sell. This single cohort drives more portfolio value than any other loyalty segment.</w:t>
      </w:r>
    </w:p>
    <w:p>
      <w:pPr>
        <w:pStyle w:val="ListParagraph"/>
        <w:numPr>
          <w:ilvl w:val="0"/>
          <w:numId w:val="2"/>
        </w:numPr>
        <w:spacing w:after="80" w:before="0"/>
      </w:pPr>
      <w:r>
        <w:rPr>
          <w:rFonts w:ascii="Arial" w:cs="Arial" w:eastAsia="Arial" w:hAnsi="Arial"/>
          <w:color w:val="1A1A2E"/>
          <w:sz w:val="22"/>
          <w:szCs w:val="22"/>
        </w:rPr>
        <w:t xml:space="preserve">Develop nationality-specific lending products for Australian and American clients who carry the highest average loan balances. Tailored products for high-balance segments can improve both retention and fee yield.</w:t>
      </w:r>
    </w:p>
    <w:p>
      <w:pPr>
        <w:spacing w:after="240" w:before="0"/>
      </w:pPr>
    </w:p>
    <w:p>
      <w:pPr>
        <w:pBdr>
          <w:bottom w:val="single" w:color="2E5FA3" w:sz="4" w:space="1"/>
        </w:pBdr>
        <w:spacing w:after="120" w:before="120"/>
      </w:pPr>
    </w:p>
    <w:p>
      <w:pPr>
        <w:spacing w:after="0" w:before="80"/>
        <w:jc w:val="center"/>
      </w:pPr>
      <w:r>
        <w:rPr>
          <w:rFonts w:ascii="Arial" w:cs="Arial" w:eastAsia="Arial" w:hAnsi="Arial"/>
          <w:color w:val="888888"/>
          <w:sz w:val="18"/>
          <w:szCs w:val="18"/>
        </w:rPr>
        <w:t xml:space="preserve">Banking Risk Analytics  |  SQL  ·  Python  ·  Power BI  |  Big 4 Analyst Standard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spacing w:after="0" w:before="0"/>
    </w:pPr>
    <w:r>
      <w:rPr>
        <w:rFonts w:ascii="Arial" w:cs="Arial" w:eastAsia="Arial" w:hAnsi="Arial"/>
        <w:color w:val="888888"/>
        <w:sz w:val="18"/>
        <w:szCs w:val="18"/>
      </w:rPr>
      <w:t xml:space="preserve">Banking Risk Analytics  |  Integrated Capstone Project</w:t>
    </w:r>
    <w:r>
      <w:rPr>
        <w:rFonts w:ascii="Arial" w:cs="Arial" w:eastAsia="Arial" w:hAnsi="Arial"/>
        <w:sz w:val="18"/>
        <w:szCs w:val="18"/>
      </w:rPr>
      <w:t xml:space="preserve">   	</w:t>
    </w:r>
    <w:r>
      <w:rPr>
        <w:rFonts w:ascii="Arial" w:cs="Arial" w:eastAsia="Arial" w:hAnsi="Arial"/>
        <w:b/>
        <w:bCs/>
        <w:color w:val="2E5FA3"/>
        <w:sz w:val="18"/>
        <w:szCs w:val="18"/>
      </w:rPr>
      <w:t xml:space="preserve">SQL  ·  Python  ·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2026-05-09T16:55:13.219Z</dcterms:created>
  <dcterms:modified xsi:type="dcterms:W3CDTF">2026-05-09T16:55:13.219Z</dcterms:modified>
</cp:coreProperties>
</file>

<file path=docProps/custom.xml><?xml version="1.0" encoding="utf-8"?>
<Properties xmlns="http://schemas.openxmlformats.org/officeDocument/2006/custom-properties" xmlns:vt="http://schemas.openxmlformats.org/officeDocument/2006/docPropsVTypes"/>
</file>