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5FD7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🧬</w:t>
      </w:r>
      <w:r w:rsidRPr="00CF767A">
        <w:rPr>
          <w:b/>
          <w:bCs/>
        </w:rPr>
        <w:t xml:space="preserve"> Bioprinting Labs Inc. Monthly Newsletter – September 2025</w:t>
      </w:r>
    </w:p>
    <w:p w14:paraId="700987C1" w14:textId="78110BDD" w:rsidR="00CF767A" w:rsidRPr="00CF767A" w:rsidRDefault="00111D5B" w:rsidP="00CF767A">
      <w:r w:rsidRPr="002342F4">
        <w:t xml:space="preserve">Welcome to our very first newsletter! </w:t>
      </w:r>
      <w:r w:rsidR="00CF767A" w:rsidRPr="00CF767A">
        <w:t>Each month, we’ll share company news, educational resources, industry highlights, practical lab tips, and featured research to keep you updated on the future of 3D cell culture and organoid technology.</w:t>
      </w:r>
    </w:p>
    <w:p w14:paraId="6A765C46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🌟</w:t>
      </w:r>
      <w:r w:rsidRPr="00CF767A">
        <w:rPr>
          <w:b/>
          <w:bCs/>
        </w:rPr>
        <w:t xml:space="preserve"> What’s New at BPL</w:t>
      </w:r>
    </w:p>
    <w:p w14:paraId="59BED061" w14:textId="77777777" w:rsidR="00CF767A" w:rsidRPr="00CF767A" w:rsidRDefault="00CF767A" w:rsidP="00CF767A">
      <w:r w:rsidRPr="00CF767A">
        <w:t xml:space="preserve">We are proud to announce that </w:t>
      </w:r>
      <w:r w:rsidRPr="00CF767A">
        <w:rPr>
          <w:b/>
          <w:bCs/>
        </w:rPr>
        <w:t>Bioprinting Laboratories Inc. has been awarded an NIH/NIEHS STTR Phase I grant</w:t>
      </w:r>
      <w:r w:rsidRPr="00CF767A">
        <w:t xml:space="preserve"> to develop engineered human brain organoids using our </w:t>
      </w:r>
      <w:r w:rsidRPr="00CF767A">
        <w:rPr>
          <w:b/>
          <w:bCs/>
        </w:rPr>
        <w:t>pillar/perfusion plate platform</w:t>
      </w:r>
      <w:r w:rsidRPr="00CF767A">
        <w:t>. This project will accelerate the evaluation of developmental neurotoxicity (DNT) potential of compounds, supporting safer drug discovery and chemical risk assessment.</w:t>
      </w:r>
    </w:p>
    <w:p w14:paraId="084D091C" w14:textId="77777777" w:rsidR="00CF767A" w:rsidRPr="00CF767A" w:rsidRDefault="00CF767A" w:rsidP="00CF767A">
      <w:r w:rsidRPr="00CF767A">
        <w:rPr>
          <w:rFonts w:ascii="Segoe UI Emoji" w:hAnsi="Segoe UI Emoji" w:cs="Segoe UI Emoji"/>
        </w:rPr>
        <w:t>📍</w:t>
      </w:r>
      <w:r w:rsidRPr="00CF767A">
        <w:t xml:space="preserve"> In addition, our Founder &amp; CEO, </w:t>
      </w:r>
      <w:r w:rsidRPr="00CF767A">
        <w:rPr>
          <w:b/>
          <w:bCs/>
        </w:rPr>
        <w:t>Dr. Moo-Yeal Lee</w:t>
      </w:r>
      <w:r w:rsidRPr="00CF767A">
        <w:t xml:space="preserve">, will be traveling to </w:t>
      </w:r>
      <w:r w:rsidRPr="00CF767A">
        <w:rPr>
          <w:b/>
          <w:bCs/>
        </w:rPr>
        <w:t>Seoul, South Korea (Sept 27–Oct 5)</w:t>
      </w:r>
      <w:r w:rsidRPr="00CF767A">
        <w:t xml:space="preserve"> to:</w:t>
      </w:r>
    </w:p>
    <w:p w14:paraId="0E6331EB" w14:textId="77777777" w:rsidR="00CF767A" w:rsidRPr="00CF767A" w:rsidRDefault="00CF767A" w:rsidP="00CF767A">
      <w:pPr>
        <w:numPr>
          <w:ilvl w:val="0"/>
          <w:numId w:val="1"/>
        </w:numPr>
      </w:pPr>
      <w:r w:rsidRPr="00CF767A">
        <w:t xml:space="preserve">Deliver a </w:t>
      </w:r>
      <w:r w:rsidRPr="00CF767A">
        <w:rPr>
          <w:b/>
          <w:bCs/>
        </w:rPr>
        <w:t>keynote speech</w:t>
      </w:r>
      <w:r w:rsidRPr="00CF767A">
        <w:t xml:space="preserve"> at </w:t>
      </w:r>
      <w:hyperlink r:id="rId7" w:tgtFrame="_new" w:history="1">
        <w:r w:rsidRPr="00CF767A">
          <w:rPr>
            <w:rStyle w:val="Hyperlink"/>
          </w:rPr>
          <w:t>BBMEC14</w:t>
        </w:r>
      </w:hyperlink>
    </w:p>
    <w:p w14:paraId="0E7EC76F" w14:textId="77777777" w:rsidR="00CF767A" w:rsidRPr="00CF767A" w:rsidRDefault="00CF767A" w:rsidP="00CF767A">
      <w:pPr>
        <w:numPr>
          <w:ilvl w:val="0"/>
          <w:numId w:val="1"/>
        </w:numPr>
      </w:pPr>
      <w:r w:rsidRPr="00CF767A">
        <w:t xml:space="preserve">Present invited seminars at </w:t>
      </w:r>
      <w:hyperlink r:id="rId8" w:tgtFrame="_new" w:history="1">
        <w:r w:rsidRPr="00CF767A">
          <w:rPr>
            <w:rStyle w:val="Hyperlink"/>
          </w:rPr>
          <w:t>CoreStemChemon</w:t>
        </w:r>
      </w:hyperlink>
      <w:r w:rsidRPr="00CF767A">
        <w:t xml:space="preserve">, </w:t>
      </w:r>
      <w:hyperlink r:id="rId9" w:tgtFrame="_new" w:history="1">
        <w:r w:rsidRPr="00CF767A">
          <w:rPr>
            <w:rStyle w:val="Hyperlink"/>
          </w:rPr>
          <w:t>CytoGen</w:t>
        </w:r>
      </w:hyperlink>
      <w:r w:rsidRPr="00CF767A">
        <w:t xml:space="preserve">, </w:t>
      </w:r>
      <w:hyperlink r:id="rId10" w:tgtFrame="_new" w:history="1">
        <w:r w:rsidRPr="00CF767A">
          <w:rPr>
            <w:rStyle w:val="Hyperlink"/>
          </w:rPr>
          <w:t>KIST</w:t>
        </w:r>
      </w:hyperlink>
      <w:r w:rsidRPr="00CF767A">
        <w:t xml:space="preserve">, and </w:t>
      </w:r>
      <w:hyperlink r:id="rId11" w:tgtFrame="_new" w:history="1">
        <w:r w:rsidRPr="00CF767A">
          <w:rPr>
            <w:rStyle w:val="Hyperlink"/>
          </w:rPr>
          <w:t>Sookmyung Women’s University</w:t>
        </w:r>
      </w:hyperlink>
    </w:p>
    <w:p w14:paraId="462B2483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📘</w:t>
      </w:r>
      <w:r w:rsidRPr="00CF767A">
        <w:rPr>
          <w:b/>
          <w:bCs/>
        </w:rPr>
        <w:t xml:space="preserve"> Learn with Us</w:t>
      </w:r>
    </w:p>
    <w:p w14:paraId="00248505" w14:textId="6F393B87" w:rsidR="00CF767A" w:rsidRPr="00CF767A" w:rsidRDefault="00CF767A" w:rsidP="00CF767A">
      <w:r w:rsidRPr="00CF767A">
        <w:rPr>
          <w:b/>
          <w:bCs/>
        </w:rPr>
        <w:t>3D Cell Culture Tools and Techniques</w:t>
      </w:r>
      <w:r w:rsidRPr="00CF767A">
        <w:br/>
        <w:t xml:space="preserve">Traditional 2D cell cultures fail to capture the complexity of human biology, driving a need for </w:t>
      </w:r>
      <w:r w:rsidRPr="00CF767A">
        <w:rPr>
          <w:b/>
          <w:bCs/>
        </w:rPr>
        <w:t>three-dimensional (3D) models</w:t>
      </w:r>
      <w:r w:rsidRPr="00CF767A">
        <w:t xml:space="preserve"> in drug discovery. This blog post explores the major 3D approaches—</w:t>
      </w:r>
      <w:r w:rsidRPr="00CF767A">
        <w:rPr>
          <w:b/>
          <w:bCs/>
        </w:rPr>
        <w:t xml:space="preserve">spheroids, organoids, and bioprinted </w:t>
      </w:r>
      <w:r w:rsidR="00BE2CBC">
        <w:rPr>
          <w:rFonts w:hint="eastAsia"/>
          <w:b/>
          <w:bCs/>
          <w:lang w:eastAsia="ko-KR"/>
        </w:rPr>
        <w:t xml:space="preserve">tissue </w:t>
      </w:r>
      <w:r w:rsidRPr="00CF767A">
        <w:rPr>
          <w:b/>
          <w:bCs/>
        </w:rPr>
        <w:t>constructs</w:t>
      </w:r>
      <w:r w:rsidRPr="00CF767A">
        <w:t xml:space="preserve">—as well as methods (scaffold-free vs. scaffold-based), devices (bioreactors, perfusion systems, organ-on-a-chip), and key factors for selecting the right model. By balancing physiological relevance with scalability, 3D culture systems are paving the way for </w:t>
      </w:r>
      <w:r w:rsidRPr="00CF767A">
        <w:rPr>
          <w:b/>
          <w:bCs/>
        </w:rPr>
        <w:t>predictive, high-throughput screening</w:t>
      </w:r>
      <w:r w:rsidRPr="00CF767A">
        <w:t xml:space="preserve"> and reducing reliance on animal testing.</w:t>
      </w:r>
    </w:p>
    <w:p w14:paraId="140FB29D" w14:textId="2371BE9B" w:rsidR="00CF767A" w:rsidRPr="00CF767A" w:rsidRDefault="00CF767A" w:rsidP="00CF767A">
      <w:r w:rsidRPr="00CF767A">
        <w:rPr>
          <w:rFonts w:ascii="Segoe UI Emoji" w:hAnsi="Segoe UI Emoji" w:cs="Segoe UI Emoji"/>
        </w:rPr>
        <w:t>🔗</w:t>
      </w:r>
      <w:r w:rsidR="00F525A5">
        <w:t xml:space="preserve"> </w:t>
      </w:r>
      <w:hyperlink r:id="rId12" w:history="1">
        <w:r w:rsidR="00F525A5" w:rsidRPr="00F525A5">
          <w:rPr>
            <w:rStyle w:val="Hyperlink"/>
          </w:rPr>
          <w:t>Read the full blog post</w:t>
        </w:r>
      </w:hyperlink>
    </w:p>
    <w:p w14:paraId="7C2C7AEE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🔬</w:t>
      </w:r>
      <w:r w:rsidRPr="00CF767A">
        <w:rPr>
          <w:b/>
          <w:bCs/>
        </w:rPr>
        <w:t xml:space="preserve"> In the News</w:t>
      </w:r>
    </w:p>
    <w:p w14:paraId="5174E86F" w14:textId="77777777" w:rsidR="00CF767A" w:rsidRPr="00CF767A" w:rsidRDefault="00CF767A" w:rsidP="00CF767A">
      <w:r w:rsidRPr="00CF767A">
        <w:rPr>
          <w:b/>
          <w:bCs/>
        </w:rPr>
        <w:t>ALS Spinal Cord Chip Model</w:t>
      </w:r>
      <w:r w:rsidRPr="00CF767A">
        <w:br/>
        <w:t xml:space="preserve">Researchers at </w:t>
      </w:r>
      <w:r w:rsidRPr="00CF767A">
        <w:rPr>
          <w:b/>
          <w:bCs/>
        </w:rPr>
        <w:t>Cedars-Sinai</w:t>
      </w:r>
      <w:r w:rsidRPr="00CF767A">
        <w:t xml:space="preserve">, supported by NCATS’ Tissue Chip for Drug Screening program, have developed a </w:t>
      </w:r>
      <w:r w:rsidRPr="00CF767A">
        <w:rPr>
          <w:b/>
          <w:bCs/>
        </w:rPr>
        <w:t>spinal cord chip (SC-chip)</w:t>
      </w:r>
      <w:r w:rsidRPr="00CF767A">
        <w:t xml:space="preserve"> — a three-dimensional organ-on-a-chip model of </w:t>
      </w:r>
      <w:r w:rsidRPr="00CF767A">
        <w:rPr>
          <w:b/>
          <w:bCs/>
        </w:rPr>
        <w:t>amyotrophic lateral sclerosis (ALS)</w:t>
      </w:r>
      <w:r w:rsidRPr="00CF767A">
        <w:t xml:space="preserve">. The SC-chip grows </w:t>
      </w:r>
      <w:r w:rsidRPr="00CF767A">
        <w:rPr>
          <w:b/>
          <w:bCs/>
        </w:rPr>
        <w:t>motor neurons (MNs)</w:t>
      </w:r>
      <w:r w:rsidRPr="00CF767A">
        <w:t xml:space="preserve"> and </w:t>
      </w:r>
      <w:r w:rsidRPr="00CF767A">
        <w:rPr>
          <w:b/>
          <w:bCs/>
        </w:rPr>
        <w:t>endothelial cells</w:t>
      </w:r>
      <w:r w:rsidRPr="00CF767A">
        <w:t xml:space="preserve"> together in a microfluidic device that mimics the human blood-brain barrier.</w:t>
      </w:r>
    </w:p>
    <w:p w14:paraId="0D05BA6D" w14:textId="77777777" w:rsidR="00CF767A" w:rsidRPr="00CF767A" w:rsidRDefault="00CF767A" w:rsidP="00CF767A">
      <w:r w:rsidRPr="00CF767A">
        <w:lastRenderedPageBreak/>
        <w:t xml:space="preserve">Compared to standard 2D cultures, the SC-chip provides a more physiologically relevant environment, enabling researchers to identify ALS-specific changes in </w:t>
      </w:r>
      <w:r w:rsidRPr="00CF767A">
        <w:rPr>
          <w:b/>
          <w:bCs/>
        </w:rPr>
        <w:t>neurofilament levels, glutamatergic signaling, and synaptic activity</w:t>
      </w:r>
      <w:r w:rsidRPr="00CF767A">
        <w:t>. This model generates diverse, mature MN populations and offers a powerful platform for studying disease mechanisms and screening potential therapies.</w:t>
      </w:r>
    </w:p>
    <w:p w14:paraId="2FCDA1BE" w14:textId="77777777" w:rsidR="00CF767A" w:rsidRPr="00CF767A" w:rsidRDefault="00CF767A" w:rsidP="00CF767A">
      <w:r w:rsidRPr="00CF767A">
        <w:rPr>
          <w:rFonts w:ascii="Segoe UI Emoji" w:hAnsi="Segoe UI Emoji" w:cs="Segoe UI Emoji"/>
        </w:rPr>
        <w:t>🔗</w:t>
      </w:r>
      <w:r w:rsidRPr="00CF767A">
        <w:t xml:space="preserve"> </w:t>
      </w:r>
      <w:hyperlink r:id="rId13" w:tgtFrame="_new" w:history="1">
        <w:r w:rsidRPr="00CF767A">
          <w:rPr>
            <w:rStyle w:val="Hyperlink"/>
          </w:rPr>
          <w:t>NCATS News Release</w:t>
        </w:r>
      </w:hyperlink>
      <w:r w:rsidRPr="00CF767A">
        <w:br/>
      </w:r>
      <w:r w:rsidRPr="00CF767A">
        <w:rPr>
          <w:rFonts w:ascii="Segoe UI Emoji" w:hAnsi="Segoe UI Emoji" w:cs="Segoe UI Emoji"/>
        </w:rPr>
        <w:t>🔗</w:t>
      </w:r>
      <w:r w:rsidRPr="00CF767A">
        <w:t xml:space="preserve"> </w:t>
      </w:r>
      <w:hyperlink r:id="rId14" w:tgtFrame="_new" w:history="1">
        <w:r w:rsidRPr="00CF767A">
          <w:rPr>
            <w:rStyle w:val="Hyperlink"/>
          </w:rPr>
          <w:t xml:space="preserve">Full Study in </w:t>
        </w:r>
        <w:r w:rsidRPr="00CF767A">
          <w:rPr>
            <w:rStyle w:val="Hyperlink"/>
            <w:i/>
            <w:iCs/>
          </w:rPr>
          <w:t>Cell Stem Cell</w:t>
        </w:r>
      </w:hyperlink>
    </w:p>
    <w:p w14:paraId="12682610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🧪</w:t>
      </w:r>
      <w:r w:rsidRPr="00CF767A">
        <w:rPr>
          <w:b/>
          <w:bCs/>
        </w:rPr>
        <w:t xml:space="preserve"> How-To of the Month</w:t>
      </w:r>
    </w:p>
    <w:p w14:paraId="4088FD2B" w14:textId="3E7D369F" w:rsidR="00CF767A" w:rsidRPr="00CF767A" w:rsidRDefault="00CF767A" w:rsidP="00CF767A">
      <w:r w:rsidRPr="00CF767A">
        <w:rPr>
          <w:b/>
          <w:bCs/>
        </w:rPr>
        <w:t>Spheroid Culture in Matrigel on a Pillar Plate</w:t>
      </w:r>
      <w:r w:rsidRPr="00CF767A">
        <w:br/>
        <w:t>Organoids derived from pluripotent stem cells or primary</w:t>
      </w:r>
      <w:r w:rsidR="006A740A">
        <w:rPr>
          <w:rFonts w:hint="eastAsia"/>
          <w:lang w:eastAsia="ko-KR"/>
        </w:rPr>
        <w:t xml:space="preserve"> cells obtained from biopsy samples</w:t>
      </w:r>
      <w:r w:rsidRPr="00CF767A">
        <w:t xml:space="preserve"> provide physiologically relevant models for studying development, disease, and drug response. Yet, conventional organoid culture methods are often </w:t>
      </w:r>
      <w:r w:rsidRPr="00CF767A">
        <w:rPr>
          <w:b/>
          <w:bCs/>
        </w:rPr>
        <w:t>low-throughput, variable, and labor-intensive</w:t>
      </w:r>
      <w:r w:rsidRPr="00CF767A">
        <w:t>.</w:t>
      </w:r>
    </w:p>
    <w:p w14:paraId="62652DCA" w14:textId="77777777" w:rsidR="00CF767A" w:rsidRPr="00CF767A" w:rsidRDefault="00CF767A" w:rsidP="00CF767A">
      <w:r w:rsidRPr="00CF767A">
        <w:t xml:space="preserve">The </w:t>
      </w:r>
      <w:r w:rsidRPr="00CF767A">
        <w:rPr>
          <w:b/>
          <w:bCs/>
        </w:rPr>
        <w:t>pillar plate system</w:t>
      </w:r>
      <w:r w:rsidRPr="00CF767A">
        <w:t xml:space="preserve"> overcomes these challenges by streamlining spheroid transfer and enabling miniature, reproducible organoid cultures embedded in Matrigel. This protocol supports </w:t>
      </w:r>
      <w:r w:rsidRPr="00CF767A">
        <w:rPr>
          <w:b/>
          <w:bCs/>
        </w:rPr>
        <w:t>scalable organoid production</w:t>
      </w:r>
      <w:r w:rsidRPr="00CF767A">
        <w:t xml:space="preserve"> for </w:t>
      </w:r>
      <w:r w:rsidRPr="00CF767A">
        <w:rPr>
          <w:b/>
          <w:bCs/>
        </w:rPr>
        <w:t>high-throughput screening (HTS)</w:t>
      </w:r>
      <w:r w:rsidRPr="00CF767A">
        <w:t xml:space="preserve">, while reducing costs, improving consistency, and generating assay-ready plates optimized for </w:t>
      </w:r>
      <w:r w:rsidRPr="00CF767A">
        <w:rPr>
          <w:b/>
          <w:bCs/>
        </w:rPr>
        <w:t xml:space="preserve">compound testing, </w:t>
      </w:r>
      <w:r w:rsidRPr="00A35A6D">
        <w:rPr>
          <w:b/>
          <w:bCs/>
          <w:i/>
          <w:iCs/>
        </w:rPr>
        <w:t>in situ</w:t>
      </w:r>
      <w:r w:rsidRPr="00CF767A">
        <w:rPr>
          <w:b/>
          <w:bCs/>
        </w:rPr>
        <w:t xml:space="preserve"> staining, and analysis</w:t>
      </w:r>
      <w:r w:rsidRPr="00CF767A">
        <w:t>.</w:t>
      </w:r>
    </w:p>
    <w:p w14:paraId="5E9A900C" w14:textId="57E74B9E" w:rsidR="00CF767A" w:rsidRPr="00CF767A" w:rsidRDefault="00CF767A" w:rsidP="00CF767A">
      <w:r w:rsidRPr="00CF767A">
        <w:rPr>
          <w:rFonts w:ascii="Segoe UI Emoji" w:hAnsi="Segoe UI Emoji" w:cs="Segoe UI Emoji"/>
        </w:rPr>
        <w:t>🔗</w:t>
      </w:r>
      <w:r w:rsidRPr="00CF767A">
        <w:t xml:space="preserve"> </w:t>
      </w:r>
      <w:hyperlink r:id="rId15" w:history="1">
        <w:r w:rsidRPr="00CD7EA2">
          <w:rPr>
            <w:rStyle w:val="Hyperlink"/>
            <w:i/>
            <w:iCs/>
          </w:rPr>
          <w:t>[View the step-by-step protocol]</w:t>
        </w:r>
      </w:hyperlink>
    </w:p>
    <w:p w14:paraId="72DD8FDB" w14:textId="77777777" w:rsidR="00CF767A" w:rsidRPr="00CF767A" w:rsidRDefault="00CF767A" w:rsidP="00CF767A">
      <w:pPr>
        <w:rPr>
          <w:b/>
          <w:bCs/>
        </w:rPr>
      </w:pPr>
      <w:r w:rsidRPr="00CF767A">
        <w:rPr>
          <w:rFonts w:ascii="Segoe UI Emoji" w:hAnsi="Segoe UI Emoji" w:cs="Segoe UI Emoji"/>
          <w:b/>
          <w:bCs/>
        </w:rPr>
        <w:t>📄</w:t>
      </w:r>
      <w:r w:rsidRPr="00CF767A">
        <w:rPr>
          <w:b/>
          <w:bCs/>
        </w:rPr>
        <w:t xml:space="preserve"> Research Spotlight</w:t>
      </w:r>
    </w:p>
    <w:p w14:paraId="38E4BD32" w14:textId="77777777" w:rsidR="00CF767A" w:rsidRPr="00CF767A" w:rsidRDefault="00CF767A" w:rsidP="00CF767A">
      <w:r w:rsidRPr="00CF767A">
        <w:rPr>
          <w:b/>
          <w:bCs/>
        </w:rPr>
        <w:t>A Pillar and Perfusion Plate Platform for Robust Human Organoid Culture and Analysis</w:t>
      </w:r>
      <w:r w:rsidRPr="00CF767A">
        <w:br/>
        <w:t xml:space="preserve">Organoids offer transformative potential for disease modeling and drug discovery, but their use in </w:t>
      </w:r>
      <w:r w:rsidRPr="00CF767A">
        <w:rPr>
          <w:b/>
          <w:bCs/>
        </w:rPr>
        <w:t>high-throughput screening (HTS)</w:t>
      </w:r>
      <w:r w:rsidRPr="00CF767A">
        <w:t xml:space="preserve"> has been limited by challenges in scalability, reproducibility, and fluidic integration. This study introduces </w:t>
      </w:r>
      <w:r w:rsidRPr="00CF767A">
        <w:rPr>
          <w:b/>
          <w:bCs/>
        </w:rPr>
        <w:t>microarray 3D bioprinting technology</w:t>
      </w:r>
      <w:r w:rsidRPr="00CF767A">
        <w:t xml:space="preserve"> with </w:t>
      </w:r>
      <w:r w:rsidRPr="00CF767A">
        <w:rPr>
          <w:b/>
          <w:bCs/>
        </w:rPr>
        <w:t>pillar and perfusion plates</w:t>
      </w:r>
      <w:r w:rsidRPr="00CF767A">
        <w:t xml:space="preserve"> to streamline organoid culture and analysis. The platform enables efficient differentiation into liver and intestine organoids, supports static and dynamic culture, and is fully compatible with standard 384-well HTS systems.</w:t>
      </w:r>
    </w:p>
    <w:p w14:paraId="3A3AEBB9" w14:textId="07ED04CF" w:rsidR="00CF767A" w:rsidRPr="00CF767A" w:rsidRDefault="00CF767A" w:rsidP="00CF767A">
      <w:r w:rsidRPr="00CF767A">
        <w:rPr>
          <w:rFonts w:ascii="Segoe UI Emoji" w:hAnsi="Segoe UI Emoji" w:cs="Segoe UI Emoji"/>
        </w:rPr>
        <w:t>🔗</w:t>
      </w:r>
      <w:r w:rsidRPr="00CF767A">
        <w:t xml:space="preserve"> </w:t>
      </w:r>
      <w:r w:rsidRPr="00CF767A">
        <w:rPr>
          <w:i/>
          <w:iCs/>
        </w:rPr>
        <w:t>[</w:t>
      </w:r>
      <w:hyperlink r:id="rId16" w:history="1">
        <w:r w:rsidRPr="00CD7EA2">
          <w:rPr>
            <w:rStyle w:val="Hyperlink"/>
            <w:i/>
            <w:iCs/>
          </w:rPr>
          <w:t>Read the full publication</w:t>
        </w:r>
      </w:hyperlink>
      <w:r w:rsidRPr="00CF767A">
        <w:rPr>
          <w:i/>
          <w:iCs/>
        </w:rPr>
        <w:t>](A Pillar and Perfusion Plate Platform for Robust Human Organoid Culture and Analysis)</w:t>
      </w:r>
    </w:p>
    <w:p w14:paraId="0C879AB7" w14:textId="77777777" w:rsidR="00CF767A" w:rsidRPr="00CF767A" w:rsidRDefault="00CF767A" w:rsidP="00CF767A">
      <w:r w:rsidRPr="00CF767A">
        <w:rPr>
          <w:rFonts w:ascii="Segoe UI Emoji" w:hAnsi="Segoe UI Emoji" w:cs="Segoe UI Emoji"/>
        </w:rPr>
        <w:t>💡</w:t>
      </w:r>
      <w:r w:rsidRPr="00CF767A">
        <w:t xml:space="preserve"> </w:t>
      </w:r>
      <w:r w:rsidRPr="00CF767A">
        <w:rPr>
          <w:i/>
          <w:iCs/>
        </w:rPr>
        <w:t>Thank you for being part of our growing community. Stay tuned for more updates in next month’s edition!</w:t>
      </w:r>
    </w:p>
    <w:p w14:paraId="69CA2870" w14:textId="77777777" w:rsidR="0023574B" w:rsidRDefault="0023574B"/>
    <w:sectPr w:rsidR="0023574B" w:rsidSect="00D863B6">
      <w:headerReference w:type="default" r:id="rId1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7B470" w14:textId="77777777" w:rsidR="002B35C1" w:rsidRDefault="002B35C1" w:rsidP="00D863B6">
      <w:pPr>
        <w:spacing w:after="0" w:line="240" w:lineRule="auto"/>
      </w:pPr>
      <w:r>
        <w:separator/>
      </w:r>
    </w:p>
  </w:endnote>
  <w:endnote w:type="continuationSeparator" w:id="0">
    <w:p w14:paraId="5F165291" w14:textId="77777777" w:rsidR="002B35C1" w:rsidRDefault="002B35C1" w:rsidP="00D8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DC09E" w14:textId="77777777" w:rsidR="002B35C1" w:rsidRDefault="002B35C1" w:rsidP="00D863B6">
      <w:pPr>
        <w:spacing w:after="0" w:line="240" w:lineRule="auto"/>
      </w:pPr>
      <w:r>
        <w:separator/>
      </w:r>
    </w:p>
  </w:footnote>
  <w:footnote w:type="continuationSeparator" w:id="0">
    <w:p w14:paraId="7A62F8D0" w14:textId="77777777" w:rsidR="002B35C1" w:rsidRDefault="002B35C1" w:rsidP="00D86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69FD" w14:textId="315CB88C" w:rsidR="00D863B6" w:rsidRDefault="00D863B6" w:rsidP="00D863B6">
    <w:pPr>
      <w:pStyle w:val="Header"/>
      <w:jc w:val="center"/>
    </w:pPr>
    <w:r>
      <w:rPr>
        <w:noProof/>
      </w:rPr>
      <w:drawing>
        <wp:inline distT="0" distB="0" distL="0" distR="0" wp14:anchorId="73425DAC" wp14:editId="79BD668B">
          <wp:extent cx="2546350" cy="884785"/>
          <wp:effectExtent l="0" t="0" r="6350" b="0"/>
          <wp:docPr id="2070050903" name="Picture 1" descr="Bioprinting Laboratories Inc. (or BP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printing Laboratories Inc. (or BPL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9316" cy="9136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22683"/>
    <w:multiLevelType w:val="multilevel"/>
    <w:tmpl w:val="4A2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8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D2"/>
    <w:rsid w:val="00111D5B"/>
    <w:rsid w:val="00235475"/>
    <w:rsid w:val="0023574B"/>
    <w:rsid w:val="002B35C1"/>
    <w:rsid w:val="002E4AE7"/>
    <w:rsid w:val="0040616E"/>
    <w:rsid w:val="005A1F6C"/>
    <w:rsid w:val="005D2DED"/>
    <w:rsid w:val="005D412D"/>
    <w:rsid w:val="006A740A"/>
    <w:rsid w:val="007E07D2"/>
    <w:rsid w:val="009314C1"/>
    <w:rsid w:val="00A35A6D"/>
    <w:rsid w:val="00A71DBA"/>
    <w:rsid w:val="00AC7E6C"/>
    <w:rsid w:val="00B63532"/>
    <w:rsid w:val="00BE2CBC"/>
    <w:rsid w:val="00CD7EA2"/>
    <w:rsid w:val="00CF767A"/>
    <w:rsid w:val="00D863B6"/>
    <w:rsid w:val="00F525A5"/>
    <w:rsid w:val="00F748BE"/>
    <w:rsid w:val="00F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6D3C7"/>
  <w15:chartTrackingRefBased/>
  <w15:docId w15:val="{C7176846-BD88-47E0-9B27-6FF0F24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6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EA2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6"/>
  </w:style>
  <w:style w:type="paragraph" w:styleId="Footer">
    <w:name w:val="footer"/>
    <w:basedOn w:val="Normal"/>
    <w:link w:val="FooterChar"/>
    <w:uiPriority w:val="99"/>
    <w:unhideWhenUsed/>
    <w:rsid w:val="00D86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mon.co.kr" TargetMode="External"/><Relationship Id="rId13" Type="http://schemas.openxmlformats.org/officeDocument/2006/relationships/hyperlink" Target="https://ncats.nih.gov/news-events/news/an-organ-on-a-chip-model-of-als-will-help-uncover-early-disease-characteristics-and-find-potential-thera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mec14.org" TargetMode="External"/><Relationship Id="rId12" Type="http://schemas.openxmlformats.org/officeDocument/2006/relationships/hyperlink" Target="https://1drv.ms/b/c/ba60241c809a4d16/EXEVfwHpatFNt0nJf7DAd04BPxXAnADT_-K5M7mwXa-RWg?e=ZxItL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dvanced.onlinelibrary.wiley.com/doi/full/10.1002/adhm.2023025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okmyung.ac.k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3dbpl.com/wp-content/uploads/2025/08/SOPs_Spheroid-Culture-in-Matrigel-on-Pillar-Plate_080325.pdf" TargetMode="External"/><Relationship Id="rId10" Type="http://schemas.openxmlformats.org/officeDocument/2006/relationships/hyperlink" Target="http://kist.re.k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ytogenlab.com" TargetMode="External"/><Relationship Id="rId14" Type="http://schemas.openxmlformats.org/officeDocument/2006/relationships/hyperlink" Target="https://www.cell.com/cell-stem-cell/fulltext/S1934-5909(25)00222-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Joshi</dc:creator>
  <cp:keywords/>
  <dc:description/>
  <cp:lastModifiedBy>Charishma Jonnadula</cp:lastModifiedBy>
  <cp:revision>5</cp:revision>
  <dcterms:created xsi:type="dcterms:W3CDTF">2025-09-29T15:12:00Z</dcterms:created>
  <dcterms:modified xsi:type="dcterms:W3CDTF">2025-09-29T16:33:00Z</dcterms:modified>
</cp:coreProperties>
</file>