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e861pf764b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Quantum-Enhanced Stock Prediction: Implementation Plan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k96t3volr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1: Building the Data Foundation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Create a clean, feature-rich dataset suitable for both classical and hybrid quantum models.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Collection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Focus on liquid assets such as the S&amp;P 500 or major tech stocks.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Gather at least 5 years of daily price, volume, and related market data.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time series continuity — handle missing days and anomalies carefully.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Engineering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key technical indicators (e.g., moving averages, RSI, MACD, volatility).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price-based metrics such as daily returns, price gaps, and ratios.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volume and momentum features for market behavior insights.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Target a well-balanced feature set of roughly 20–30 relevant financial indicators.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Preprocessing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Normalize all features to comparable scales.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Construct rolling time windows (e.g., 20–30 days) for sequential modeling.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Split data chronologically into training, validation, and test sets.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the prediction target — typically next-day direction or return magnitude.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z37ofmcmq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2: Establishing Classical Baselines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Build and optimize strong deep learning benchmarks before introducing quantum components.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Full-Feature LSTM Model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 a standard LSTM on the full feature set.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Experiment with depth, hidden units, dropout, and other architectural details.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Tune hyperparameters for accuracy and stable convergence.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Dimensionality-Reduced LSTM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 Principal Component Analysis (PCA) to compress features while retaining most variance.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Retrain the same LSTM on this reduced dataset.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results with the full-feature model.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Benchmarking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Record performance metrics (accuracy, F1-score) and training efficiency.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These serve as the baseline targets for the hybrid quantum models to surpass.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rt5iqaa35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3: Quantum Feature Mapping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Use quantum circuits to transform classical financial data into a richer feature space.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feeding raw financial indicators directly into a neural network, we first </w:t>
      </w:r>
      <w:r w:rsidDel="00000000" w:rsidR="00000000" w:rsidRPr="00000000">
        <w:rPr>
          <w:b w:val="1"/>
          <w:bCs w:val="1"/>
          <w:rtl w:val="0"/>
        </w:rPr>
        <w:t xml:space="preserve">map them into a higher-dimensional quantum feature space</w:t>
      </w:r>
      <w:r w:rsidDel="00000000" w:rsidR="00000000" w:rsidRPr="00000000">
        <w:rPr>
          <w:rtl w:val="0"/>
        </w:rPr>
        <w:t xml:space="preserve"> using a quantum circuit.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Basically, a quantum state can represent complex correlations and non-linear relationships that might be difficult for classical models to capture.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selected feature is encoded into a set of qubits.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quantum transformation (the “feature map”) projects this data into a high-dimensional space.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resulting quantum measurements produce </w:t>
      </w:r>
      <w:r w:rsidDel="00000000" w:rsidR="00000000" w:rsidRPr="00000000">
        <w:rPr>
          <w:b w:val="1"/>
          <w:bCs w:val="1"/>
          <w:rtl w:val="0"/>
        </w:rPr>
        <w:t xml:space="preserve">enhanced classical features</w:t>
      </w:r>
      <w:r w:rsidDel="00000000" w:rsidR="00000000" w:rsidRPr="00000000">
        <w:rPr>
          <w:rtl w:val="0"/>
        </w:rPr>
        <w:t xml:space="preserve"> that can then be used as inputs to the LSTM.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86c98l853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4: Building the Hybrid Quantum-Classical Model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Combine the strengths of quantum feature extraction with the temporal learning power of LSTMs.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 Integration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Connect the quantum feature mapping layer to the LSTM input layer.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data flows smoothly between quantum and classical components.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k6b1fvb7q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5: Comparative Evaluation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Rigorously test whether the quantum-augmented approach provides measurable benefits.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Evaluation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classical and hybrid models on unseen market periods.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accuracy, precision, recall, and F1-scores.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Examine performance under different market conditions (e.g., trending vs. volatile periods).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Statistical Validation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appropriate statistical tests for time series to confirm significance.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Assess robustness by evaluating across multiple test intervals.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 Analysis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Visualize and compare the feature spaces learned by classical vs. quantum-enhanced models.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how quantum mappings change or enrich the feature representation.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