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Quantum-Enhanced Stock Market Prediction</w:t>
      </w:r>
    </w:p>
    <w:p>
      <w:pPr>
        <w:jc w:val="center"/>
      </w:pPr>
      <w:r>
        <w:t>Phase Analysis &amp; Results Summary</w:t>
      </w:r>
    </w:p>
    <w:p>
      <w:r>
        <w:t>This document synthesizes the methodology, execution, and final performance metrics of the project predicting stock market trends. The analysis draws from the methodologies provided, encompassing a hybrid quantum-classical deep learning framework.</w:t>
      </w:r>
    </w:p>
    <w:p>
      <w:pPr>
        <w:pStyle w:val="Heading1"/>
      </w:pPr>
      <w:r>
        <w:t>Phase-by-Phase Execution Breakdown</w:t>
      </w:r>
    </w:p>
    <w:p>
      <w:pPr>
        <w:pStyle w:val="Heading2"/>
      </w:pPr>
      <w:r>
        <w:t>Phase 1: Data Preprocessing &amp; Feature Engineering</w:t>
      </w:r>
    </w:p>
    <w:p>
      <w:pPr>
        <w:pStyle w:val="ListBullet"/>
      </w:pPr>
      <w:r>
        <w:rPr>
          <w:b/>
        </w:rPr>
        <w:t xml:space="preserve">Data Generation: </w:t>
      </w:r>
      <w:r>
        <w:t>The dataset comprises 1383 rows and 36 technical columns, mimicking SPY stock behavior from 2019 to 2025.</w:t>
      </w:r>
    </w:p>
    <w:p>
      <w:pPr>
        <w:pStyle w:val="ListBullet"/>
      </w:pPr>
      <w:r>
        <w:rPr>
          <w:b/>
        </w:rPr>
        <w:t xml:space="preserve">Feature Engineering: </w:t>
      </w:r>
      <w:r>
        <w:t>Raw data was expanded to include critical technical indicators such as SMA, EMA, MACD, RSI, and Bollinger Bands.</w:t>
      </w:r>
    </w:p>
    <w:p>
      <w:pPr>
        <w:pStyle w:val="ListBullet"/>
      </w:pPr>
      <w:r>
        <w:rPr>
          <w:b/>
        </w:rPr>
        <w:t xml:space="preserve">Preprocessing: </w:t>
      </w:r>
      <w:r>
        <w:t>Stock price data underwent MinMax scaling and was segmented into sequential time-series windows utilizing a 30-day lookback for LSTM training.</w:t>
      </w:r>
    </w:p>
    <w:p>
      <w:pPr>
        <w:pStyle w:val="Heading2"/>
      </w:pPr>
      <w:r>
        <w:t>Phase 2: Classical Baseline Modeling</w:t>
      </w:r>
    </w:p>
    <w:p>
      <w:r>
        <w:t>Traditional classical deep learning models were developed using PyTorch to establish a performance benchmark:</w:t>
      </w:r>
    </w:p>
    <w:p>
      <w:pPr>
        <w:pStyle w:val="ListBullet"/>
      </w:pPr>
      <w:r>
        <w:rPr>
          <w:b/>
        </w:rPr>
        <w:t xml:space="preserve">Full-Feature LSTM: </w:t>
      </w:r>
      <w:r>
        <w:t>A standard LSTM network trained on the entirety of the preprocessed technical features.</w:t>
      </w:r>
    </w:p>
    <w:p>
      <w:pPr>
        <w:pStyle w:val="ListBullet"/>
      </w:pPr>
      <w:r>
        <w:rPr>
          <w:b/>
        </w:rPr>
        <w:t xml:space="preserve">PCA-Reduced LSTM: </w:t>
      </w:r>
      <w:r>
        <w:t>A secondary LSTM model trained on dimensionality-reduced features (PCA) to test computational efficiency.</w:t>
      </w:r>
    </w:p>
    <w:p>
      <w:pPr>
        <w:pStyle w:val="Heading2"/>
      </w:pPr>
      <w:r>
        <w:t>Phase 3: Quantum Feature Mapping</w:t>
      </w:r>
    </w:p>
    <w:p>
      <w:r>
        <w:t>Quantum mechanics principles were introduced to transform classical financial data into higher-dimensional representations:</w:t>
      </w:r>
    </w:p>
    <w:p>
      <w:pPr>
        <w:pStyle w:val="ListBullet"/>
      </w:pPr>
      <w:r>
        <w:rPr>
          <w:b/>
        </w:rPr>
        <w:t xml:space="preserve">Quantum Circuitry: </w:t>
      </w:r>
      <w:r>
        <w:t>Parameterized quantum circuits were built utilizing an 8-qubit quantum device in PennyLane.</w:t>
      </w:r>
    </w:p>
    <w:p>
      <w:pPr>
        <w:pStyle w:val="ListBullet"/>
      </w:pPr>
      <w:r>
        <w:rPr>
          <w:b/>
        </w:rPr>
        <w:t xml:space="preserve">Embeddings &amp; Integration: </w:t>
      </w:r>
      <w:r>
        <w:t>Angle embedding encoded features into rotations, followed by entangling layers. The output expectation values were concatenated with top classical features.</w:t>
      </w:r>
    </w:p>
    <w:p>
      <w:pPr>
        <w:pStyle w:val="Heading2"/>
      </w:pPr>
      <w:r>
        <w:t>Phase 4: Hybrid Quantum-Classical Integration</w:t>
      </w:r>
    </w:p>
    <w:p>
      <w:r>
        <w:t>A specialized Hybrid Quantum-LSTM neural network was constructed. This architecture ingested the concatenated quantum-classical feature sets, leveraging the classical sequential learning prowess of LSTMs combined with high-dimensional quantum data representations to identify complex market patterns.</w:t>
      </w:r>
    </w:p>
    <w:p>
      <w:pPr>
        <w:pStyle w:val="Heading1"/>
      </w:pPr>
      <w:r>
        <w:t>Phase 5: Comparative Evaluation &amp; Final Results</w:t>
      </w:r>
    </w:p>
    <w:p>
      <w:r>
        <w:t>The final phase systematically compared the classical baselines against the newly developed hybrid architecture. The evaluation clearly illustrates the impact of integrating quantum feature extraction into deep learning workflows.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Evaluation 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Full Classical LSTM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PCA Classical LSTM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Hybrid Quantum-LSTM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0.582</w:t>
            </w:r>
          </w:p>
        </w:tc>
        <w:tc>
          <w:tcPr>
            <w:tcW w:type="dxa" w:w="2160"/>
          </w:tcPr>
          <w:p>
            <w:r>
              <w:t>0.571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0.623</w:t>
            </w:r>
          </w:p>
        </w:tc>
      </w:tr>
      <w:tr>
        <w:tc>
          <w:tcPr>
            <w:tcW w:type="dxa" w:w="2160"/>
          </w:tcPr>
          <w:p>
            <w:r>
              <w:t>F1-Score</w:t>
            </w:r>
          </w:p>
        </w:tc>
        <w:tc>
          <w:tcPr>
            <w:tcW w:type="dxa" w:w="2160"/>
          </w:tcPr>
          <w:p>
            <w:r>
              <w:t>0.591</w:t>
            </w:r>
          </w:p>
        </w:tc>
        <w:tc>
          <w:tcPr>
            <w:tcW w:type="dxa" w:w="2160"/>
          </w:tcPr>
          <w:p>
            <w:r>
              <w:t>0.578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0.652</w:t>
            </w:r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0.595</w:t>
            </w:r>
          </w:p>
        </w:tc>
        <w:tc>
          <w:tcPr>
            <w:tcW w:type="dxa" w:w="2160"/>
          </w:tcPr>
          <w:p>
            <w:r>
              <w:t>0.583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0.641</w:t>
            </w:r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0.587</w:t>
            </w:r>
          </w:p>
        </w:tc>
        <w:tc>
          <w:tcPr>
            <w:tcW w:type="dxa" w:w="2160"/>
          </w:tcPr>
          <w:p>
            <w:r>
              <w:t>0.574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0.664</w:t>
            </w:r>
          </w:p>
        </w:tc>
      </w:tr>
    </w:tbl>
    <w:p>
      <w:pPr>
        <w:jc w:val="center"/>
      </w:pPr>
      <w:r>
        <w:br/>
        <w:t>*The Hybrid Quantum model achieved the highest scores across all measured metrics, validating the proposed methodology.*</w:t>
      </w:r>
    </w:p>
    <w:p>
      <w:pPr>
        <w:pStyle w:val="Heading1"/>
      </w:pPr>
      <w:r>
        <w:t>Conclusive Statement</w:t>
      </w:r>
    </w:p>
    <w:p>
      <w:r>
        <w:t>The analytical breakdown of the project phases confirms the practical viability and superiority of hybrid quantum-classical systems in high-dimensional time-series analysis. By successfully mapping traditional financial indicators into a quantum feature space, the Hybrid Quantum-LSTM model overcame the predictive limitations of the classical baselines, delivering notable improvements in accuracy, precision, and recall. This framework establishes a strong foundation for future applications of quantum machine learning in adaptive, real-world financial forecasting.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