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СПОНСОР: ModernaTX, Inc.</w:t>
        <w:br/>
        <w:t xml:space="preserve">        ЦЕНТЪР: BG004                                                                                              ДАТА: 12.11.2024</w:t>
        <w:br/>
        <w:t xml:space="preserve">        ПРОТОКОЛ №: mRNA-1010-P304                               Пациент: Ivan Ivanov</w:t>
        <w:br/>
        <w:t xml:space="preserve">        ГЛАВЕН ИЗСЛЕДОВАТЕЛ: Проф. Д-р М. Цекова            Номер пациент: BG00060040267</w:t>
        <w:br/>
        <w:t xml:space="preserve">        ......</w:t>
        <w:br/>
        <w:t xml:space="preserve">        Пациентът бе информиран, че ако има партньорка в детеродна възраст трябва да използват подходящи методи за контрол на раждаемостта.</w:t>
        <w:br/>
        <w:t xml:space="preserve">        Пациентът отговаря на всички включващи и няма нито един от изключващите критерии към момента.</w:t>
        <w:br/>
        <w:t xml:space="preserve">        Пациентът бе скриниран в 20:32 ч. и му бе назначен номер: BG00060040267.</w:t>
        <w:br/>
        <w:t xml:space="preserve">        Нежелани събития по време на визитата не се регистрират.</w:t>
        <w:br/>
        <w:t xml:space="preserve">        Визитата бе изготвена под диктовката на Maria Tzekova от координатор по клиничното проучване Petar Georgiev.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