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Borders>
              <w:top w:val="none" w:color="FFFFFF" w:sz="0"/>
              <w:left w:val="none" w:color="FFFFFF" w:sz="0"/>
              <w:bottom w:val="none" w:color="FFFFFF" w:sz="0"/>
              <w:right w:val="none" w:color="FFFFFF" w:sz="0"/>
            </w:tcBorders>
            <w:shd w:fill="1A4E8A" w:val="clear"/>
            <w:tcMar>
              <w:top w:type="dxa" w:w="500"/>
              <w:left w:type="dxa" w:w="400"/>
              <w:bottom w:type="dxa" w:w="500"/>
              <w:right w:type="dxa" w:w="400"/>
            </w:tcMar>
          </w:tcPr>
          <w:p>
            <w:pPr>
              <w:jc w:val="center"/>
            </w:pPr>
            <w:r>
              <w:rPr>
                <w:b/>
                <w:bCs/>
                <w:color w:val="FFFFFF"/>
                <w:sz w:val="56"/>
                <w:szCs w:val="56"/>
              </w:rPr>
              <w:t xml:space="preserve">medrisk-health-analytics</w:t>
            </w:r>
          </w:p>
          <w:p>
            <w:pPr>
              <w:spacing w:before="120"/>
              <w:jc w:val="center"/>
            </w:pPr>
            <w:r>
              <w:rPr>
                <w:color w:val="AACCEE"/>
                <w:sz w:val="28"/>
                <w:szCs w:val="28"/>
              </w:rPr>
              <w:t xml:space="preserve">Rapport d'Analyse Technique Approfondie</w:t>
            </w:r>
          </w:p>
          <w:p>
            <w:pPr>
              <w:spacing w:before="240"/>
              <w:jc w:val="center"/>
            </w:pPr>
            <w:r>
              <w:rPr>
                <w:color w:val="7799BB"/>
                <w:sz w:val="20"/>
                <w:szCs w:val="20"/>
              </w:rPr>
              <w:t xml:space="preserve">Version 0.2.0  |  Mai 2026  |  Analyse par Claude</w:t>
            </w:r>
          </w:p>
        </w:tc>
      </w:tr>
    </w:tbl>
    <w:p>
      <w:pPr>
        <w:spacing w:after="160"/>
      </w:pPr>
      <w:r>
        <w:t xml:space="preserve"/>
      </w:r>
    </w:p>
    <w:p>
      <w:pPr>
        <w:pStyle w:val="Heading1"/>
        <w:spacing w:after="140" w:before="280"/>
      </w:pPr>
      <w:r>
        <w:rPr>
          <w:b/>
          <w:bCs/>
          <w:color w:val="1A4E8A"/>
          <w:sz w:val="34"/>
          <w:szCs w:val="34"/>
        </w:rPr>
        <w:t xml:space="preserve">1. Résumé Exécutif</w:t>
      </w:r>
    </w:p>
    <w:p>
      <w:pPr>
        <w:spacing w:after="100"/>
      </w:pPr>
      <w:r>
        <w:rPr>
          <w:sz w:val="20"/>
          <w:szCs w:val="20"/>
        </w:rPr>
        <w:t xml:space="preserve">L'analyse a couvert la totalite du codebase : 57 fichiers Python (src/ + tests/ + notebooks/), pyproject.toml, la CI GitHub Actions et les donnees patient.csv (100 000 lignes, 31 colonnes). L'architecture generale est solide, bien structuree et professionnelle.</w:t>
      </w:r>
    </w:p>
    <w:p>
      <w:pPr>
        <w:spacing w:after="100"/>
      </w:pPr>
      <w:r>
        <w:rPr>
          <w:sz w:val="20"/>
          <w:szCs w:val="20"/>
        </w:rPr>
        <w:t xml:space="preserve">Cependant, l'analyse revele 10 bugs (dont 3 critiques provoquant des erreurs a l'execution), 4 incoherences structurelles majeures et 8 ameliorations a forte valeur ajoutee.</w:t>
      </w:r>
    </w:p>
    <w:p>
      <w:pPr>
        <w:spacing w:after="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Borders>
              <w:top w:val="none" w:color="FFFFFF" w:sz="0"/>
              <w:left w:val="none" w:color="FFFFFF" w:sz="0"/>
              <w:bottom w:val="none" w:color="FFFFFF" w:sz="0"/>
              <w:right w:val="none" w:color="FFFFFF" w:sz="0"/>
            </w:tcBorders>
            <w:shd w:fill="C0392B" w:val="clear"/>
            <w:tcMar>
              <w:top w:type="dxa" w:w="100"/>
              <w:left w:type="dxa" w:w="80"/>
              <w:bottom w:type="dxa" w:w="100"/>
              <w:right w:type="dxa" w:w="80"/>
            </w:tcMar>
          </w:tcPr>
          <w:p>
            <w:pPr>
              <w:jc w:val="center"/>
            </w:pPr>
            <w:r>
              <w:rPr>
                <w:b/>
                <w:bCs/>
                <w:color w:val="FFFFFF"/>
                <w:sz w:val="24"/>
                <w:szCs w:val="24"/>
              </w:rPr>
              <w:t xml:space="preserve">3 Critiques</w:t>
            </w:r>
          </w:p>
        </w:tc>
        <w:tc>
          <w:tcPr>
            <w:tcBorders>
              <w:top w:val="none" w:color="FFFFFF" w:sz="0"/>
              <w:left w:val="none" w:color="FFFFFF" w:sz="0"/>
              <w:bottom w:val="none" w:color="FFFFFF" w:sz="0"/>
              <w:right w:val="none" w:color="FFFFFF" w:sz="0"/>
            </w:tcBorders>
            <w:shd w:fill="D35400" w:val="clear"/>
            <w:tcMar>
              <w:top w:type="dxa" w:w="100"/>
              <w:left w:type="dxa" w:w="80"/>
              <w:bottom w:type="dxa" w:w="100"/>
              <w:right w:type="dxa" w:w="80"/>
            </w:tcMar>
          </w:tcPr>
          <w:p>
            <w:pPr>
              <w:jc w:val="center"/>
            </w:pPr>
            <w:r>
              <w:rPr>
                <w:b/>
                <w:bCs/>
                <w:color w:val="FFFFFF"/>
                <w:sz w:val="24"/>
                <w:szCs w:val="24"/>
              </w:rPr>
              <w:t xml:space="preserve">4 Moyens</w:t>
            </w:r>
          </w:p>
        </w:tc>
        <w:tc>
          <w:tcPr>
            <w:tcBorders>
              <w:top w:val="none" w:color="FFFFFF" w:sz="0"/>
              <w:left w:val="none" w:color="FFFFFF" w:sz="0"/>
              <w:bottom w:val="none" w:color="FFFFFF" w:sz="0"/>
              <w:right w:val="none" w:color="FFFFFF" w:sz="0"/>
            </w:tcBorders>
            <w:shd w:fill="666666" w:val="clear"/>
            <w:tcMar>
              <w:top w:type="dxa" w:w="100"/>
              <w:left w:type="dxa" w:w="80"/>
              <w:bottom w:type="dxa" w:w="100"/>
              <w:right w:type="dxa" w:w="80"/>
            </w:tcMar>
          </w:tcPr>
          <w:p>
            <w:pPr>
              <w:jc w:val="center"/>
            </w:pPr>
            <w:r>
              <w:rPr>
                <w:b/>
                <w:bCs/>
                <w:color w:val="FFFFFF"/>
                <w:sz w:val="24"/>
                <w:szCs w:val="24"/>
              </w:rPr>
              <w:t xml:space="preserve">3 Mineurs</w:t>
            </w:r>
          </w:p>
        </w:tc>
        <w:tc>
          <w:tcPr>
            <w:tcBorders>
              <w:top w:val="none" w:color="FFFFFF" w:sz="0"/>
              <w:left w:val="none" w:color="FFFFFF" w:sz="0"/>
              <w:bottom w:val="none" w:color="FFFFFF" w:sz="0"/>
              <w:right w:val="none" w:color="FFFFFF" w:sz="0"/>
            </w:tcBorders>
            <w:shd w:fill="1A7A4A" w:val="clear"/>
            <w:tcMar>
              <w:top w:type="dxa" w:w="100"/>
              <w:left w:type="dxa" w:w="80"/>
              <w:bottom w:type="dxa" w:w="100"/>
              <w:right w:type="dxa" w:w="80"/>
            </w:tcMar>
          </w:tcPr>
          <w:p>
            <w:pPr>
              <w:jc w:val="center"/>
            </w:pPr>
            <w:r>
              <w:rPr>
                <w:b/>
                <w:bCs/>
                <w:color w:val="FFFFFF"/>
                <w:sz w:val="24"/>
                <w:szCs w:val="24"/>
              </w:rPr>
              <w:t xml:space="preserve">8 Ameliorations</w:t>
            </w:r>
          </w:p>
        </w:tc>
      </w:tr>
    </w:tbl>
    <w:p>
      <w:pPr>
        <w:spacing w:after="160"/>
      </w:pPr>
      <w:r>
        <w:t xml:space="preserve"/>
      </w:r>
    </w:p>
    <w:p>
      <w:pPr>
        <w:pStyle w:val="Heading1"/>
        <w:spacing w:after="140" w:before="280"/>
      </w:pPr>
      <w:r>
        <w:rPr>
          <w:b/>
          <w:bCs/>
          <w:color w:val="1A4E8A"/>
          <w:sz w:val="34"/>
          <w:szCs w:val="34"/>
        </w:rPr>
        <w:t xml:space="preserve">2. Bugs Identifies</w:t>
      </w:r>
    </w:p>
    <w:p>
      <w:pPr>
        <w:pStyle w:val="Heading2"/>
        <w:pBdr>
          <w:bottom w:val="single" w:color="1A4E8A" w:sz="4" w:space="4"/>
        </w:pBdr>
        <w:spacing w:after="100" w:before="200"/>
      </w:pPr>
      <w:r>
        <w:rPr>
          <w:b/>
          <w:bCs/>
          <w:color w:val="1A4E8A"/>
          <w:sz w:val="26"/>
          <w:szCs w:val="26"/>
        </w:rPr>
        <w:t xml:space="preserve">2.1  Critiques — Erreurs provoquees a l'execution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none" w:color="FFFFFF" w:sz="0"/>
              <w:left w:val="none" w:color="FFFFFF" w:sz="0"/>
              <w:bottom w:val="none" w:color="FFFFFF" w:sz="0"/>
              <w:right w:val="none" w:color="FFFFFF" w:sz="0"/>
            </w:tcBorders>
            <w:shd w:fill="C0392B" w:val="clear"/>
            <w:tcMar>
              <w:top w:type="dxa" w:w="80"/>
              <w:left w:type="dxa" w:w="80"/>
              <w:bottom w:type="dxa" w:w="80"/>
              <w:right w:type="dxa" w:w="80"/>
            </w:tcMar>
          </w:tcPr>
          <w:p>
            <w:pPr>
              <w:jc w:val="center"/>
            </w:pPr>
            <w:r>
              <w:rPr>
                <w:b/>
                <w:bCs/>
                <w:color w:val="FFFFFF"/>
                <w:sz w:val="34"/>
                <w:szCs w:val="34"/>
              </w:rPr>
              <w:t xml:space="preserve">#1</w:t>
            </w:r>
          </w:p>
          <w:p>
            <w:pPr>
              <w:spacing w:before="40"/>
              <w:jc w:val="center"/>
            </w:pPr>
            <w:r>
              <w:rPr>
                <w:b/>
                <w:bCs/>
                <w:color w:val="FFFFFF"/>
                <w:sz w:val="16"/>
                <w:szCs w:val="16"/>
              </w:rPr>
              <w:t xml:space="preserve">CRITIQUE</w:t>
            </w:r>
          </w:p>
        </w:tc>
        <w:tc>
          <w:tcPr>
            <w:tcW w:type="dxa" w:w="7920"/>
            <w:gridSpan w:val="1"/>
            <w:tcBorders>
              <w:top w:val="none" w:color="FFFFFF" w:sz="0"/>
              <w:left w:val="none" w:color="FFFFFF" w:sz="0"/>
              <w:bottom w:val="none" w:color="FFFFFF" w:sz="0"/>
              <w:right w:val="none" w:color="FFFFFF" w:sz="0"/>
            </w:tcBorders>
            <w:shd w:fill="FAFAFA" w:val="clear"/>
            <w:tcMar>
              <w:top w:type="dxa" w:w="80"/>
              <w:left w:type="dxa" w:w="120"/>
              <w:bottom w:type="dxa" w:w="40"/>
              <w:right w:type="dxa" w:w="100"/>
            </w:tcMar>
          </w:tcPr>
          <w:p>
            <w:r>
              <w:rPr>
                <w:b/>
                <w:bCs/>
                <w:color w:val="111111"/>
                <w:sz w:val="22"/>
                <w:szCs w:val="22"/>
              </w:rPr>
              <w:t xml:space="preserve">task_type non defini dans les methodes load() — AttributeError garanti</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AFAFA" w:val="clear"/>
            <w:tcMar>
              <w:top w:type="dxa" w:w="0"/>
              <w:left w:type="dxa" w:w="120"/>
              <w:bottom w:type="dxa" w:w="40"/>
              <w:right w:type="dxa" w:w="100"/>
            </w:tcMar>
          </w:tcPr>
          <w:p>
            <w:r>
              <w:rPr>
                <w:i/>
                <w:iCs/>
                <w:color w:val="777777"/>
                <w:sz w:val="16"/>
                <w:szCs w:val="16"/>
              </w:rPr>
              <w:t xml:space="preserve">Fichier : boosting/models/xgboost_model.py | lightgbm_model.py | catboost_model.py</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AFAFA" w:val="clear"/>
            <w:tcMar>
              <w:top w:type="dxa" w:w="0"/>
              <w:left w:type="dxa" w:w="120"/>
              <w:bottom w:type="dxa" w:w="40"/>
              <w:right w:type="dxa" w:w="100"/>
            </w:tcMar>
          </w:tcPr>
          <w:p>
            <w:r>
              <w:rPr>
                <w:b/>
                <w:bCs/>
                <w:sz w:val="18"/>
                <w:szCs w:val="18"/>
              </w:rPr>
              <w:t xml:space="preserve">Probleme : </w:t>
            </w:r>
            <w:r>
              <w:rPr>
                <w:sz w:val="18"/>
                <w:szCs w:val="18"/>
              </w:rPr>
              <w:t xml:space="preserve">Les trois methodes load() reconstruisent l'instance avec cls.__new__(cls) + BaseBoostingModel.__init__() sans jamais definir self.task_type. Or predict_proba() utilise self.task_type pour decider si proba[:, 1] est retourne (binaire) ou non. Toute inference apres rechargement d'un modele sauvegarde leve : AttributeError: 'XGBoostModel' object has no attribute 'task_type'.</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0FFF4" w:val="clear"/>
            <w:tcMar>
              <w:top w:type="dxa" w:w="0"/>
              <w:left w:type="dxa" w:w="120"/>
              <w:bottom w:type="dxa" w:w="80"/>
              <w:right w:type="dxa" w:w="100"/>
            </w:tcMar>
          </w:tcPr>
          <w:p>
            <w:r>
              <w:rPr>
                <w:b/>
                <w:bCs/>
                <w:color w:val="1A7A4A"/>
                <w:sz w:val="18"/>
                <w:szCs w:val="18"/>
              </w:rPr>
              <w:t xml:space="preserve">Correction : </w:t>
            </w:r>
            <w:r>
              <w:rPr>
                <w:sz w:val="18"/>
                <w:szCs w:val="18"/>
              </w:rPr>
              <w:t xml:space="preserve">Ajouter instance.task_type = 'binary_classification' dans les trois load(). Idealement persister task_type dans un .meta.json aux cotes du modele pour un rechargement fidele.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none" w:color="FFFFFF" w:sz="0"/>
              <w:left w:val="none" w:color="FFFFFF" w:sz="0"/>
              <w:bottom w:val="none" w:color="FFFFFF" w:sz="0"/>
              <w:right w:val="none" w:color="FFFFFF" w:sz="0"/>
            </w:tcBorders>
            <w:shd w:fill="C0392B" w:val="clear"/>
            <w:tcMar>
              <w:top w:type="dxa" w:w="80"/>
              <w:left w:type="dxa" w:w="80"/>
              <w:bottom w:type="dxa" w:w="80"/>
              <w:right w:type="dxa" w:w="80"/>
            </w:tcMar>
          </w:tcPr>
          <w:p>
            <w:pPr>
              <w:jc w:val="center"/>
            </w:pPr>
            <w:r>
              <w:rPr>
                <w:b/>
                <w:bCs/>
                <w:color w:val="FFFFFF"/>
                <w:sz w:val="34"/>
                <w:szCs w:val="34"/>
              </w:rPr>
              <w:t xml:space="preserve">#2</w:t>
            </w:r>
          </w:p>
          <w:p>
            <w:pPr>
              <w:spacing w:before="40"/>
              <w:jc w:val="center"/>
            </w:pPr>
            <w:r>
              <w:rPr>
                <w:b/>
                <w:bCs/>
                <w:color w:val="FFFFFF"/>
                <w:sz w:val="16"/>
                <w:szCs w:val="16"/>
              </w:rPr>
              <w:t xml:space="preserve">CRITIQUE</w:t>
            </w:r>
          </w:p>
        </w:tc>
        <w:tc>
          <w:tcPr>
            <w:tcW w:type="dxa" w:w="7920"/>
            <w:gridSpan w:val="1"/>
            <w:tcBorders>
              <w:top w:val="none" w:color="FFFFFF" w:sz="0"/>
              <w:left w:val="none" w:color="FFFFFF" w:sz="0"/>
              <w:bottom w:val="none" w:color="FFFFFF" w:sz="0"/>
              <w:right w:val="none" w:color="FFFFFF" w:sz="0"/>
            </w:tcBorders>
            <w:shd w:fill="FAFAFA" w:val="clear"/>
            <w:tcMar>
              <w:top w:type="dxa" w:w="80"/>
              <w:left w:type="dxa" w:w="120"/>
              <w:bottom w:type="dxa" w:w="40"/>
              <w:right w:type="dxa" w:w="100"/>
            </w:tcMar>
          </w:tcPr>
          <w:p>
            <w:r>
              <w:rPr>
                <w:b/>
                <w:bCs/>
                <w:color w:val="111111"/>
                <w:sz w:val="22"/>
                <w:szCs w:val="22"/>
              </w:rPr>
              <w:t xml:space="preserve">LightGBMModel.load() charge lgb.Booster au lieu de LGBMClassifier</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AFAFA" w:val="clear"/>
            <w:tcMar>
              <w:top w:type="dxa" w:w="0"/>
              <w:left w:type="dxa" w:w="120"/>
              <w:bottom w:type="dxa" w:w="40"/>
              <w:right w:type="dxa" w:w="100"/>
            </w:tcMar>
          </w:tcPr>
          <w:p>
            <w:r>
              <w:rPr>
                <w:i/>
                <w:iCs/>
                <w:color w:val="777777"/>
                <w:sz w:val="16"/>
                <w:szCs w:val="16"/>
              </w:rPr>
              <w:t xml:space="preserve">Fichier : boosting/models/lightgbm_model.py — methode load()</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AFAFA" w:val="clear"/>
            <w:tcMar>
              <w:top w:type="dxa" w:w="0"/>
              <w:left w:type="dxa" w:w="120"/>
              <w:bottom w:type="dxa" w:w="40"/>
              <w:right w:type="dxa" w:w="100"/>
            </w:tcMar>
          </w:tcPr>
          <w:p>
            <w:r>
              <w:rPr>
                <w:b/>
                <w:bCs/>
                <w:sz w:val="18"/>
                <w:szCs w:val="18"/>
              </w:rPr>
              <w:t xml:space="preserve">Probleme : </w:t>
            </w:r>
            <w:r>
              <w:rPr>
                <w:sz w:val="18"/>
                <w:szCs w:val="18"/>
              </w:rPr>
              <w:t xml:space="preserve">instance._model = lgb.Booster(model_file=path) charge un objet Booster qui n'a pas de methode predict_proba(). LightGBMModel.predict_proba() appelle self._model.predict_proba() et leve AttributeError. Le BoostingPyFuncModel contourne via hasattr() mais LightGBMModel.predict_proba() utilisee directement echoue. De plus, Booster.predict() retourne un vecteur 1D incompatible avec la logique binaire/multiclasse.</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0FFF4" w:val="clear"/>
            <w:tcMar>
              <w:top w:type="dxa" w:w="0"/>
              <w:left w:type="dxa" w:w="120"/>
              <w:bottom w:type="dxa" w:w="80"/>
              <w:right w:type="dxa" w:w="100"/>
            </w:tcMar>
          </w:tcPr>
          <w:p>
            <w:r>
              <w:rPr>
                <w:b/>
                <w:bCs/>
                <w:color w:val="1A7A4A"/>
                <w:sz w:val="18"/>
                <w:szCs w:val="18"/>
              </w:rPr>
              <w:t xml:space="preserve">Correction : </w:t>
            </w:r>
            <w:r>
              <w:rPr>
                <w:sz w:val="18"/>
                <w:szCs w:val="18"/>
              </w:rPr>
              <w:t xml:space="preserve">Sauvegarder le LGBMClassifier entier avec pickle plutot que le booster natif, OU reconstruire via : instance._model = lgb.LGBMClassifier(); instance._model._Booster = lgb.Booster(model_file=path). Ajouter instance.task_type = 'binary_classification'.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none" w:color="FFFFFF" w:sz="0"/>
              <w:left w:val="none" w:color="FFFFFF" w:sz="0"/>
              <w:bottom w:val="none" w:color="FFFFFF" w:sz="0"/>
              <w:right w:val="none" w:color="FFFFFF" w:sz="0"/>
            </w:tcBorders>
            <w:shd w:fill="C0392B" w:val="clear"/>
            <w:tcMar>
              <w:top w:type="dxa" w:w="80"/>
              <w:left w:type="dxa" w:w="80"/>
              <w:bottom w:type="dxa" w:w="80"/>
              <w:right w:type="dxa" w:w="80"/>
            </w:tcMar>
          </w:tcPr>
          <w:p>
            <w:pPr>
              <w:jc w:val="center"/>
            </w:pPr>
            <w:r>
              <w:rPr>
                <w:b/>
                <w:bCs/>
                <w:color w:val="FFFFFF"/>
                <w:sz w:val="34"/>
                <w:szCs w:val="34"/>
              </w:rPr>
              <w:t xml:space="preserve">#3</w:t>
            </w:r>
          </w:p>
          <w:p>
            <w:pPr>
              <w:spacing w:before="40"/>
              <w:jc w:val="center"/>
            </w:pPr>
            <w:r>
              <w:rPr>
                <w:b/>
                <w:bCs/>
                <w:color w:val="FFFFFF"/>
                <w:sz w:val="16"/>
                <w:szCs w:val="16"/>
              </w:rPr>
              <w:t xml:space="preserve">CRITIQUE</w:t>
            </w:r>
          </w:p>
        </w:tc>
        <w:tc>
          <w:tcPr>
            <w:tcW w:type="dxa" w:w="7920"/>
            <w:gridSpan w:val="1"/>
            <w:tcBorders>
              <w:top w:val="none" w:color="FFFFFF" w:sz="0"/>
              <w:left w:val="none" w:color="FFFFFF" w:sz="0"/>
              <w:bottom w:val="none" w:color="FFFFFF" w:sz="0"/>
              <w:right w:val="none" w:color="FFFFFF" w:sz="0"/>
            </w:tcBorders>
            <w:shd w:fill="FAFAFA" w:val="clear"/>
            <w:tcMar>
              <w:top w:type="dxa" w:w="80"/>
              <w:left w:type="dxa" w:w="120"/>
              <w:bottom w:type="dxa" w:w="40"/>
              <w:right w:type="dxa" w:w="100"/>
            </w:tcMar>
          </w:tcPr>
          <w:p>
            <w:r>
              <w:rPr>
                <w:b/>
                <w:bCs/>
                <w:color w:val="111111"/>
                <w:sz w:val="22"/>
                <w:szCs w:val="22"/>
              </w:rPr>
              <w:t xml:space="preserve">constants.py defini mais jamais importe — magic numbers eparpilles dans tout le code</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AFAFA" w:val="clear"/>
            <w:tcMar>
              <w:top w:type="dxa" w:w="0"/>
              <w:left w:type="dxa" w:w="120"/>
              <w:bottom w:type="dxa" w:w="40"/>
              <w:right w:type="dxa" w:w="100"/>
            </w:tcMar>
          </w:tcPr>
          <w:p>
            <w:r>
              <w:rPr>
                <w:i/>
                <w:iCs/>
                <w:color w:val="777777"/>
                <w:sz w:val="16"/>
                <w:szCs w:val="16"/>
              </w:rPr>
              <w:t xml:space="preserve">Fichier : utils/constants.py — aucun import dans features/, preprocessing/, boosting/</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AFAFA" w:val="clear"/>
            <w:tcMar>
              <w:top w:type="dxa" w:w="0"/>
              <w:left w:type="dxa" w:w="120"/>
              <w:bottom w:type="dxa" w:w="40"/>
              <w:right w:type="dxa" w:w="100"/>
            </w:tcMar>
          </w:tcPr>
          <w:p>
            <w:r>
              <w:rPr>
                <w:b/>
                <w:bCs/>
                <w:sz w:val="18"/>
                <w:szCs w:val="18"/>
              </w:rPr>
              <w:t xml:space="preserve">Probleme : </w:t>
            </w:r>
            <w:r>
              <w:rPr>
                <w:sz w:val="18"/>
                <w:szCs w:val="18"/>
              </w:rPr>
              <w:t xml:space="preserve">Le fichier constants.py definit 14 constantes medicales (GLUCOSE_NORMAL_MAX=99, BMI_NORMAL_MAX=24.9, TRIGLYCERIDES_HIGH_THRESHOLD=150...) mais aucun module les important. Toutes les valeurs sont recopiees en dur dans medical.py, metabolic.py, behavioral.py. Si un seuil clinique est mis a jour dans constants.py, les calculs restent inchanges : incoherence silencieuse impossible a detecter.</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0FFF4" w:val="clear"/>
            <w:tcMar>
              <w:top w:type="dxa" w:w="0"/>
              <w:left w:type="dxa" w:w="120"/>
              <w:bottom w:type="dxa" w:w="80"/>
              <w:right w:type="dxa" w:w="100"/>
            </w:tcMar>
          </w:tcPr>
          <w:p>
            <w:r>
              <w:rPr>
                <w:b/>
                <w:bCs/>
                <w:color w:val="1A7A4A"/>
                <w:sz w:val="18"/>
                <w:szCs w:val="18"/>
              </w:rPr>
              <w:t xml:space="preserve">Correction : </w:t>
            </w:r>
            <w:r>
              <w:rPr>
                <w:sz w:val="18"/>
                <w:szCs w:val="18"/>
              </w:rPr>
              <w:t xml:space="preserve">Ajouter from medrisk_features.utils.constants import ... dans chaque module. Ex dans medical.py : remplacer bins=[0, 99, 125, np.inf] par bins=[0, GLUCOSE_NORMAL_MAX, GLUCOSE_PREDIABETES_MAX, np.inf]. Corriger aussi BMI_NORMAL_MAX -&gt; 25.0 dans constants.py (voir Bug #4).</w:t>
            </w:r>
          </w:p>
        </w:tc>
      </w:tr>
    </w:tbl>
    <w:p>
      <w:pPr>
        <w:spacing w:after="80"/>
      </w:pPr>
      <w:r>
        <w:t xml:space="preserve"/>
      </w:r>
    </w:p>
    <w:p>
      <w:pPr>
        <w:pStyle w:val="Heading2"/>
        <w:pBdr>
          <w:bottom w:val="single" w:color="1A4E8A" w:sz="4" w:space="4"/>
        </w:pBdr>
        <w:spacing w:after="100" w:before="200"/>
      </w:pPr>
      <w:r>
        <w:rPr>
          <w:b/>
          <w:bCs/>
          <w:color w:val="1A4E8A"/>
          <w:sz w:val="26"/>
          <w:szCs w:val="26"/>
        </w:rPr>
        <w:t xml:space="preserve">2.2  Moyens — Comportement incorrect ou risque eleve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none" w:color="FFFFFF" w:sz="0"/>
              <w:left w:val="none" w:color="FFFFFF" w:sz="0"/>
              <w:bottom w:val="none" w:color="FFFFFF" w:sz="0"/>
              <w:right w:val="none" w:color="FFFFFF" w:sz="0"/>
            </w:tcBorders>
            <w:shd w:fill="D35400" w:val="clear"/>
            <w:tcMar>
              <w:top w:type="dxa" w:w="80"/>
              <w:left w:type="dxa" w:w="80"/>
              <w:bottom w:type="dxa" w:w="80"/>
              <w:right w:type="dxa" w:w="80"/>
            </w:tcMar>
          </w:tcPr>
          <w:p>
            <w:pPr>
              <w:jc w:val="center"/>
            </w:pPr>
            <w:r>
              <w:rPr>
                <w:b/>
                <w:bCs/>
                <w:color w:val="FFFFFF"/>
                <w:sz w:val="34"/>
                <w:szCs w:val="34"/>
              </w:rPr>
              <w:t xml:space="preserve">#4</w:t>
            </w:r>
          </w:p>
          <w:p>
            <w:pPr>
              <w:spacing w:before="40"/>
              <w:jc w:val="center"/>
            </w:pPr>
            <w:r>
              <w:rPr>
                <w:b/>
                <w:bCs/>
                <w:color w:val="FFFFFF"/>
                <w:sz w:val="16"/>
                <w:szCs w:val="16"/>
              </w:rPr>
              <w:t xml:space="preserve">MOYEN</w:t>
            </w:r>
          </w:p>
        </w:tc>
        <w:tc>
          <w:tcPr>
            <w:tcW w:type="dxa" w:w="7920"/>
            <w:gridSpan w:val="1"/>
            <w:tcBorders>
              <w:top w:val="none" w:color="FFFFFF" w:sz="0"/>
              <w:left w:val="none" w:color="FFFFFF" w:sz="0"/>
              <w:bottom w:val="none" w:color="FFFFFF" w:sz="0"/>
              <w:right w:val="none" w:color="FFFFFF" w:sz="0"/>
            </w:tcBorders>
            <w:shd w:fill="FAFAFA" w:val="clear"/>
            <w:tcMar>
              <w:top w:type="dxa" w:w="80"/>
              <w:left w:type="dxa" w:w="120"/>
              <w:bottom w:type="dxa" w:w="40"/>
              <w:right w:type="dxa" w:w="100"/>
            </w:tcMar>
          </w:tcPr>
          <w:p>
            <w:r>
              <w:rPr>
                <w:b/>
                <w:bCs/>
                <w:color w:val="111111"/>
                <w:sz w:val="22"/>
                <w:szCs w:val="22"/>
              </w:rPr>
              <w:t xml:space="preserve">Bornes BMI incorrectes — valeurs 24.91 a 24.99 kg/m2 mal classifiees</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AFAFA" w:val="clear"/>
            <w:tcMar>
              <w:top w:type="dxa" w:w="0"/>
              <w:left w:type="dxa" w:w="120"/>
              <w:bottom w:type="dxa" w:w="40"/>
              <w:right w:type="dxa" w:w="100"/>
            </w:tcMar>
          </w:tcPr>
          <w:p>
            <w:r>
              <w:rPr>
                <w:i/>
                <w:iCs/>
                <w:color w:val="777777"/>
                <w:sz w:val="16"/>
                <w:szCs w:val="16"/>
              </w:rPr>
              <w:t xml:space="preserve">Fichier : features/medical.py — methode _compute_bmi_and_bp()</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AFAFA" w:val="clear"/>
            <w:tcMar>
              <w:top w:type="dxa" w:w="0"/>
              <w:left w:type="dxa" w:w="120"/>
              <w:bottom w:type="dxa" w:w="40"/>
              <w:right w:type="dxa" w:w="100"/>
            </w:tcMar>
          </w:tcPr>
          <w:p>
            <w:r>
              <w:rPr>
                <w:b/>
                <w:bCs/>
                <w:sz w:val="18"/>
                <w:szCs w:val="18"/>
              </w:rPr>
              <w:t xml:space="preserve">Probleme : </w:t>
            </w:r>
            <w:r>
              <w:rPr>
                <w:sz w:val="18"/>
                <w:szCs w:val="18"/>
              </w:rPr>
              <w:t xml:space="preserve">pd.cut(bins=[0, 18.5, 24.9, 29.9, np.inf]) avec right=True (defaut) cree (18.5, 24.9] et (24.9, 29.9]. Un BMI de 24.91 tombe dans 'Overweight' alors que l'OMS classe 18.5-24.99 comme Normal. Le bug est amplifie par BMI_NORMAL_MAX=24.9 dans constants.py qui utilise la meme valeur arrondie incorrecte.</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0FFF4" w:val="clear"/>
            <w:tcMar>
              <w:top w:type="dxa" w:w="0"/>
              <w:left w:type="dxa" w:w="120"/>
              <w:bottom w:type="dxa" w:w="80"/>
              <w:right w:type="dxa" w:w="100"/>
            </w:tcMar>
          </w:tcPr>
          <w:p>
            <w:r>
              <w:rPr>
                <w:b/>
                <w:bCs/>
                <w:color w:val="1A7A4A"/>
                <w:sz w:val="18"/>
                <w:szCs w:val="18"/>
              </w:rPr>
              <w:t xml:space="preserve">Correction : </w:t>
            </w:r>
            <w:r>
              <w:rPr>
                <w:sz w:val="18"/>
                <w:szCs w:val="18"/>
              </w:rPr>
              <w:t xml:space="preserve">Utiliser bins=[0, 18.5, 25.0, 30.0, np.inf] avec right=False : pd.cut(..., bins=[0, 18.5, 25.0, 30.0, np.inf], labels=[...], right=False). Mettre a jour constants.py : BMI_NORMAL_MAX=25.0, BMI_OVERWEIGHT_MAX=30.0.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none" w:color="FFFFFF" w:sz="0"/>
              <w:left w:val="none" w:color="FFFFFF" w:sz="0"/>
              <w:bottom w:val="none" w:color="FFFFFF" w:sz="0"/>
              <w:right w:val="none" w:color="FFFFFF" w:sz="0"/>
            </w:tcBorders>
            <w:shd w:fill="D35400" w:val="clear"/>
            <w:tcMar>
              <w:top w:type="dxa" w:w="80"/>
              <w:left w:type="dxa" w:w="80"/>
              <w:bottom w:type="dxa" w:w="80"/>
              <w:right w:type="dxa" w:w="80"/>
            </w:tcMar>
          </w:tcPr>
          <w:p>
            <w:pPr>
              <w:jc w:val="center"/>
            </w:pPr>
            <w:r>
              <w:rPr>
                <w:b/>
                <w:bCs/>
                <w:color w:val="FFFFFF"/>
                <w:sz w:val="34"/>
                <w:szCs w:val="34"/>
              </w:rPr>
              <w:t xml:space="preserve">#5</w:t>
            </w:r>
          </w:p>
          <w:p>
            <w:pPr>
              <w:spacing w:before="40"/>
              <w:jc w:val="center"/>
            </w:pPr>
            <w:r>
              <w:rPr>
                <w:b/>
                <w:bCs/>
                <w:color w:val="FFFFFF"/>
                <w:sz w:val="16"/>
                <w:szCs w:val="16"/>
              </w:rPr>
              <w:t xml:space="preserve">MOYEN</w:t>
            </w:r>
          </w:p>
        </w:tc>
        <w:tc>
          <w:tcPr>
            <w:tcW w:type="dxa" w:w="7920"/>
            <w:gridSpan w:val="1"/>
            <w:tcBorders>
              <w:top w:val="none" w:color="FFFFFF" w:sz="0"/>
              <w:left w:val="none" w:color="FFFFFF" w:sz="0"/>
              <w:bottom w:val="none" w:color="FFFFFF" w:sz="0"/>
              <w:right w:val="none" w:color="FFFFFF" w:sz="0"/>
            </w:tcBorders>
            <w:shd w:fill="FAFAFA" w:val="clear"/>
            <w:tcMar>
              <w:top w:type="dxa" w:w="80"/>
              <w:left w:type="dxa" w:w="120"/>
              <w:bottom w:type="dxa" w:w="40"/>
              <w:right w:type="dxa" w:w="100"/>
            </w:tcMar>
          </w:tcPr>
          <w:p>
            <w:r>
              <w:rPr>
                <w:b/>
                <w:bCs/>
                <w:color w:val="111111"/>
                <w:sz w:val="22"/>
                <w:szCs w:val="22"/>
              </w:rPr>
              <w:t xml:space="preserve">default_logger.py : logger.remove() global appele a chaque get_logger()</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AFAFA" w:val="clear"/>
            <w:tcMar>
              <w:top w:type="dxa" w:w="0"/>
              <w:left w:type="dxa" w:w="120"/>
              <w:bottom w:type="dxa" w:w="40"/>
              <w:right w:type="dxa" w:w="100"/>
            </w:tcMar>
          </w:tcPr>
          <w:p>
            <w:r>
              <w:rPr>
                <w:i/>
                <w:iCs/>
                <w:color w:val="777777"/>
                <w:sz w:val="16"/>
                <w:szCs w:val="16"/>
              </w:rPr>
              <w:t xml:space="preserve">Fichier : logging/default_logger.py — fonction get_logger()</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AFAFA" w:val="clear"/>
            <w:tcMar>
              <w:top w:type="dxa" w:w="0"/>
              <w:left w:type="dxa" w:w="120"/>
              <w:bottom w:type="dxa" w:w="40"/>
              <w:right w:type="dxa" w:w="100"/>
            </w:tcMar>
          </w:tcPr>
          <w:p>
            <w:r>
              <w:rPr>
                <w:b/>
                <w:bCs/>
                <w:sz w:val="18"/>
                <w:szCs w:val="18"/>
              </w:rPr>
              <w:t xml:space="preserve">Probleme : </w:t>
            </w:r>
            <w:r>
              <w:rPr>
                <w:sz w:val="18"/>
                <w:szCs w:val="18"/>
              </w:rPr>
              <w:t xml:space="preserve">Loguru utilise un singleton global. Chaque appel a get_logger() supprime tous les handlers existants (logger.remove()) puis en cree un nouveau. Avec 6 composants qui appellent chacun get_logger() dans __init__, les handlers sont supprimes en cascade. En environnement multi-thread (Databricks Spark), cela peut supprimer le handler d'un autre thread en cours de log.</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0FFF4" w:val="clear"/>
            <w:tcMar>
              <w:top w:type="dxa" w:w="0"/>
              <w:left w:type="dxa" w:w="120"/>
              <w:bottom w:type="dxa" w:w="80"/>
              <w:right w:type="dxa" w:w="100"/>
            </w:tcMar>
          </w:tcPr>
          <w:p>
            <w:r>
              <w:rPr>
                <w:b/>
                <w:bCs/>
                <w:color w:val="1A7A4A"/>
                <w:sz w:val="18"/>
                <w:szCs w:val="18"/>
              </w:rPr>
              <w:t xml:space="preserve">Correction : </w:t>
            </w:r>
            <w:r>
              <w:rPr>
                <w:sz w:val="18"/>
                <w:szCs w:val="18"/>
              </w:rPr>
              <w:t xml:space="preserve">Executer logger.remove() et logger.add() une seule fois au niveau du module (a l'import). La fonction get_logger(name) se contente de return logger.bind(logger_name=name). Optionnel : cache dict _LOGGERS pour eviter les re-bindings.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none" w:color="FFFFFF" w:sz="0"/>
              <w:left w:val="none" w:color="FFFFFF" w:sz="0"/>
              <w:bottom w:val="none" w:color="FFFFFF" w:sz="0"/>
              <w:right w:val="none" w:color="FFFFFF" w:sz="0"/>
            </w:tcBorders>
            <w:shd w:fill="D35400" w:val="clear"/>
            <w:tcMar>
              <w:top w:type="dxa" w:w="80"/>
              <w:left w:type="dxa" w:w="80"/>
              <w:bottom w:type="dxa" w:w="80"/>
              <w:right w:type="dxa" w:w="80"/>
            </w:tcMar>
          </w:tcPr>
          <w:p>
            <w:pPr>
              <w:jc w:val="center"/>
            </w:pPr>
            <w:r>
              <w:rPr>
                <w:b/>
                <w:bCs/>
                <w:color w:val="FFFFFF"/>
                <w:sz w:val="34"/>
                <w:szCs w:val="34"/>
              </w:rPr>
              <w:t xml:space="preserve">#6</w:t>
            </w:r>
          </w:p>
          <w:p>
            <w:pPr>
              <w:spacing w:before="40"/>
              <w:jc w:val="center"/>
            </w:pPr>
            <w:r>
              <w:rPr>
                <w:b/>
                <w:bCs/>
                <w:color w:val="FFFFFF"/>
                <w:sz w:val="16"/>
                <w:szCs w:val="16"/>
              </w:rPr>
              <w:t xml:space="preserve">MOYEN</w:t>
            </w:r>
          </w:p>
        </w:tc>
        <w:tc>
          <w:tcPr>
            <w:tcW w:type="dxa" w:w="7920"/>
            <w:gridSpan w:val="1"/>
            <w:tcBorders>
              <w:top w:val="none" w:color="FFFFFF" w:sz="0"/>
              <w:left w:val="none" w:color="FFFFFF" w:sz="0"/>
              <w:bottom w:val="none" w:color="FFFFFF" w:sz="0"/>
              <w:right w:val="none" w:color="FFFFFF" w:sz="0"/>
            </w:tcBorders>
            <w:shd w:fill="FAFAFA" w:val="clear"/>
            <w:tcMar>
              <w:top w:type="dxa" w:w="80"/>
              <w:left w:type="dxa" w:w="120"/>
              <w:bottom w:type="dxa" w:w="40"/>
              <w:right w:type="dxa" w:w="100"/>
            </w:tcMar>
          </w:tcPr>
          <w:p>
            <w:r>
              <w:rPr>
                <w:b/>
                <w:bCs/>
                <w:color w:val="111111"/>
                <w:sz w:val="22"/>
                <w:szCs w:val="22"/>
              </w:rPr>
              <w:t xml:space="preserve">PipelineLogResult.artifact_paths pointe vers des fichiers temporaires supprimes</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AFAFA" w:val="clear"/>
            <w:tcMar>
              <w:top w:type="dxa" w:w="0"/>
              <w:left w:type="dxa" w:w="120"/>
              <w:bottom w:type="dxa" w:w="40"/>
              <w:right w:type="dxa" w:w="100"/>
            </w:tcMar>
          </w:tcPr>
          <w:p>
            <w:r>
              <w:rPr>
                <w:i/>
                <w:iCs/>
                <w:color w:val="777777"/>
                <w:sz w:val="16"/>
                <w:szCs w:val="16"/>
              </w:rPr>
              <w:t xml:space="preserve">Fichier : mlflow/tracker.py — fonction log_pipeline()</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AFAFA" w:val="clear"/>
            <w:tcMar>
              <w:top w:type="dxa" w:w="0"/>
              <w:left w:type="dxa" w:w="120"/>
              <w:bottom w:type="dxa" w:w="40"/>
              <w:right w:type="dxa" w:w="100"/>
            </w:tcMar>
          </w:tcPr>
          <w:p>
            <w:r>
              <w:rPr>
                <w:b/>
                <w:bCs/>
                <w:sz w:val="18"/>
                <w:szCs w:val="18"/>
              </w:rPr>
              <w:t xml:space="preserve">Probleme : </w:t>
            </w:r>
            <w:r>
              <w:rPr>
                <w:sz w:val="18"/>
                <w:szCs w:val="18"/>
              </w:rPr>
              <w:t xml:space="preserve">artifact_paths est rempli avec les chemins locaux dans un TemporaryDirectory (ex: /tmp/xyz/pipeline.pkl). Le with tempfile.TemporaryDirectory() se termine avant le return — le repertoire est supprime. L'utilisateur recoit des chemins vers des fichiers inexistants alors que les fichiers sont bien uploades dans MLflow.</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0FFF4" w:val="clear"/>
            <w:tcMar>
              <w:top w:type="dxa" w:w="0"/>
              <w:left w:type="dxa" w:w="120"/>
              <w:bottom w:type="dxa" w:w="80"/>
              <w:right w:type="dxa" w:w="100"/>
            </w:tcMar>
          </w:tcPr>
          <w:p>
            <w:r>
              <w:rPr>
                <w:b/>
                <w:bCs/>
                <w:color w:val="1A7A4A"/>
                <w:sz w:val="18"/>
                <w:szCs w:val="18"/>
              </w:rPr>
              <w:t xml:space="preserve">Correction : </w:t>
            </w:r>
            <w:r>
              <w:rPr>
                <w:sz w:val="18"/>
                <w:szCs w:val="18"/>
              </w:rPr>
              <w:t xml:space="preserve">Stocker les URIs MLflow : artifact_paths = {'pipeline': f'runs:/{run_id}/{artifact_path}/pipeline.pkl', 'config': f'runs:/{run_id}/pipeline_metadata/config.json'}. Le pattern correct existe deja dans TrainingResult (trainer.py) et sert de reference.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none" w:color="FFFFFF" w:sz="0"/>
              <w:left w:val="none" w:color="FFFFFF" w:sz="0"/>
              <w:bottom w:val="none" w:color="FFFFFF" w:sz="0"/>
              <w:right w:val="none" w:color="FFFFFF" w:sz="0"/>
            </w:tcBorders>
            <w:shd w:fill="D35400" w:val="clear"/>
            <w:tcMar>
              <w:top w:type="dxa" w:w="80"/>
              <w:left w:type="dxa" w:w="80"/>
              <w:bottom w:type="dxa" w:w="80"/>
              <w:right w:type="dxa" w:w="80"/>
            </w:tcMar>
          </w:tcPr>
          <w:p>
            <w:pPr>
              <w:jc w:val="center"/>
            </w:pPr>
            <w:r>
              <w:rPr>
                <w:b/>
                <w:bCs/>
                <w:color w:val="FFFFFF"/>
                <w:sz w:val="34"/>
                <w:szCs w:val="34"/>
              </w:rPr>
              <w:t xml:space="preserve">#7</w:t>
            </w:r>
          </w:p>
          <w:p>
            <w:pPr>
              <w:spacing w:before="40"/>
              <w:jc w:val="center"/>
            </w:pPr>
            <w:r>
              <w:rPr>
                <w:b/>
                <w:bCs/>
                <w:color w:val="FFFFFF"/>
                <w:sz w:val="16"/>
                <w:szCs w:val="16"/>
              </w:rPr>
              <w:t xml:space="preserve">MOYEN</w:t>
            </w:r>
          </w:p>
        </w:tc>
        <w:tc>
          <w:tcPr>
            <w:tcW w:type="dxa" w:w="7920"/>
            <w:gridSpan w:val="1"/>
            <w:tcBorders>
              <w:top w:val="none" w:color="FFFFFF" w:sz="0"/>
              <w:left w:val="none" w:color="FFFFFF" w:sz="0"/>
              <w:bottom w:val="none" w:color="FFFFFF" w:sz="0"/>
              <w:right w:val="none" w:color="FFFFFF" w:sz="0"/>
            </w:tcBorders>
            <w:shd w:fill="FAFAFA" w:val="clear"/>
            <w:tcMar>
              <w:top w:type="dxa" w:w="80"/>
              <w:left w:type="dxa" w:w="120"/>
              <w:bottom w:type="dxa" w:w="40"/>
              <w:right w:type="dxa" w:w="100"/>
            </w:tcMar>
          </w:tcPr>
          <w:p>
            <w:r>
              <w:rPr>
                <w:b/>
                <w:bCs/>
                <w:color w:val="111111"/>
                <w:sz w:val="22"/>
                <w:szCs w:val="22"/>
              </w:rPr>
              <w:t xml:space="preserve">str.replace() fragile pour retirer l'extension du chemin modele</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AFAFA" w:val="clear"/>
            <w:tcMar>
              <w:top w:type="dxa" w:w="0"/>
              <w:left w:type="dxa" w:w="120"/>
              <w:bottom w:type="dxa" w:w="40"/>
              <w:right w:type="dxa" w:w="100"/>
            </w:tcMar>
          </w:tcPr>
          <w:p>
            <w:r>
              <w:rPr>
                <w:i/>
                <w:iCs/>
                <w:color w:val="777777"/>
                <w:sz w:val="16"/>
                <w:szCs w:val="16"/>
              </w:rPr>
              <w:t xml:space="preserve">Fichier : boosting/training/trainer.py — fonction _log_to_mlflow()</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AFAFA" w:val="clear"/>
            <w:tcMar>
              <w:top w:type="dxa" w:w="0"/>
              <w:left w:type="dxa" w:w="120"/>
              <w:bottom w:type="dxa" w:w="40"/>
              <w:right w:type="dxa" w:w="100"/>
            </w:tcMar>
          </w:tcPr>
          <w:p>
            <w:r>
              <w:rPr>
                <w:b/>
                <w:bCs/>
                <w:sz w:val="18"/>
                <w:szCs w:val="18"/>
              </w:rPr>
              <w:t xml:space="preserve">Probleme : </w:t>
            </w:r>
            <w:r>
              <w:rPr>
                <w:sz w:val="18"/>
                <w:szCs w:val="18"/>
              </w:rPr>
              <w:t xml:space="preserve">model.save(model_path.replace(model_ext, '')) utilise str.replace() qui remplace TOUTES les occurrences de l'extension dans la chaine. Si le chemin tmpdir contient .json (ex: /tmp/run.json_test/model.json), le resultat serait /tmp/run_test/model : chemin corrompu, fichier introuvable.</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0FFF4" w:val="clear"/>
            <w:tcMar>
              <w:top w:type="dxa" w:w="0"/>
              <w:left w:type="dxa" w:w="120"/>
              <w:bottom w:type="dxa" w:w="80"/>
              <w:right w:type="dxa" w:w="100"/>
            </w:tcMar>
          </w:tcPr>
          <w:p>
            <w:r>
              <w:rPr>
                <w:b/>
                <w:bCs/>
                <w:color w:val="1A7A4A"/>
                <w:sz w:val="18"/>
                <w:szCs w:val="18"/>
              </w:rPr>
              <w:t xml:space="preserve">Correction : </w:t>
            </w:r>
            <w:r>
              <w:rPr>
                <w:sz w:val="18"/>
                <w:szCs w:val="18"/>
              </w:rPr>
              <w:t xml:space="preserve">Utiliser os.path.splitext() : model.save(os.path.splitext(model_path)[0]). C'est la methode idiomatique Python pour retirer une extension de fichier sans risque.</w:t>
            </w:r>
          </w:p>
        </w:tc>
      </w:tr>
    </w:tbl>
    <w:p>
      <w:pPr>
        <w:spacing w:after="80"/>
      </w:pPr>
      <w:r>
        <w:t xml:space="preserve"/>
      </w:r>
    </w:p>
    <w:p>
      <w:pPr>
        <w:pStyle w:val="Heading2"/>
        <w:pBdr>
          <w:bottom w:val="single" w:color="1A4E8A" w:sz="4" w:space="4"/>
        </w:pBdr>
        <w:spacing w:after="100" w:before="200"/>
      </w:pPr>
      <w:r>
        <w:rPr>
          <w:b/>
          <w:bCs/>
          <w:color w:val="1A4E8A"/>
          <w:sz w:val="26"/>
          <w:szCs w:val="26"/>
        </w:rPr>
        <w:t xml:space="preserve">2.3  Mineurs — Risques a faible impact immediat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none" w:color="FFFFFF" w:sz="0"/>
              <w:left w:val="none" w:color="FFFFFF" w:sz="0"/>
              <w:bottom w:val="none" w:color="FFFFFF" w:sz="0"/>
              <w:right w:val="none" w:color="FFFFFF" w:sz="0"/>
            </w:tcBorders>
            <w:shd w:fill="666666" w:val="clear"/>
            <w:tcMar>
              <w:top w:type="dxa" w:w="80"/>
              <w:left w:type="dxa" w:w="80"/>
              <w:bottom w:type="dxa" w:w="80"/>
              <w:right w:type="dxa" w:w="80"/>
            </w:tcMar>
          </w:tcPr>
          <w:p>
            <w:pPr>
              <w:jc w:val="center"/>
            </w:pPr>
            <w:r>
              <w:rPr>
                <w:b/>
                <w:bCs/>
                <w:color w:val="FFFFFF"/>
                <w:sz w:val="34"/>
                <w:szCs w:val="34"/>
              </w:rPr>
              <w:t xml:space="preserve">#8</w:t>
            </w:r>
          </w:p>
          <w:p>
            <w:pPr>
              <w:spacing w:before="40"/>
              <w:jc w:val="center"/>
            </w:pPr>
            <w:r>
              <w:rPr>
                <w:b/>
                <w:bCs/>
                <w:color w:val="FFFFFF"/>
                <w:sz w:val="16"/>
                <w:szCs w:val="16"/>
              </w:rPr>
              <w:t xml:space="preserve">MINEUR</w:t>
            </w:r>
          </w:p>
        </w:tc>
        <w:tc>
          <w:tcPr>
            <w:tcW w:type="dxa" w:w="7920"/>
            <w:gridSpan w:val="1"/>
            <w:tcBorders>
              <w:top w:val="none" w:color="FFFFFF" w:sz="0"/>
              <w:left w:val="none" w:color="FFFFFF" w:sz="0"/>
              <w:bottom w:val="none" w:color="FFFFFF" w:sz="0"/>
              <w:right w:val="none" w:color="FFFFFF" w:sz="0"/>
            </w:tcBorders>
            <w:shd w:fill="FAFAFA" w:val="clear"/>
            <w:tcMar>
              <w:top w:type="dxa" w:w="80"/>
              <w:left w:type="dxa" w:w="120"/>
              <w:bottom w:type="dxa" w:w="40"/>
              <w:right w:type="dxa" w:w="100"/>
            </w:tcMar>
          </w:tcPr>
          <w:p>
            <w:r>
              <w:rPr>
                <w:b/>
                <w:bCs/>
                <w:color w:val="111111"/>
                <w:sz w:val="22"/>
                <w:szCs w:val="22"/>
              </w:rPr>
              <w:t xml:space="preserve">BoostingPyFuncModel.predict() — signature incomplete pour MLflow 2.x</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AFAFA" w:val="clear"/>
            <w:tcMar>
              <w:top w:type="dxa" w:w="0"/>
              <w:left w:type="dxa" w:w="120"/>
              <w:bottom w:type="dxa" w:w="40"/>
              <w:right w:type="dxa" w:w="100"/>
            </w:tcMar>
          </w:tcPr>
          <w:p>
            <w:r>
              <w:rPr>
                <w:i/>
                <w:iCs/>
                <w:color w:val="777777"/>
                <w:sz w:val="16"/>
                <w:szCs w:val="16"/>
              </w:rPr>
              <w:t xml:space="preserve">Fichier : boosting/pyfunc/boosting_pyfunc_model.py + mlflow/pyfunc_model.py</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AFAFA" w:val="clear"/>
            <w:tcMar>
              <w:top w:type="dxa" w:w="0"/>
              <w:left w:type="dxa" w:w="120"/>
              <w:bottom w:type="dxa" w:w="40"/>
              <w:right w:type="dxa" w:w="100"/>
            </w:tcMar>
          </w:tcPr>
          <w:p>
            <w:r>
              <w:rPr>
                <w:b/>
                <w:bCs/>
                <w:sz w:val="18"/>
                <w:szCs w:val="18"/>
              </w:rPr>
              <w:t xml:space="preserve">Probleme : </w:t>
            </w:r>
            <w:r>
              <w:rPr>
                <w:sz w:val="18"/>
                <w:szCs w:val="18"/>
              </w:rPr>
              <w:t xml:space="preserve">MLflow &gt;= 2.0 ajoute un parametre params=None a PythonModel.predict(). La signature actuelle predict(self, context, model_input) provoque un UserWarning a partir de mlflow 2.12 et peut echouer dans les futures versions si le parametre devient obligatoire.</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0FFF4" w:val="clear"/>
            <w:tcMar>
              <w:top w:type="dxa" w:w="0"/>
              <w:left w:type="dxa" w:w="120"/>
              <w:bottom w:type="dxa" w:w="80"/>
              <w:right w:type="dxa" w:w="100"/>
            </w:tcMar>
          </w:tcPr>
          <w:p>
            <w:r>
              <w:rPr>
                <w:b/>
                <w:bCs/>
                <w:color w:val="1A7A4A"/>
                <w:sz w:val="18"/>
                <w:szCs w:val="18"/>
              </w:rPr>
              <w:t xml:space="preserve">Correction : </w:t>
            </w:r>
            <w:r>
              <w:rPr>
                <w:sz w:val="18"/>
                <w:szCs w:val="18"/>
              </w:rPr>
              <w:t xml:space="preserve">Changer la signature en def predict(self, context, model_input, params=None) dans les deux fichiers.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none" w:color="FFFFFF" w:sz="0"/>
              <w:left w:val="none" w:color="FFFFFF" w:sz="0"/>
              <w:bottom w:val="none" w:color="FFFFFF" w:sz="0"/>
              <w:right w:val="none" w:color="FFFFFF" w:sz="0"/>
            </w:tcBorders>
            <w:shd w:fill="666666" w:val="clear"/>
            <w:tcMar>
              <w:top w:type="dxa" w:w="80"/>
              <w:left w:type="dxa" w:w="80"/>
              <w:bottom w:type="dxa" w:w="80"/>
              <w:right w:type="dxa" w:w="80"/>
            </w:tcMar>
          </w:tcPr>
          <w:p>
            <w:pPr>
              <w:jc w:val="center"/>
            </w:pPr>
            <w:r>
              <w:rPr>
                <w:b/>
                <w:bCs/>
                <w:color w:val="FFFFFF"/>
                <w:sz w:val="34"/>
                <w:szCs w:val="34"/>
              </w:rPr>
              <w:t xml:space="preserve">#9</w:t>
            </w:r>
          </w:p>
          <w:p>
            <w:pPr>
              <w:spacing w:before="40"/>
              <w:jc w:val="center"/>
            </w:pPr>
            <w:r>
              <w:rPr>
                <w:b/>
                <w:bCs/>
                <w:color w:val="FFFFFF"/>
                <w:sz w:val="16"/>
                <w:szCs w:val="16"/>
              </w:rPr>
              <w:t xml:space="preserve">MINEUR</w:t>
            </w:r>
          </w:p>
        </w:tc>
        <w:tc>
          <w:tcPr>
            <w:tcW w:type="dxa" w:w="7920"/>
            <w:gridSpan w:val="1"/>
            <w:tcBorders>
              <w:top w:val="none" w:color="FFFFFF" w:sz="0"/>
              <w:left w:val="none" w:color="FFFFFF" w:sz="0"/>
              <w:bottom w:val="none" w:color="FFFFFF" w:sz="0"/>
              <w:right w:val="none" w:color="FFFFFF" w:sz="0"/>
            </w:tcBorders>
            <w:shd w:fill="FAFAFA" w:val="clear"/>
            <w:tcMar>
              <w:top w:type="dxa" w:w="80"/>
              <w:left w:type="dxa" w:w="120"/>
              <w:bottom w:type="dxa" w:w="40"/>
              <w:right w:type="dxa" w:w="100"/>
            </w:tcMar>
          </w:tcPr>
          <w:p>
            <w:r>
              <w:rPr>
                <w:b/>
                <w:bCs/>
                <w:color w:val="111111"/>
                <w:sz w:val="22"/>
                <w:szCs w:val="22"/>
              </w:rPr>
              <w:t xml:space="preserve">scikit-learn absent de l'extra mlflow dans pyproject.toml</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AFAFA" w:val="clear"/>
            <w:tcMar>
              <w:top w:type="dxa" w:w="0"/>
              <w:left w:type="dxa" w:w="120"/>
              <w:bottom w:type="dxa" w:w="40"/>
              <w:right w:type="dxa" w:w="100"/>
            </w:tcMar>
          </w:tcPr>
          <w:p>
            <w:r>
              <w:rPr>
                <w:i/>
                <w:iCs/>
                <w:color w:val="777777"/>
                <w:sz w:val="16"/>
                <w:szCs w:val="16"/>
              </w:rPr>
              <w:t xml:space="preserve">Fichier : pyproject.toml — section [tool.poetry.extras]</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AFAFA" w:val="clear"/>
            <w:tcMar>
              <w:top w:type="dxa" w:w="0"/>
              <w:left w:type="dxa" w:w="120"/>
              <w:bottom w:type="dxa" w:w="40"/>
              <w:right w:type="dxa" w:w="100"/>
            </w:tcMar>
          </w:tcPr>
          <w:p>
            <w:r>
              <w:rPr>
                <w:b/>
                <w:bCs/>
                <w:sz w:val="18"/>
                <w:szCs w:val="18"/>
              </w:rPr>
              <w:t xml:space="preserve">Probleme : </w:t>
            </w:r>
            <w:r>
              <w:rPr>
                <w:sz w:val="18"/>
                <w:szCs w:val="18"/>
              </w:rPr>
              <w:t xml:space="preserve">L'extra mlflow = ['mlflow'] n'inclut pas scikit-learn. Or train_boosting_model() utilise from sklearn.model_selection import train_test_split et evaluate_splits() importe sklearn.metrics. Un utilisateur installant pip install medrisk-features[mlflow] obtient des ImportError a l'execution.</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0FFF4" w:val="clear"/>
            <w:tcMar>
              <w:top w:type="dxa" w:w="0"/>
              <w:left w:type="dxa" w:w="120"/>
              <w:bottom w:type="dxa" w:w="80"/>
              <w:right w:type="dxa" w:w="100"/>
            </w:tcMar>
          </w:tcPr>
          <w:p>
            <w:r>
              <w:rPr>
                <w:b/>
                <w:bCs/>
                <w:color w:val="1A7A4A"/>
                <w:sz w:val="18"/>
                <w:szCs w:val="18"/>
              </w:rPr>
              <w:t xml:space="preserve">Correction : </w:t>
            </w:r>
            <w:r>
              <w:rPr>
                <w:sz w:val="18"/>
                <w:szCs w:val="18"/>
              </w:rPr>
              <w:t xml:space="preserve">Ajouter scikit-learn a l'extra mlflow : mlflow = ['mlflow', 'scikit-learn']. L'extra boosting l'inclut deja — l'incoherence entre les deux extras est ainsi resolue.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none" w:color="FFFFFF" w:sz="0"/>
              <w:left w:val="none" w:color="FFFFFF" w:sz="0"/>
              <w:bottom w:val="none" w:color="FFFFFF" w:sz="0"/>
              <w:right w:val="none" w:color="FFFFFF" w:sz="0"/>
            </w:tcBorders>
            <w:shd w:fill="666666" w:val="clear"/>
            <w:tcMar>
              <w:top w:type="dxa" w:w="80"/>
              <w:left w:type="dxa" w:w="80"/>
              <w:bottom w:type="dxa" w:w="80"/>
              <w:right w:type="dxa" w:w="80"/>
            </w:tcMar>
          </w:tcPr>
          <w:p>
            <w:pPr>
              <w:jc w:val="center"/>
            </w:pPr>
            <w:r>
              <w:rPr>
                <w:b/>
                <w:bCs/>
                <w:color w:val="FFFFFF"/>
                <w:sz w:val="34"/>
                <w:szCs w:val="34"/>
              </w:rPr>
              <w:t xml:space="preserve">#10</w:t>
            </w:r>
          </w:p>
          <w:p>
            <w:pPr>
              <w:spacing w:before="40"/>
              <w:jc w:val="center"/>
            </w:pPr>
            <w:r>
              <w:rPr>
                <w:b/>
                <w:bCs/>
                <w:color w:val="FFFFFF"/>
                <w:sz w:val="16"/>
                <w:szCs w:val="16"/>
              </w:rPr>
              <w:t xml:space="preserve">MINEUR</w:t>
            </w:r>
          </w:p>
        </w:tc>
        <w:tc>
          <w:tcPr>
            <w:tcW w:type="dxa" w:w="7920"/>
            <w:gridSpan w:val="1"/>
            <w:tcBorders>
              <w:top w:val="none" w:color="FFFFFF" w:sz="0"/>
              <w:left w:val="none" w:color="FFFFFF" w:sz="0"/>
              <w:bottom w:val="none" w:color="FFFFFF" w:sz="0"/>
              <w:right w:val="none" w:color="FFFFFF" w:sz="0"/>
            </w:tcBorders>
            <w:shd w:fill="FAFAFA" w:val="clear"/>
            <w:tcMar>
              <w:top w:type="dxa" w:w="80"/>
              <w:left w:type="dxa" w:w="120"/>
              <w:bottom w:type="dxa" w:w="40"/>
              <w:right w:type="dxa" w:w="100"/>
            </w:tcMar>
          </w:tcPr>
          <w:p>
            <w:r>
              <w:rPr>
                <w:b/>
                <w:bCs/>
                <w:color w:val="111111"/>
                <w:sz w:val="22"/>
                <w:szCs w:val="22"/>
              </w:rPr>
              <w:t xml:space="preserve">CI GitHub Actions — branche master declaree alors qu'elle n'existe pas</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AFAFA" w:val="clear"/>
            <w:tcMar>
              <w:top w:type="dxa" w:w="0"/>
              <w:left w:type="dxa" w:w="120"/>
              <w:bottom w:type="dxa" w:w="40"/>
              <w:right w:type="dxa" w:w="100"/>
            </w:tcMar>
          </w:tcPr>
          <w:p>
            <w:r>
              <w:rPr>
                <w:i/>
                <w:iCs/>
                <w:color w:val="777777"/>
                <w:sz w:val="16"/>
                <w:szCs w:val="16"/>
              </w:rPr>
              <w:t xml:space="preserve">Fichier : .github/workflows/ci.yml</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AFAFA" w:val="clear"/>
            <w:tcMar>
              <w:top w:type="dxa" w:w="0"/>
              <w:left w:type="dxa" w:w="120"/>
              <w:bottom w:type="dxa" w:w="40"/>
              <w:right w:type="dxa" w:w="100"/>
            </w:tcMar>
          </w:tcPr>
          <w:p>
            <w:r>
              <w:rPr>
                <w:b/>
                <w:bCs/>
                <w:sz w:val="18"/>
                <w:szCs w:val="18"/>
              </w:rPr>
              <w:t xml:space="preserve">Probleme : </w:t>
            </w:r>
            <w:r>
              <w:rPr>
                <w:sz w:val="18"/>
                <w:szCs w:val="18"/>
              </w:rPr>
              <w:t xml:space="preserve">Le workflow se declenche sur push/PR vers main ET master. La branche master n'existe pas (seules main et feat/update-medrisk-features existent). De plus Python 3.12 (version reelle du .venv) n'est pas teste dans la matrice alors que c'est l'environnement reel de developpement.</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0FFF4" w:val="clear"/>
            <w:tcMar>
              <w:top w:type="dxa" w:w="0"/>
              <w:left w:type="dxa" w:w="120"/>
              <w:bottom w:type="dxa" w:w="80"/>
              <w:right w:type="dxa" w:w="100"/>
            </w:tcMar>
          </w:tcPr>
          <w:p>
            <w:r>
              <w:rPr>
                <w:b/>
                <w:bCs/>
                <w:color w:val="1A7A4A"/>
                <w:sz w:val="18"/>
                <w:szCs w:val="18"/>
              </w:rPr>
              <w:t xml:space="preserve">Correction : </w:t>
            </w:r>
            <w:r>
              <w:rPr>
                <w:sz w:val="18"/>
                <w:szCs w:val="18"/>
              </w:rPr>
              <w:t xml:space="preserve">Retirer master des branches declencheurs. Ajouter '3.12' a la matrice python-version. Ajouter une mise en cache Poetry avec actions/cache pour accelerer la CI.</w:t>
            </w:r>
          </w:p>
        </w:tc>
      </w:tr>
    </w:tbl>
    <w:p>
      <w:pPr>
        <w:spacing w:after="80"/>
      </w:pPr>
      <w:r>
        <w:t xml:space="preserve"/>
      </w:r>
    </w:p>
    <w:p>
      <w:pPr>
        <w:spacing w:after="160"/>
      </w:pPr>
      <w:r>
        <w:t xml:space="preserve"/>
      </w:r>
    </w:p>
    <w:p>
      <w:pPr>
        <w:pStyle w:val="Heading1"/>
        <w:spacing w:after="140" w:before="280"/>
      </w:pPr>
      <w:r>
        <w:rPr>
          <w:b/>
          <w:bCs/>
          <w:color w:val="1A4E8A"/>
          <w:sz w:val="34"/>
          <w:szCs w:val="34"/>
        </w:rPr>
        <w:t xml:space="preserve">3. Incoherences Structurelles</w:t>
      </w:r>
    </w:p>
    <w:p>
      <w:pPr>
        <w:pStyle w:val="Heading2"/>
        <w:pBdr>
          <w:bottom w:val="single" w:color="1A4E8A" w:sz="4" w:space="4"/>
        </w:pBdr>
        <w:spacing w:after="100" w:before="200"/>
      </w:pPr>
      <w:r>
        <w:rPr>
          <w:b/>
          <w:bCs/>
          <w:color w:val="1A4E8A"/>
          <w:sz w:val="26"/>
          <w:szCs w:val="26"/>
        </w:rPr>
        <w:t xml:space="preserve">3.1  Colonnes CSV presentes mais jamais exploitees par le pipeline</w:t>
      </w:r>
    </w:p>
    <w:p>
      <w:pPr>
        <w:spacing w:after="100"/>
      </w:pPr>
      <w:r>
        <w:rPr>
          <w:sz w:val="20"/>
          <w:szCs w:val="20"/>
        </w:rPr>
        <w:t xml:space="preserve">Le fichier patient.csv contient 31 colonnes. 6 biomarqueurs importants sont dans les donnees mais completement ignores par tous les feature engineers :</w:t>
      </w:r>
    </w:p>
    <w:p>
      <w:pPr>
        <w:spacing w:after="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6040"/>
      </w:tblGrid>
      <w:tr>
        <w:tc>
          <w:tcPr>
            <w:tcW w:type="dxa" w:w="2600"/>
            <w:tcBorders>
              <w:top w:val="single" w:color="CCCCCC" w:sz="1"/>
              <w:left w:val="single" w:color="CCCCCC" w:sz="1"/>
              <w:bottom w:val="single" w:color="CCCCCC" w:sz="1"/>
              <w:right w:val="single" w:color="CCCCCC" w:sz="1"/>
            </w:tcBorders>
            <w:shd w:fill="1A4E8A" w:val="clear"/>
            <w:tcMar>
              <w:top w:type="dxa" w:w="70"/>
              <w:left w:type="dxa" w:w="100"/>
              <w:bottom w:type="dxa" w:w="70"/>
              <w:right w:type="dxa" w:w="100"/>
            </w:tcMar>
          </w:tcPr>
          <w:p>
            <w:pPr>
              <w:jc w:val="left"/>
            </w:pPr>
            <w:r>
              <w:rPr>
                <w:b/>
                <w:bCs/>
                <w:color w:val="FFFFFF"/>
                <w:sz w:val="18"/>
                <w:szCs w:val="18"/>
              </w:rPr>
              <w:t xml:space="preserve">Colonne CSV</w:t>
            </w:r>
          </w:p>
        </w:tc>
        <w:tc>
          <w:tcPr>
            <w:tcW w:type="dxa" w:w="1800"/>
            <w:tcBorders>
              <w:top w:val="single" w:color="CCCCCC" w:sz="1"/>
              <w:left w:val="single" w:color="CCCCCC" w:sz="1"/>
              <w:bottom w:val="single" w:color="CCCCCC" w:sz="1"/>
              <w:right w:val="single" w:color="CCCCCC" w:sz="1"/>
            </w:tcBorders>
            <w:shd w:fill="1A4E8A" w:val="clear"/>
            <w:tcMar>
              <w:top w:type="dxa" w:w="70"/>
              <w:left w:type="dxa" w:w="100"/>
              <w:bottom w:type="dxa" w:w="70"/>
              <w:right w:type="dxa" w:w="100"/>
            </w:tcMar>
          </w:tcPr>
          <w:p>
            <w:pPr>
              <w:jc w:val="left"/>
            </w:pPr>
            <w:r>
              <w:rPr>
                <w:b/>
                <w:bCs/>
                <w:color w:val="FFFFFF"/>
                <w:sz w:val="18"/>
                <w:szCs w:val="18"/>
              </w:rPr>
              <w:t xml:space="preserve">Type</w:t>
            </w:r>
          </w:p>
        </w:tc>
        <w:tc>
          <w:tcPr>
            <w:tcW w:type="dxa" w:w="6040"/>
            <w:tcBorders>
              <w:top w:val="single" w:color="CCCCCC" w:sz="1"/>
              <w:left w:val="single" w:color="CCCCCC" w:sz="1"/>
              <w:bottom w:val="single" w:color="CCCCCC" w:sz="1"/>
              <w:right w:val="single" w:color="CCCCCC" w:sz="1"/>
            </w:tcBorders>
            <w:shd w:fill="1A4E8A" w:val="clear"/>
            <w:tcMar>
              <w:top w:type="dxa" w:w="70"/>
              <w:left w:type="dxa" w:w="100"/>
              <w:bottom w:type="dxa" w:w="70"/>
              <w:right w:type="dxa" w:w="100"/>
            </w:tcMar>
          </w:tcPr>
          <w:p>
            <w:pPr>
              <w:jc w:val="left"/>
            </w:pPr>
            <w:r>
              <w:rPr>
                <w:b/>
                <w:bCs/>
                <w:color w:val="FFFFFF"/>
                <w:sz w:val="18"/>
                <w:szCs w:val="18"/>
              </w:rPr>
              <w:t xml:space="preserve">Pertinence clinique</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waist_to_hip_ratio</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Numerique</w:t>
            </w:r>
          </w:p>
        </w:tc>
        <w:tc>
          <w:tcPr>
            <w:tcW w:type="dxa" w:w="60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Indicateur visceral fort — WHR &gt; 0.9 (H) / 0.85 (F) = risque metabolique eleve</w:t>
            </w:r>
          </w:p>
        </w:tc>
      </w:tr>
      <w:t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b w:val="false"/>
                <w:bCs w:val="false"/>
                <w:color w:val="222222"/>
                <w:sz w:val="18"/>
                <w:szCs w:val="18"/>
              </w:rPr>
              <w:t xml:space="preserve">family_history_diabetes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b w:val="false"/>
                <w:bCs w:val="false"/>
                <w:color w:val="222222"/>
                <w:sz w:val="18"/>
                <w:szCs w:val="18"/>
              </w:rPr>
              <w:t xml:space="preserve">Binaire 0/1</w:t>
            </w:r>
          </w:p>
        </w:tc>
        <w:tc>
          <w:tcPr>
            <w:tcW w:type="dxa" w:w="60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b w:val="false"/>
                <w:bCs w:val="false"/>
                <w:color w:val="222222"/>
                <w:sz w:val="18"/>
                <w:szCs w:val="18"/>
              </w:rPr>
              <w:t xml:space="preserve">Facteur de risque genetique majeur — absent de tout feature engineer</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hypertension_history</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Binaire 0/1</w:t>
            </w:r>
          </w:p>
        </w:tc>
        <w:tc>
          <w:tcPr>
            <w:tcW w:type="dxa" w:w="60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Comorbidite critique pour le score metabolique et le risque diabete</w:t>
            </w:r>
          </w:p>
        </w:tc>
      </w:tr>
      <w:t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b w:val="false"/>
                <w:bCs w:val="false"/>
                <w:color w:val="222222"/>
                <w:sz w:val="18"/>
                <w:szCs w:val="18"/>
              </w:rPr>
              <w:t xml:space="preserve">cardiovascular_history</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b w:val="false"/>
                <w:bCs w:val="false"/>
                <w:color w:val="222222"/>
                <w:sz w:val="18"/>
                <w:szCs w:val="18"/>
              </w:rPr>
              <w:t xml:space="preserve">Binaire 0/1</w:t>
            </w:r>
          </w:p>
        </w:tc>
        <w:tc>
          <w:tcPr>
            <w:tcW w:type="dxa" w:w="60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b w:val="false"/>
                <w:bCs w:val="false"/>
                <w:color w:val="222222"/>
                <w:sz w:val="18"/>
                <w:szCs w:val="18"/>
              </w:rPr>
              <w:t xml:space="preserve">Comorbidite critique, tres correlee au risque diabete de type 2</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heart_rate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Numerique</w:t>
            </w:r>
          </w:p>
        </w:tc>
        <w:tc>
          <w:tcPr>
            <w:tcW w:type="dxa" w:w="60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Proxy de stress sympathique et resistance a l'insuline</w:t>
            </w:r>
          </w:p>
        </w:tc>
      </w:tr>
      <w:t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b w:val="false"/>
                <w:bCs w:val="false"/>
                <w:color w:val="222222"/>
                <w:sz w:val="18"/>
                <w:szCs w:val="18"/>
              </w:rPr>
              <w:t xml:space="preserve">ethnicity</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b w:val="false"/>
                <w:bCs w:val="false"/>
                <w:color w:val="222222"/>
                <w:sz w:val="18"/>
                <w:szCs w:val="18"/>
              </w:rPr>
              <w:t xml:space="preserve">Categoriel</w:t>
            </w:r>
          </w:p>
        </w:tc>
        <w:tc>
          <w:tcPr>
            <w:tcW w:type="dxa" w:w="604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b w:val="false"/>
                <w:bCs w:val="false"/>
                <w:color w:val="222222"/>
                <w:sz w:val="18"/>
                <w:szCs w:val="18"/>
              </w:rPr>
              <w:t xml:space="preserve">Facteur de risque reconnu pour le diabete T2 (ADA guidelines)</w:t>
            </w:r>
          </w:p>
        </w:tc>
      </w:tr>
    </w:tbl>
    <w:p>
      <w:pPr>
        <w:spacing w:after="160"/>
      </w:pPr>
      <w:r>
        <w:t xml:space="preserve"/>
      </w:r>
    </w:p>
    <w:p>
      <w:pPr>
        <w:pStyle w:val="Heading2"/>
        <w:pBdr>
          <w:bottom w:val="single" w:color="1A4E8A" w:sz="4" w:space="4"/>
        </w:pBdr>
        <w:spacing w:after="100" w:before="200"/>
      </w:pPr>
      <w:r>
        <w:rPr>
          <w:b/>
          <w:bCs/>
          <w:color w:val="1A4E8A"/>
          <w:sz w:val="26"/>
          <w:szCs w:val="26"/>
        </w:rPr>
        <w:t xml:space="preserve">3.2  Chevauchement entre MedicalFeatureEngineer et MetabolicFeatureEngineer</w:t>
      </w:r>
    </w:p>
    <w:p>
      <w:pPr>
        <w:spacing w:after="100"/>
      </w:pPr>
      <w:r>
        <w:rPr>
          <w:sz w:val="20"/>
          <w:szCs w:val="20"/>
        </w:rPr>
        <w:t xml:space="preserve">Les deux classes calculent des criteres quasi-identiques de l'ATP-III avec exactement les memes seuils, creant une redondance et un risque d'incoherence future :</w:t>
      </w:r>
    </w:p>
    <w:p>
      <w:pPr>
        <w:spacing w:after="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4120"/>
        <w:gridCol w:w="4120"/>
      </w:tblGrid>
      <w:tr>
        <w:tc>
          <w:tcPr>
            <w:tcW w:type="dxa" w:w="2200"/>
            <w:tcBorders>
              <w:top w:val="single" w:color="CCCCCC" w:sz="1"/>
              <w:left w:val="single" w:color="CCCCCC" w:sz="1"/>
              <w:bottom w:val="single" w:color="CCCCCC" w:sz="1"/>
              <w:right w:val="single" w:color="CCCCCC" w:sz="1"/>
            </w:tcBorders>
            <w:shd w:fill="1A4E8A" w:val="clear"/>
            <w:tcMar>
              <w:top w:type="dxa" w:w="70"/>
              <w:left w:type="dxa" w:w="100"/>
              <w:bottom w:type="dxa" w:w="70"/>
              <w:right w:type="dxa" w:w="100"/>
            </w:tcMar>
          </w:tcPr>
          <w:p>
            <w:pPr>
              <w:jc w:val="left"/>
            </w:pPr>
            <w:r>
              <w:rPr>
                <w:b/>
                <w:bCs/>
                <w:color w:val="FFFFFF"/>
                <w:sz w:val="18"/>
                <w:szCs w:val="18"/>
              </w:rPr>
              <w:t xml:space="preserve">Critere</w:t>
            </w:r>
          </w:p>
        </w:tc>
        <w:tc>
          <w:tcPr>
            <w:tcW w:type="dxa" w:w="4120"/>
            <w:tcBorders>
              <w:top w:val="single" w:color="CCCCCC" w:sz="1"/>
              <w:left w:val="single" w:color="CCCCCC" w:sz="1"/>
              <w:bottom w:val="single" w:color="CCCCCC" w:sz="1"/>
              <w:right w:val="single" w:color="CCCCCC" w:sz="1"/>
            </w:tcBorders>
            <w:shd w:fill="1A4E8A" w:val="clear"/>
            <w:tcMar>
              <w:top w:type="dxa" w:w="70"/>
              <w:left w:type="dxa" w:w="100"/>
              <w:bottom w:type="dxa" w:w="70"/>
              <w:right w:type="dxa" w:w="100"/>
            </w:tcMar>
          </w:tcPr>
          <w:p>
            <w:pPr>
              <w:jc w:val="left"/>
            </w:pPr>
            <w:r>
              <w:rPr>
                <w:b/>
                <w:bCs/>
                <w:color w:val="FFFFFF"/>
                <w:sz w:val="18"/>
                <w:szCs w:val="18"/>
              </w:rPr>
              <w:t xml:space="preserve">medical.py (metabolic_syndrome_flag)</w:t>
            </w:r>
          </w:p>
        </w:tc>
        <w:tc>
          <w:tcPr>
            <w:tcW w:type="dxa" w:w="4120"/>
            <w:tcBorders>
              <w:top w:val="single" w:color="CCCCCC" w:sz="1"/>
              <w:left w:val="single" w:color="CCCCCC" w:sz="1"/>
              <w:bottom w:val="single" w:color="CCCCCC" w:sz="1"/>
              <w:right w:val="single" w:color="CCCCCC" w:sz="1"/>
            </w:tcBorders>
            <w:shd w:fill="1A4E8A" w:val="clear"/>
            <w:tcMar>
              <w:top w:type="dxa" w:w="70"/>
              <w:left w:type="dxa" w:w="100"/>
              <w:bottom w:type="dxa" w:w="70"/>
              <w:right w:type="dxa" w:w="100"/>
            </w:tcMar>
          </w:tcPr>
          <w:p>
            <w:pPr>
              <w:jc w:val="left"/>
            </w:pPr>
            <w:r>
              <w:rPr>
                <w:b/>
                <w:bCs/>
                <w:color w:val="FFFFFF"/>
                <w:sz w:val="18"/>
                <w:szCs w:val="18"/>
              </w:rPr>
              <w:t xml:space="preserve">metabolic.py (cardiometabolic_burden)</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Obesite</w:t>
            </w:r>
          </w:p>
        </w:tc>
        <w:tc>
          <w:tcPr>
            <w:tcW w:type="dxa" w:w="41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bmi &gt;= 30</w:t>
            </w:r>
          </w:p>
        </w:tc>
        <w:tc>
          <w:tcPr>
            <w:tcW w:type="dxa" w:w="41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bmi &gt;= 30  [identique]</w:t>
            </w:r>
          </w:p>
        </w:tc>
      </w:tr>
      <w:t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b w:val="false"/>
                <w:bCs w:val="false"/>
                <w:color w:val="222222"/>
                <w:sz w:val="18"/>
                <w:szCs w:val="18"/>
              </w:rPr>
              <w:t xml:space="preserve">Hypertension</w:t>
            </w:r>
          </w:p>
        </w:tc>
        <w:tc>
          <w:tcPr>
            <w:tcW w:type="dxa" w:w="4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b w:val="false"/>
                <w:bCs w:val="false"/>
                <w:color w:val="222222"/>
                <w:sz w:val="18"/>
                <w:szCs w:val="18"/>
              </w:rPr>
              <w:t xml:space="preserve">systolic_bp &gt;= 130</w:t>
            </w:r>
          </w:p>
        </w:tc>
        <w:tc>
          <w:tcPr>
            <w:tcW w:type="dxa" w:w="4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b w:val="false"/>
                <w:bCs w:val="false"/>
                <w:color w:val="222222"/>
                <w:sz w:val="18"/>
                <w:szCs w:val="18"/>
              </w:rPr>
              <w:t xml:space="preserve">systolic_bp &gt;= 130  [identique]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Hyperglycemie</w:t>
            </w:r>
          </w:p>
        </w:tc>
        <w:tc>
          <w:tcPr>
            <w:tcW w:type="dxa" w:w="41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glucose_fasting &gt;= 110</w:t>
            </w:r>
          </w:p>
        </w:tc>
        <w:tc>
          <w:tcPr>
            <w:tcW w:type="dxa" w:w="41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glucose_fasting &gt;= 110  [identique]</w:t>
            </w:r>
          </w:p>
        </w:tc>
      </w:tr>
      <w:t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b w:val="false"/>
                <w:bCs w:val="false"/>
                <w:color w:val="222222"/>
                <w:sz w:val="18"/>
                <w:szCs w:val="18"/>
              </w:rPr>
              <w:t xml:space="preserve">Triglycerides</w:t>
            </w:r>
          </w:p>
        </w:tc>
        <w:tc>
          <w:tcPr>
            <w:tcW w:type="dxa" w:w="4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b w:val="false"/>
                <w:bCs w:val="false"/>
                <w:color w:val="222222"/>
                <w:sz w:val="18"/>
                <w:szCs w:val="18"/>
              </w:rPr>
              <w:t xml:space="preserve">triglycerides &gt;= 150</w:t>
            </w:r>
          </w:p>
        </w:tc>
        <w:tc>
          <w:tcPr>
            <w:tcW w:type="dxa" w:w="4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b w:val="false"/>
                <w:bCs w:val="false"/>
                <w:color w:val="222222"/>
                <w:sz w:val="18"/>
                <w:szCs w:val="18"/>
              </w:rPr>
              <w:t xml:space="preserve">triglycerides &gt;= 150  [identique]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HDL bas</w:t>
            </w:r>
          </w:p>
        </w:tc>
        <w:tc>
          <w:tcPr>
            <w:tcW w:type="dxa" w:w="41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hdl_cholesterol &lt; 40</w:t>
            </w:r>
          </w:p>
        </w:tc>
        <w:tc>
          <w:tcPr>
            <w:tcW w:type="dxa" w:w="41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hdl_cholesterol &lt; 40  [identique]</w:t>
            </w:r>
          </w:p>
        </w:tc>
      </w:tr>
      <w:t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b w:val="false"/>
                <w:bCs w:val="false"/>
                <w:color w:val="222222"/>
                <w:sz w:val="18"/>
                <w:szCs w:val="18"/>
              </w:rPr>
              <w:t xml:space="preserve">Resultat</w:t>
            </w:r>
          </w:p>
        </w:tc>
        <w:tc>
          <w:tcPr>
            <w:tcW w:type="dxa" w:w="4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b w:val="false"/>
                <w:bCs w:val="false"/>
                <w:color w:val="222222"/>
                <w:sz w:val="18"/>
                <w:szCs w:val="18"/>
              </w:rPr>
              <w:t xml:space="preserve">Flag binaire (&gt;= 3 criteres -&gt; 1)</w:t>
            </w:r>
          </w:p>
        </w:tc>
        <w:tc>
          <w:tcPr>
            <w:tcW w:type="dxa" w:w="4120"/>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b w:val="false"/>
                <w:bCs w:val="false"/>
                <w:color w:val="222222"/>
                <w:sz w:val="18"/>
                <w:szCs w:val="18"/>
              </w:rPr>
              <w:t xml:space="preserve">Score continu 0 a 5</w:t>
            </w:r>
          </w:p>
        </w:tc>
      </w:tr>
    </w:tbl>
    <w:p>
      <w:pPr>
        <w:spacing w:after="80"/>
      </w:pPr>
      <w:r>
        <w:t xml:space="preserve"/>
      </w:r>
    </w:p>
    <w:p>
      <w:pPr>
        <w:spacing w:after="100"/>
      </w:pPr>
      <w:r>
        <w:rPr>
          <w:sz w:val="20"/>
          <w:szCs w:val="20"/>
        </w:rPr>
        <w:t xml:space="preserve">Ces features sont fortement correlees et peuvent creer de la multicolinearite. Toute correction de seuil doit etre faite a deux endroits distincts.</w:t>
      </w:r>
    </w:p>
    <w:p>
      <w:pPr>
        <w:spacing w:after="160"/>
      </w:pPr>
      <w:r>
        <w:t xml:space="preserve"/>
      </w:r>
    </w:p>
    <w:p>
      <w:pPr>
        <w:pStyle w:val="Heading2"/>
        <w:pBdr>
          <w:bottom w:val="single" w:color="1A4E8A" w:sz="4" w:space="4"/>
        </w:pBdr>
        <w:spacing w:after="100" w:before="200"/>
      </w:pPr>
      <w:r>
        <w:rPr>
          <w:b/>
          <w:bCs/>
          <w:color w:val="1A4E8A"/>
          <w:sz w:val="26"/>
          <w:szCs w:val="26"/>
        </w:rPr>
        <w:t xml:space="preserve">3.3  smoking_status — incoherence entre tests unitaires et pipeline</w:t>
      </w:r>
    </w:p>
    <w:p>
      <w:pPr>
        <w:spacing w:after="100"/>
      </w:pPr>
      <w:r>
        <w:rPr>
          <w:sz w:val="20"/>
          <w:szCs w:val="20"/>
        </w:rPr>
        <w:t xml:space="preserve">Le pipeline nettoie 'Former' -&gt; 'Ex-Smoker' (Step 1) avant que LifestyleFeatureEngineer soit appele (Step 7). Le score verifie smoking_status == 'Never' : correct apres nettoyage. Mais les tests unitaires de LifestyleFeatureEngineer utilisent directement les donnees brutes avec 'Former' (conftest.py full_df). Un test post-nettoyage avec 'Ex-Smoker' est absent, laissant une partie du comportement du pipeline non testee.</w:t>
      </w:r>
    </w:p>
    <w:p>
      <w:pPr>
        <w:spacing w:after="160"/>
      </w:pPr>
      <w:r>
        <w:t xml:space="preserve"/>
      </w:r>
    </w:p>
    <w:p>
      <w:pPr>
        <w:pStyle w:val="Heading2"/>
        <w:pBdr>
          <w:bottom w:val="single" w:color="1A4E8A" w:sz="4" w:space="4"/>
        </w:pBdr>
        <w:spacing w:after="100" w:before="200"/>
      </w:pPr>
      <w:r>
        <w:rPr>
          <w:b/>
          <w:bCs/>
          <w:color w:val="1A4E8A"/>
          <w:sz w:val="26"/>
          <w:szCs w:val="26"/>
        </w:rPr>
        <w:t xml:space="preserve">3.4  test_dataset_splitter.py — assertions sur des comptes exacts fragiles</w:t>
      </w:r>
    </w:p>
    <w:p>
      <w:pPr>
        <w:spacing w:after="100"/>
      </w:pPr>
      <w:r>
        <w:rPr>
          <w:sz w:val="20"/>
          <w:szCs w:val="20"/>
        </w:rPr>
        <w:t xml:space="preserve">test_split_dataframe_with_patient_csv_if_available() verifie des distributions cibles tres precises : {'0': 32002, '1': 47998} pour le train. Si le CSV est modifie d'une seule ligne, le test echoue. Preferer une assertion sur le ratio : asserter que |ratio_reel - 0.8| &lt; 0.01 plutot que les comptes absolus.</w:t>
      </w:r>
    </w:p>
    <w:p>
      <w:pPr>
        <w:spacing w:after="160"/>
      </w:pPr>
      <w:r>
        <w:t xml:space="preserve"/>
      </w:r>
    </w:p>
    <w:p>
      <w:pPr>
        <w:pStyle w:val="Heading1"/>
        <w:spacing w:after="140" w:before="280"/>
      </w:pPr>
      <w:r>
        <w:rPr>
          <w:b/>
          <w:bCs/>
          <w:color w:val="1A4E8A"/>
          <w:sz w:val="34"/>
          <w:szCs w:val="34"/>
        </w:rPr>
        <w:t xml:space="preserve">4. Ameliorations Proposees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none" w:color="FFFFFF" w:sz="0"/>
              <w:left w:val="none" w:color="FFFFFF" w:sz="0"/>
              <w:bottom w:val="none" w:color="FFFFFF" w:sz="0"/>
              <w:right w:val="none" w:color="FFFFFF" w:sz="0"/>
            </w:tcBorders>
            <w:shd w:fill="1A7A4A" w:val="clear"/>
            <w:tcMar>
              <w:top w:type="dxa" w:w="80"/>
              <w:left w:type="dxa" w:w="80"/>
              <w:bottom w:type="dxa" w:w="80"/>
              <w:right w:type="dxa" w:w="80"/>
            </w:tcMar>
          </w:tcPr>
          <w:p>
            <w:pPr>
              <w:jc w:val="center"/>
            </w:pPr>
            <w:r>
              <w:rPr>
                <w:b/>
                <w:bCs/>
                <w:color w:val="FFFFFF"/>
                <w:sz w:val="34"/>
                <w:szCs w:val="34"/>
              </w:rPr>
              <w:t xml:space="preserve">A1</w:t>
            </w:r>
          </w:p>
          <w:p>
            <w:pPr>
              <w:spacing w:before="40"/>
              <w:jc w:val="center"/>
            </w:pPr>
            <w:r>
              <w:rPr>
                <w:b/>
                <w:bCs/>
                <w:color w:val="FFFFFF"/>
                <w:sz w:val="14"/>
                <w:szCs w:val="14"/>
              </w:rPr>
              <w:t xml:space="preserve">AMELIO.</w:t>
            </w:r>
          </w:p>
        </w:tc>
        <w:tc>
          <w:tcPr>
            <w:tcW w:type="dxa" w:w="7920"/>
            <w:tcBorders>
              <w:top w:val="none" w:color="FFFFFF" w:sz="0"/>
              <w:left w:val="none" w:color="FFFFFF" w:sz="0"/>
              <w:bottom w:val="none" w:color="FFFFFF" w:sz="0"/>
              <w:right w:val="none" w:color="FFFFFF" w:sz="0"/>
            </w:tcBorders>
            <w:shd w:fill="F0FFF4" w:val="clear"/>
            <w:tcMar>
              <w:top w:type="dxa" w:w="80"/>
              <w:left w:type="dxa" w:w="120"/>
              <w:bottom w:type="dxa" w:w="40"/>
              <w:right w:type="dxa" w:w="100"/>
            </w:tcMar>
          </w:tcPr>
          <w:p>
            <w:r>
              <w:rPr>
                <w:b/>
                <w:bCs/>
                <w:color w:val="111111"/>
                <w:sz w:val="22"/>
                <w:szCs w:val="22"/>
              </w:rPr>
              <w:t xml:space="preserve">Utiliser les constantes de constants.py dans tout le code</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0FFF4" w:val="clear"/>
            <w:tcMar>
              <w:top w:type="dxa" w:w="0"/>
              <w:left w:type="dxa" w:w="120"/>
              <w:bottom w:type="dxa" w:w="40"/>
              <w:right w:type="dxa" w:w="100"/>
            </w:tcMar>
          </w:tcPr>
          <w:p>
            <w:r>
              <w:rPr>
                <w:sz w:val="18"/>
                <w:szCs w:val="18"/>
              </w:rPr>
              <w:t xml:space="preserve">Remplacer tous les magic numbers (99, 125, 18.5, 25.0, 30.0, 150, 2.5...) par les constantes importees depuis utils/constants.py. Corriger en parallele BMI_NORMAL_MAX -&gt; 25.0 et BMI_OVERWEIGHT_MAX -&gt; 30.0 dans ce meme fichier. Cela resout aussi les bugs #3 et #4.</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E8F8F0" w:val="clear"/>
            <w:tcMar>
              <w:top w:type="dxa" w:w="0"/>
              <w:left w:type="dxa" w:w="120"/>
              <w:bottom w:type="dxa" w:w="80"/>
              <w:right w:type="dxa" w:w="100"/>
            </w:tcMar>
          </w:tcPr>
          <w:p>
            <w:r>
              <w:rPr>
                <w:b/>
                <w:bCs/>
                <w:color w:val="1A4E8A"/>
                <w:sz w:val="18"/>
                <w:szCs w:val="18"/>
              </w:rPr>
              <w:t xml:space="preserve">Impact : </w:t>
            </w:r>
            <w:r>
              <w:rPr>
                <w:sz w:val="18"/>
                <w:szCs w:val="18"/>
              </w:rPr>
              <w:t xml:space="preserve">Maintenabilite critique — un seul endroit a modifier pour mettre a jour un seuil clinique. Elimine le risque d'incoherence silencieuse entre modules.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none" w:color="FFFFFF" w:sz="0"/>
              <w:left w:val="none" w:color="FFFFFF" w:sz="0"/>
              <w:bottom w:val="none" w:color="FFFFFF" w:sz="0"/>
              <w:right w:val="none" w:color="FFFFFF" w:sz="0"/>
            </w:tcBorders>
            <w:shd w:fill="1A7A4A" w:val="clear"/>
            <w:tcMar>
              <w:top w:type="dxa" w:w="80"/>
              <w:left w:type="dxa" w:w="80"/>
              <w:bottom w:type="dxa" w:w="80"/>
              <w:right w:type="dxa" w:w="80"/>
            </w:tcMar>
          </w:tcPr>
          <w:p>
            <w:pPr>
              <w:jc w:val="center"/>
            </w:pPr>
            <w:r>
              <w:rPr>
                <w:b/>
                <w:bCs/>
                <w:color w:val="FFFFFF"/>
                <w:sz w:val="34"/>
                <w:szCs w:val="34"/>
              </w:rPr>
              <w:t xml:space="preserve">A2</w:t>
            </w:r>
          </w:p>
          <w:p>
            <w:pPr>
              <w:spacing w:before="40"/>
              <w:jc w:val="center"/>
            </w:pPr>
            <w:r>
              <w:rPr>
                <w:b/>
                <w:bCs/>
                <w:color w:val="FFFFFF"/>
                <w:sz w:val="14"/>
                <w:szCs w:val="14"/>
              </w:rPr>
              <w:t xml:space="preserve">AMELIO.</w:t>
            </w:r>
          </w:p>
        </w:tc>
        <w:tc>
          <w:tcPr>
            <w:tcW w:type="dxa" w:w="7920"/>
            <w:tcBorders>
              <w:top w:val="none" w:color="FFFFFF" w:sz="0"/>
              <w:left w:val="none" w:color="FFFFFF" w:sz="0"/>
              <w:bottom w:val="none" w:color="FFFFFF" w:sz="0"/>
              <w:right w:val="none" w:color="FFFFFF" w:sz="0"/>
            </w:tcBorders>
            <w:shd w:fill="F0FFF4" w:val="clear"/>
            <w:tcMar>
              <w:top w:type="dxa" w:w="80"/>
              <w:left w:type="dxa" w:w="120"/>
              <w:bottom w:type="dxa" w:w="40"/>
              <w:right w:type="dxa" w:w="100"/>
            </w:tcMar>
          </w:tcPr>
          <w:p>
            <w:r>
              <w:rPr>
                <w:b/>
                <w:bCs/>
                <w:color w:val="111111"/>
                <w:sz w:val="22"/>
                <w:szCs w:val="22"/>
              </w:rPr>
              <w:t xml:space="preserve">Creer features/risk_history.py avec les donnees ignorees du CSV</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0FFF4" w:val="clear"/>
            <w:tcMar>
              <w:top w:type="dxa" w:w="0"/>
              <w:left w:type="dxa" w:w="120"/>
              <w:bottom w:type="dxa" w:w="40"/>
              <w:right w:type="dxa" w:w="100"/>
            </w:tcMar>
          </w:tcPr>
          <w:p>
            <w:r>
              <w:rPr>
                <w:sz w:val="18"/>
                <w:szCs w:val="18"/>
              </w:rPr>
              <w:t xml:space="preserve">Nouveau module RiskHistoryFeatureEngineer exploitant : waist_to_hip_ratio (whr_flag &gt;= 0.9 homme / 0.85 femme), family_history_diabetes (flag direct), hypertension_history + cardiovascular_history (comorbidity_count = somme), heart_rate (zones bradycardie/normal/tachycardie). Integrer dans FeatureEngineeringPipeline en Step 8.</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E8F8F0" w:val="clear"/>
            <w:tcMar>
              <w:top w:type="dxa" w:w="0"/>
              <w:left w:type="dxa" w:w="120"/>
              <w:bottom w:type="dxa" w:w="80"/>
              <w:right w:type="dxa" w:w="100"/>
            </w:tcMar>
          </w:tcPr>
          <w:p>
            <w:r>
              <w:rPr>
                <w:b/>
                <w:bCs/>
                <w:color w:val="1A4E8A"/>
                <w:sz w:val="18"/>
                <w:szCs w:val="18"/>
              </w:rPr>
              <w:t xml:space="preserve">Impact : </w:t>
            </w:r>
            <w:r>
              <w:rPr>
                <w:sz w:val="18"/>
                <w:szCs w:val="18"/>
              </w:rPr>
              <w:t xml:space="preserve">Signal predictif majeur ajoute au modele. family_history_diabetes seul peut expliquer 30-40% de la variance du risque dans les etudes epidemiologiques. WHR est superieur au BMI seul pour predire la resistance a l'insuline.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none" w:color="FFFFFF" w:sz="0"/>
              <w:left w:val="none" w:color="FFFFFF" w:sz="0"/>
              <w:bottom w:val="none" w:color="FFFFFF" w:sz="0"/>
              <w:right w:val="none" w:color="FFFFFF" w:sz="0"/>
            </w:tcBorders>
            <w:shd w:fill="1A7A4A" w:val="clear"/>
            <w:tcMar>
              <w:top w:type="dxa" w:w="80"/>
              <w:left w:type="dxa" w:w="80"/>
              <w:bottom w:type="dxa" w:w="80"/>
              <w:right w:type="dxa" w:w="80"/>
            </w:tcMar>
          </w:tcPr>
          <w:p>
            <w:pPr>
              <w:jc w:val="center"/>
            </w:pPr>
            <w:r>
              <w:rPr>
                <w:b/>
                <w:bCs/>
                <w:color w:val="FFFFFF"/>
                <w:sz w:val="34"/>
                <w:szCs w:val="34"/>
              </w:rPr>
              <w:t xml:space="preserve">A3</w:t>
            </w:r>
          </w:p>
          <w:p>
            <w:pPr>
              <w:spacing w:before="40"/>
              <w:jc w:val="center"/>
            </w:pPr>
            <w:r>
              <w:rPr>
                <w:b/>
                <w:bCs/>
                <w:color w:val="FFFFFF"/>
                <w:sz w:val="14"/>
                <w:szCs w:val="14"/>
              </w:rPr>
              <w:t xml:space="preserve">AMELIO.</w:t>
            </w:r>
          </w:p>
        </w:tc>
        <w:tc>
          <w:tcPr>
            <w:tcW w:type="dxa" w:w="7920"/>
            <w:tcBorders>
              <w:top w:val="none" w:color="FFFFFF" w:sz="0"/>
              <w:left w:val="none" w:color="FFFFFF" w:sz="0"/>
              <w:bottom w:val="none" w:color="FFFFFF" w:sz="0"/>
              <w:right w:val="none" w:color="FFFFFF" w:sz="0"/>
            </w:tcBorders>
            <w:shd w:fill="F0FFF4" w:val="clear"/>
            <w:tcMar>
              <w:top w:type="dxa" w:w="80"/>
              <w:left w:type="dxa" w:w="120"/>
              <w:bottom w:type="dxa" w:w="40"/>
              <w:right w:type="dxa" w:w="100"/>
            </w:tcMar>
          </w:tcPr>
          <w:p>
            <w:r>
              <w:rPr>
                <w:b/>
                <w:bCs/>
                <w:color w:val="111111"/>
                <w:sz w:val="22"/>
                <w:szCs w:val="22"/>
              </w:rPr>
              <w:t xml:space="preserve">Corriger et cacher les loggers Loguru par nom</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0FFF4" w:val="clear"/>
            <w:tcMar>
              <w:top w:type="dxa" w:w="0"/>
              <w:left w:type="dxa" w:w="120"/>
              <w:bottom w:type="dxa" w:w="40"/>
              <w:right w:type="dxa" w:w="100"/>
            </w:tcMar>
          </w:tcPr>
          <w:p>
            <w:r>
              <w:rPr>
                <w:sz w:val="18"/>
                <w:szCs w:val="18"/>
              </w:rPr>
              <w:t xml:space="preserve">Executer logger.remove() et logger.add() une seule fois a l'import du module. get_logger(name) se contente de return logger.bind(logger_name=name). Ajouter _LOGGER_CACHE: dict[str, Any] = {} pour retourner le meme bound logger si le nom a deja ete utilise.</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E8F8F0" w:val="clear"/>
            <w:tcMar>
              <w:top w:type="dxa" w:w="0"/>
              <w:left w:type="dxa" w:w="120"/>
              <w:bottom w:type="dxa" w:w="80"/>
              <w:right w:type="dxa" w:w="100"/>
            </w:tcMar>
          </w:tcPr>
          <w:p>
            <w:r>
              <w:rPr>
                <w:b/>
                <w:bCs/>
                <w:color w:val="1A4E8A"/>
                <w:sz w:val="18"/>
                <w:szCs w:val="18"/>
              </w:rPr>
              <w:t xml:space="preserve">Impact : </w:t>
            </w:r>
            <w:r>
              <w:rPr>
                <w:sz w:val="18"/>
                <w:szCs w:val="18"/>
              </w:rPr>
              <w:t xml:space="preserve">Stabilite en environnement multi-thread Databricks. Supprime les effets de bord globaux entre les 6 composants du pipeline qui appellent tous get_logger() dans __init__.</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none" w:color="FFFFFF" w:sz="0"/>
              <w:left w:val="none" w:color="FFFFFF" w:sz="0"/>
              <w:bottom w:val="none" w:color="FFFFFF" w:sz="0"/>
              <w:right w:val="none" w:color="FFFFFF" w:sz="0"/>
            </w:tcBorders>
            <w:shd w:fill="1A7A4A" w:val="clear"/>
            <w:tcMar>
              <w:top w:type="dxa" w:w="80"/>
              <w:left w:type="dxa" w:w="80"/>
              <w:bottom w:type="dxa" w:w="80"/>
              <w:right w:type="dxa" w:w="80"/>
            </w:tcMar>
          </w:tcPr>
          <w:p>
            <w:pPr>
              <w:jc w:val="center"/>
            </w:pPr>
            <w:r>
              <w:rPr>
                <w:b/>
                <w:bCs/>
                <w:color w:val="FFFFFF"/>
                <w:sz w:val="34"/>
                <w:szCs w:val="34"/>
              </w:rPr>
              <w:t xml:space="preserve">A4</w:t>
            </w:r>
          </w:p>
          <w:p>
            <w:pPr>
              <w:spacing w:before="40"/>
              <w:jc w:val="center"/>
            </w:pPr>
            <w:r>
              <w:rPr>
                <w:b/>
                <w:bCs/>
                <w:color w:val="FFFFFF"/>
                <w:sz w:val="14"/>
                <w:szCs w:val="14"/>
              </w:rPr>
              <w:t xml:space="preserve">AMELIO.</w:t>
            </w:r>
          </w:p>
        </w:tc>
        <w:tc>
          <w:tcPr>
            <w:tcW w:type="dxa" w:w="7920"/>
            <w:tcBorders>
              <w:top w:val="none" w:color="FFFFFF" w:sz="0"/>
              <w:left w:val="none" w:color="FFFFFF" w:sz="0"/>
              <w:bottom w:val="none" w:color="FFFFFF" w:sz="0"/>
              <w:right w:val="none" w:color="FFFFFF" w:sz="0"/>
            </w:tcBorders>
            <w:shd w:fill="F0FFF4" w:val="clear"/>
            <w:tcMar>
              <w:top w:type="dxa" w:w="80"/>
              <w:left w:type="dxa" w:w="120"/>
              <w:bottom w:type="dxa" w:w="40"/>
              <w:right w:type="dxa" w:w="100"/>
            </w:tcMar>
          </w:tcPr>
          <w:p>
            <w:r>
              <w:rPr>
                <w:b/>
                <w:bCs/>
                <w:color w:val="111111"/>
                <w:sz w:val="22"/>
                <w:szCs w:val="22"/>
              </w:rPr>
              <w:t xml:space="preserve">Enrichir DataSchemaValidator avec validation de types et plages</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0FFF4" w:val="clear"/>
            <w:tcMar>
              <w:top w:type="dxa" w:w="0"/>
              <w:left w:type="dxa" w:w="120"/>
              <w:bottom w:type="dxa" w:w="40"/>
              <w:right w:type="dxa" w:w="100"/>
            </w:tcMar>
          </w:tcPr>
          <w:p>
            <w:r>
              <w:rPr>
                <w:sz w:val="18"/>
                <w:szCs w:val="18"/>
              </w:rPr>
              <w:t xml:space="preserve">Au-dela de la presence des colonnes, valider : les types (glucose_fasting doit etre numerique), les plages physiologiques (bmi entre 10 et 80, glucose_fasting entre 50 et 600, age entre 0 et 120), la cardinalite (smoking_status dans {Never, Former, Current, Ex-Smoker}). Logger des warnings pour les valeurs aberrantes sans bloquer le pipeline.</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E8F8F0" w:val="clear"/>
            <w:tcMar>
              <w:top w:type="dxa" w:w="0"/>
              <w:left w:type="dxa" w:w="120"/>
              <w:bottom w:type="dxa" w:w="80"/>
              <w:right w:type="dxa" w:w="100"/>
            </w:tcMar>
          </w:tcPr>
          <w:p>
            <w:r>
              <w:rPr>
                <w:b/>
                <w:bCs/>
                <w:color w:val="1A4E8A"/>
                <w:sz w:val="18"/>
                <w:szCs w:val="18"/>
              </w:rPr>
              <w:t xml:space="preserve">Impact : </w:t>
            </w:r>
            <w:r>
              <w:rPr>
                <w:sz w:val="18"/>
                <w:szCs w:val="18"/>
              </w:rPr>
              <w:t xml:space="preserve">Detection precoce de donnees corrompues ou mal formatees. Reduit les NaN silencieux dans les features calculees. Ameliore l'experience developpeur avec des erreurs explicites.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none" w:color="FFFFFF" w:sz="0"/>
              <w:left w:val="none" w:color="FFFFFF" w:sz="0"/>
              <w:bottom w:val="none" w:color="FFFFFF" w:sz="0"/>
              <w:right w:val="none" w:color="FFFFFF" w:sz="0"/>
            </w:tcBorders>
            <w:shd w:fill="1A7A4A" w:val="clear"/>
            <w:tcMar>
              <w:top w:type="dxa" w:w="80"/>
              <w:left w:type="dxa" w:w="80"/>
              <w:bottom w:type="dxa" w:w="80"/>
              <w:right w:type="dxa" w:w="80"/>
            </w:tcMar>
          </w:tcPr>
          <w:p>
            <w:pPr>
              <w:jc w:val="center"/>
            </w:pPr>
            <w:r>
              <w:rPr>
                <w:b/>
                <w:bCs/>
                <w:color w:val="FFFFFF"/>
                <w:sz w:val="34"/>
                <w:szCs w:val="34"/>
              </w:rPr>
              <w:t xml:space="preserve">A5</w:t>
            </w:r>
          </w:p>
          <w:p>
            <w:pPr>
              <w:spacing w:before="40"/>
              <w:jc w:val="center"/>
            </w:pPr>
            <w:r>
              <w:rPr>
                <w:b/>
                <w:bCs/>
                <w:color w:val="FFFFFF"/>
                <w:sz w:val="14"/>
                <w:szCs w:val="14"/>
              </w:rPr>
              <w:t xml:space="preserve">AMELIO.</w:t>
            </w:r>
          </w:p>
        </w:tc>
        <w:tc>
          <w:tcPr>
            <w:tcW w:type="dxa" w:w="7920"/>
            <w:tcBorders>
              <w:top w:val="none" w:color="FFFFFF" w:sz="0"/>
              <w:left w:val="none" w:color="FFFFFF" w:sz="0"/>
              <w:bottom w:val="none" w:color="FFFFFF" w:sz="0"/>
              <w:right w:val="none" w:color="FFFFFF" w:sz="0"/>
            </w:tcBorders>
            <w:shd w:fill="F0FFF4" w:val="clear"/>
            <w:tcMar>
              <w:top w:type="dxa" w:w="80"/>
              <w:left w:type="dxa" w:w="120"/>
              <w:bottom w:type="dxa" w:w="40"/>
              <w:right w:type="dxa" w:w="100"/>
            </w:tcMar>
          </w:tcPr>
          <w:p>
            <w:r>
              <w:rPr>
                <w:b/>
                <w:bCs/>
                <w:color w:val="111111"/>
                <w:sz w:val="22"/>
                <w:szCs w:val="22"/>
              </w:rPr>
              <w:t xml:space="preserve">Activer diagnosed_diabetes dans LEAKAGE_COLUMNS</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0FFF4" w:val="clear"/>
            <w:tcMar>
              <w:top w:type="dxa" w:w="0"/>
              <w:left w:type="dxa" w:w="120"/>
              <w:bottom w:type="dxa" w:w="40"/>
              <w:right w:type="dxa" w:w="100"/>
            </w:tcMar>
          </w:tcPr>
          <w:p>
            <w:r>
              <w:rPr>
                <w:sz w:val="18"/>
                <w:szCs w:val="18"/>
              </w:rPr>
              <w:t xml:space="preserve">La colonne diagnosed_diabetes (la cible dans patient.csv) est actuellement commentee dans leakage.py. Cette protection devrait etre active car le pipeline peut recevoir un DataFrame complet avec la target encore presente, notamment dans les workflows notebooks ou l'utilisateur passe df_complet sans avoir retire la target.</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E8F8F0" w:val="clear"/>
            <w:tcMar>
              <w:top w:type="dxa" w:w="0"/>
              <w:left w:type="dxa" w:w="120"/>
              <w:bottom w:type="dxa" w:w="80"/>
              <w:right w:type="dxa" w:w="100"/>
            </w:tcMar>
          </w:tcPr>
          <w:p>
            <w:r>
              <w:rPr>
                <w:b/>
                <w:bCs/>
                <w:color w:val="1A4E8A"/>
                <w:sz w:val="18"/>
                <w:szCs w:val="18"/>
              </w:rPr>
              <w:t xml:space="preserve">Impact : </w:t>
            </w:r>
            <w:r>
              <w:rPr>
                <w:sz w:val="18"/>
                <w:szCs w:val="18"/>
              </w:rPr>
              <w:t xml:space="preserve">Securite pipeline — evite le leakage silencieux. Le comentaire 'target jamais dans X' est incorrect en pratique : le pipeline ne peut pas savoir si l'appelant a deja retire la target ou non.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none" w:color="FFFFFF" w:sz="0"/>
              <w:left w:val="none" w:color="FFFFFF" w:sz="0"/>
              <w:bottom w:val="none" w:color="FFFFFF" w:sz="0"/>
              <w:right w:val="none" w:color="FFFFFF" w:sz="0"/>
            </w:tcBorders>
            <w:shd w:fill="1A7A4A" w:val="clear"/>
            <w:tcMar>
              <w:top w:type="dxa" w:w="80"/>
              <w:left w:type="dxa" w:w="80"/>
              <w:bottom w:type="dxa" w:w="80"/>
              <w:right w:type="dxa" w:w="80"/>
            </w:tcMar>
          </w:tcPr>
          <w:p>
            <w:pPr>
              <w:jc w:val="center"/>
            </w:pPr>
            <w:r>
              <w:rPr>
                <w:b/>
                <w:bCs/>
                <w:color w:val="FFFFFF"/>
                <w:sz w:val="34"/>
                <w:szCs w:val="34"/>
              </w:rPr>
              <w:t xml:space="preserve">A6</w:t>
            </w:r>
          </w:p>
          <w:p>
            <w:pPr>
              <w:spacing w:before="40"/>
              <w:jc w:val="center"/>
            </w:pPr>
            <w:r>
              <w:rPr>
                <w:b/>
                <w:bCs/>
                <w:color w:val="FFFFFF"/>
                <w:sz w:val="14"/>
                <w:szCs w:val="14"/>
              </w:rPr>
              <w:t xml:space="preserve">AMELIO.</w:t>
            </w:r>
          </w:p>
        </w:tc>
        <w:tc>
          <w:tcPr>
            <w:tcW w:type="dxa" w:w="7920"/>
            <w:tcBorders>
              <w:top w:val="none" w:color="FFFFFF" w:sz="0"/>
              <w:left w:val="none" w:color="FFFFFF" w:sz="0"/>
              <w:bottom w:val="none" w:color="FFFFFF" w:sz="0"/>
              <w:right w:val="none" w:color="FFFFFF" w:sz="0"/>
            </w:tcBorders>
            <w:shd w:fill="F0FFF4" w:val="clear"/>
            <w:tcMar>
              <w:top w:type="dxa" w:w="80"/>
              <w:left w:type="dxa" w:w="120"/>
              <w:bottom w:type="dxa" w:w="40"/>
              <w:right w:type="dxa" w:w="100"/>
            </w:tcMar>
          </w:tcPr>
          <w:p>
            <w:r>
              <w:rPr>
                <w:b/>
                <w:bCs/>
                <w:color w:val="111111"/>
                <w:sz w:val="22"/>
                <w:szCs w:val="22"/>
              </w:rPr>
              <w:t xml:space="preserve">Dedupliquer la logique ATP-III entre medical.py et metabolic.py</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0FFF4" w:val="clear"/>
            <w:tcMar>
              <w:top w:type="dxa" w:w="0"/>
              <w:left w:type="dxa" w:w="120"/>
              <w:bottom w:type="dxa" w:w="40"/>
              <w:right w:type="dxa" w:w="100"/>
            </w:tcMar>
          </w:tcPr>
          <w:p>
            <w:r>
              <w:rPr>
                <w:sz w:val="18"/>
                <w:szCs w:val="18"/>
              </w:rPr>
              <w:t xml:space="preserve">Option A : Extraire un helper partage _compute_atp_iii_criteria(df) -&gt; pd.DataFrame dans utils/ utilise par les deux modules. Option B : Fusionner MedicalFeatureEngineer et MetabolicFeatureEngineer en un seul MedicalMetabolicEngineer. Option C : Garder metabolic_syndrome_flag (binaire) dans medical.py et transformer cardiometabolic_burden en score pondere (differents poids par critere selon la litterature).</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E8F8F0" w:val="clear"/>
            <w:tcMar>
              <w:top w:type="dxa" w:w="0"/>
              <w:left w:type="dxa" w:w="120"/>
              <w:bottom w:type="dxa" w:w="80"/>
              <w:right w:type="dxa" w:w="100"/>
            </w:tcMar>
          </w:tcPr>
          <w:p>
            <w:r>
              <w:rPr>
                <w:b/>
                <w:bCs/>
                <w:color w:val="1A4E8A"/>
                <w:sz w:val="18"/>
                <w:szCs w:val="18"/>
              </w:rPr>
              <w:t xml:space="preserve">Impact : </w:t>
            </w:r>
            <w:r>
              <w:rPr>
                <w:sz w:val="18"/>
                <w:szCs w:val="18"/>
              </w:rPr>
              <w:t xml:space="preserve">Reduction de la multicolinearite dans les modeles ML. Code plus maintenable : un seul endroit pour corriger un seuil ATP-III. Moins de risque d'incoherence entre les deux implementations.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none" w:color="FFFFFF" w:sz="0"/>
              <w:left w:val="none" w:color="FFFFFF" w:sz="0"/>
              <w:bottom w:val="none" w:color="FFFFFF" w:sz="0"/>
              <w:right w:val="none" w:color="FFFFFF" w:sz="0"/>
            </w:tcBorders>
            <w:shd w:fill="1A7A4A" w:val="clear"/>
            <w:tcMar>
              <w:top w:type="dxa" w:w="80"/>
              <w:left w:type="dxa" w:w="80"/>
              <w:bottom w:type="dxa" w:w="80"/>
              <w:right w:type="dxa" w:w="80"/>
            </w:tcMar>
          </w:tcPr>
          <w:p>
            <w:pPr>
              <w:jc w:val="center"/>
            </w:pPr>
            <w:r>
              <w:rPr>
                <w:b/>
                <w:bCs/>
                <w:color w:val="FFFFFF"/>
                <w:sz w:val="34"/>
                <w:szCs w:val="34"/>
              </w:rPr>
              <w:t xml:space="preserve">A7</w:t>
            </w:r>
          </w:p>
          <w:p>
            <w:pPr>
              <w:spacing w:before="40"/>
              <w:jc w:val="center"/>
            </w:pPr>
            <w:r>
              <w:rPr>
                <w:b/>
                <w:bCs/>
                <w:color w:val="FFFFFF"/>
                <w:sz w:val="14"/>
                <w:szCs w:val="14"/>
              </w:rPr>
              <w:t xml:space="preserve">AMELIO.</w:t>
            </w:r>
          </w:p>
        </w:tc>
        <w:tc>
          <w:tcPr>
            <w:tcW w:type="dxa" w:w="7920"/>
            <w:tcBorders>
              <w:top w:val="none" w:color="FFFFFF" w:sz="0"/>
              <w:left w:val="none" w:color="FFFFFF" w:sz="0"/>
              <w:bottom w:val="none" w:color="FFFFFF" w:sz="0"/>
              <w:right w:val="none" w:color="FFFFFF" w:sz="0"/>
            </w:tcBorders>
            <w:shd w:fill="F0FFF4" w:val="clear"/>
            <w:tcMar>
              <w:top w:type="dxa" w:w="80"/>
              <w:left w:type="dxa" w:w="120"/>
              <w:bottom w:type="dxa" w:w="40"/>
              <w:right w:type="dxa" w:w="100"/>
            </w:tcMar>
          </w:tcPr>
          <w:p>
            <w:r>
              <w:rPr>
                <w:b/>
                <w:bCs/>
                <w:color w:val="111111"/>
                <w:sz w:val="22"/>
                <w:szCs w:val="22"/>
              </w:rPr>
              <w:t xml:space="preserve">Corriger pyproject.toml — extras et dependances</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0FFF4" w:val="clear"/>
            <w:tcMar>
              <w:top w:type="dxa" w:w="0"/>
              <w:left w:type="dxa" w:w="120"/>
              <w:bottom w:type="dxa" w:w="40"/>
              <w:right w:type="dxa" w:w="100"/>
            </w:tcMar>
          </w:tcPr>
          <w:p>
            <w:r>
              <w:rPr>
                <w:sz w:val="18"/>
                <w:szCs w:val="18"/>
              </w:rPr>
              <w:t xml:space="preserve">Ajouter scikit-learn a l'extra mlflow : mlflow = ['mlflow', 'scikit-learn']. Creer un extra standalone sklearn = ['scikit-learn'] pour les utilisateurs ne voulant pas mlflow. Documenter clairement dans le README que pip install medrisk-features[boosting] est requis pour l'entrainement complet.</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E8F8F0" w:val="clear"/>
            <w:tcMar>
              <w:top w:type="dxa" w:w="0"/>
              <w:left w:type="dxa" w:w="120"/>
              <w:bottom w:type="dxa" w:w="80"/>
              <w:right w:type="dxa" w:w="100"/>
            </w:tcMar>
          </w:tcPr>
          <w:p>
            <w:r>
              <w:rPr>
                <w:b/>
                <w:bCs/>
                <w:color w:val="1A4E8A"/>
                <w:sz w:val="18"/>
                <w:szCs w:val="18"/>
              </w:rPr>
              <w:t xml:space="preserve">Impact : </w:t>
            </w:r>
            <w:r>
              <w:rPr>
                <w:sz w:val="18"/>
                <w:szCs w:val="18"/>
              </w:rPr>
              <w:t xml:space="preserve">Supprime les ImportError a l'execution pour les utilisateurs de l'extra mlflow seul. Coherence des extras. Meilleure experience d'installation.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none" w:color="FFFFFF" w:sz="0"/>
              <w:left w:val="none" w:color="FFFFFF" w:sz="0"/>
              <w:bottom w:val="none" w:color="FFFFFF" w:sz="0"/>
              <w:right w:val="none" w:color="FFFFFF" w:sz="0"/>
            </w:tcBorders>
            <w:shd w:fill="1A7A4A" w:val="clear"/>
            <w:tcMar>
              <w:top w:type="dxa" w:w="80"/>
              <w:left w:type="dxa" w:w="80"/>
              <w:bottom w:type="dxa" w:w="80"/>
              <w:right w:type="dxa" w:w="80"/>
            </w:tcMar>
          </w:tcPr>
          <w:p>
            <w:pPr>
              <w:jc w:val="center"/>
            </w:pPr>
            <w:r>
              <w:rPr>
                <w:b/>
                <w:bCs/>
                <w:color w:val="FFFFFF"/>
                <w:sz w:val="34"/>
                <w:szCs w:val="34"/>
              </w:rPr>
              <w:t xml:space="preserve">A8</w:t>
            </w:r>
          </w:p>
          <w:p>
            <w:pPr>
              <w:spacing w:before="40"/>
              <w:jc w:val="center"/>
            </w:pPr>
            <w:r>
              <w:rPr>
                <w:b/>
                <w:bCs/>
                <w:color w:val="FFFFFF"/>
                <w:sz w:val="14"/>
                <w:szCs w:val="14"/>
              </w:rPr>
              <w:t xml:space="preserve">AMELIO.</w:t>
            </w:r>
          </w:p>
        </w:tc>
        <w:tc>
          <w:tcPr>
            <w:tcW w:type="dxa" w:w="7920"/>
            <w:tcBorders>
              <w:top w:val="none" w:color="FFFFFF" w:sz="0"/>
              <w:left w:val="none" w:color="FFFFFF" w:sz="0"/>
              <w:bottom w:val="none" w:color="FFFFFF" w:sz="0"/>
              <w:right w:val="none" w:color="FFFFFF" w:sz="0"/>
            </w:tcBorders>
            <w:shd w:fill="F0FFF4" w:val="clear"/>
            <w:tcMar>
              <w:top w:type="dxa" w:w="80"/>
              <w:left w:type="dxa" w:w="120"/>
              <w:bottom w:type="dxa" w:w="40"/>
              <w:right w:type="dxa" w:w="100"/>
            </w:tcMar>
          </w:tcPr>
          <w:p>
            <w:r>
              <w:rPr>
                <w:b/>
                <w:bCs/>
                <w:color w:val="111111"/>
                <w:sz w:val="22"/>
                <w:szCs w:val="22"/>
              </w:rPr>
              <w:t xml:space="preserve">Moderniser la CI — Python 3.12, branches correctes, cache Poetry</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F0FFF4" w:val="clear"/>
            <w:tcMar>
              <w:top w:type="dxa" w:w="0"/>
              <w:left w:type="dxa" w:w="120"/>
              <w:bottom w:type="dxa" w:w="40"/>
              <w:right w:type="dxa" w:w="100"/>
            </w:tcMar>
          </w:tcPr>
          <w:p>
            <w:r>
              <w:rPr>
                <w:sz w:val="18"/>
                <w:szCs w:val="18"/>
              </w:rPr>
              <w:t xml:space="preserve">Dans .github/workflows/ci.yml : (1) Retirer master des branches declencheurs. (2) Ajouter '3.12' a la matrice de test. (3) Ajouter actions/cache pour les dependances Poetry (cle = hash du poetry.lock). (4) Ajouter un job build testant que la wheel se construit et s'installe correctement. (5) Ajouter un job security avec pip-audit.</w:t>
            </w:r>
          </w:p>
        </w:tc>
      </w:tr>
      <w:tr>
        <w:tc>
          <w:tcPr>
            <w:vMerge w:val="continue"/>
            <w:tcBorders>
              <w:top w:val="none" w:color="FFFFFF" w:sz="0"/>
              <w:left w:val="none" w:color="FFFFFF" w:sz="0"/>
              <w:bottom w:val="none" w:color="FFFFFF" w:sz="0"/>
              <w:right w:val="none" w:color="FFFFFF" w:sz="0"/>
            </w:tcBorders>
          </w:tcPr>
          <w:p/>
        </w:tc>
        <w:tc>
          <w:tcPr>
            <w:tcW w:type="dxa" w:w="7920"/>
            <w:tcBorders>
              <w:top w:val="none" w:color="FFFFFF" w:sz="0"/>
              <w:left w:val="none" w:color="FFFFFF" w:sz="0"/>
              <w:bottom w:val="none" w:color="FFFFFF" w:sz="0"/>
              <w:right w:val="none" w:color="FFFFFF" w:sz="0"/>
            </w:tcBorders>
            <w:shd w:fill="E8F8F0" w:val="clear"/>
            <w:tcMar>
              <w:top w:type="dxa" w:w="0"/>
              <w:left w:type="dxa" w:w="120"/>
              <w:bottom w:type="dxa" w:w="80"/>
              <w:right w:type="dxa" w:w="100"/>
            </w:tcMar>
          </w:tcPr>
          <w:p>
            <w:r>
              <w:rPr>
                <w:b/>
                <w:bCs/>
                <w:color w:val="1A4E8A"/>
                <w:sz w:val="18"/>
                <w:szCs w:val="18"/>
              </w:rPr>
              <w:t xml:space="preserve">Impact : </w:t>
            </w:r>
            <w:r>
              <w:rPr>
                <w:sz w:val="18"/>
                <w:szCs w:val="18"/>
              </w:rPr>
              <w:t xml:space="preserve">Tests sur la version reelle de developpement (3.12). CI 40-60% plus rapide grace au cache Poetry. Detection automatique des vulnerabilites de dependances.</w:t>
            </w:r>
          </w:p>
        </w:tc>
      </w:tr>
    </w:tbl>
    <w:p>
      <w:pPr>
        <w:spacing w:after="80"/>
      </w:pPr>
      <w:r>
        <w:t xml:space="preserve"/>
      </w:r>
    </w:p>
    <w:p>
      <w:pPr>
        <w:spacing w:after="160"/>
      </w:pPr>
      <w:r>
        <w:t xml:space="preserve"/>
      </w:r>
    </w:p>
    <w:p>
      <w:pPr>
        <w:pStyle w:val="Heading1"/>
        <w:spacing w:after="140" w:before="280"/>
      </w:pPr>
      <w:r>
        <w:rPr>
          <w:b/>
          <w:bCs/>
          <w:color w:val="1A4E8A"/>
          <w:sz w:val="34"/>
          <w:szCs w:val="34"/>
        </w:rPr>
        <w:t xml:space="preserve">5. Synthese et Priorisation</w:t>
      </w:r>
    </w:p>
    <w:p>
      <w:pPr>
        <w:spacing w:after="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2200"/>
        <w:gridCol w:w="1800"/>
        <w:gridCol w:w="1800"/>
        <w:gridCol w:w="1140"/>
      </w:tblGrid>
      <w:tr>
        <w:tc>
          <w:tcPr>
            <w:tcW w:type="dxa" w:w="600"/>
            <w:tcBorders>
              <w:top w:val="single" w:color="CCCCCC" w:sz="1"/>
              <w:left w:val="single" w:color="CCCCCC" w:sz="1"/>
              <w:bottom w:val="single" w:color="CCCCCC" w:sz="1"/>
              <w:right w:val="single" w:color="CCCCCC" w:sz="1"/>
            </w:tcBorders>
            <w:shd w:fill="1A4E8A" w:val="clear"/>
            <w:tcMar>
              <w:top w:type="dxa" w:w="70"/>
              <w:left w:type="dxa" w:w="100"/>
              <w:bottom w:type="dxa" w:w="70"/>
              <w:right w:type="dxa" w:w="100"/>
            </w:tcMar>
          </w:tcPr>
          <w:p>
            <w:pPr>
              <w:jc w:val="left"/>
            </w:pPr>
            <w:r>
              <w:rPr>
                <w:b/>
                <w:bCs/>
                <w:color w:val="FFFFFF"/>
                <w:sz w:val="18"/>
                <w:szCs w:val="18"/>
              </w:rPr>
              <w:t xml:space="preserve">#</w:t>
            </w:r>
          </w:p>
        </w:tc>
        <w:tc>
          <w:tcPr>
            <w:tcW w:type="dxa" w:w="2900"/>
            <w:tcBorders>
              <w:top w:val="single" w:color="CCCCCC" w:sz="1"/>
              <w:left w:val="single" w:color="CCCCCC" w:sz="1"/>
              <w:bottom w:val="single" w:color="CCCCCC" w:sz="1"/>
              <w:right w:val="single" w:color="CCCCCC" w:sz="1"/>
            </w:tcBorders>
            <w:shd w:fill="1A4E8A" w:val="clear"/>
            <w:tcMar>
              <w:top w:type="dxa" w:w="70"/>
              <w:left w:type="dxa" w:w="100"/>
              <w:bottom w:type="dxa" w:w="70"/>
              <w:right w:type="dxa" w:w="100"/>
            </w:tcMar>
          </w:tcPr>
          <w:p>
            <w:pPr>
              <w:jc w:val="left"/>
            </w:pPr>
            <w:r>
              <w:rPr>
                <w:b/>
                <w:bCs/>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1A4E8A" w:val="clear"/>
            <w:tcMar>
              <w:top w:type="dxa" w:w="70"/>
              <w:left w:type="dxa" w:w="100"/>
              <w:bottom w:type="dxa" w:w="70"/>
              <w:right w:type="dxa" w:w="100"/>
            </w:tcMar>
          </w:tcPr>
          <w:p>
            <w:pPr>
              <w:jc w:val="left"/>
            </w:pPr>
            <w:r>
              <w:rPr>
                <w:b/>
                <w:bCs/>
                <w:color w:val="FFFFFF"/>
                <w:sz w:val="18"/>
                <w:szCs w:val="18"/>
              </w:rPr>
              <w:t xml:space="preserve">Impact</w:t>
            </w:r>
          </w:p>
        </w:tc>
        <w:tc>
          <w:tcPr>
            <w:tcW w:type="dxa" w:w="1800"/>
            <w:tcBorders>
              <w:top w:val="single" w:color="CCCCCC" w:sz="1"/>
              <w:left w:val="single" w:color="CCCCCC" w:sz="1"/>
              <w:bottom w:val="single" w:color="CCCCCC" w:sz="1"/>
              <w:right w:val="single" w:color="CCCCCC" w:sz="1"/>
            </w:tcBorders>
            <w:shd w:fill="1A4E8A" w:val="clear"/>
            <w:tcMar>
              <w:top w:type="dxa" w:w="70"/>
              <w:left w:type="dxa" w:w="100"/>
              <w:bottom w:type="dxa" w:w="70"/>
              <w:right w:type="dxa" w:w="100"/>
            </w:tcMar>
          </w:tcPr>
          <w:p>
            <w:pPr>
              <w:jc w:val="left"/>
            </w:pPr>
            <w:r>
              <w:rPr>
                <w:b/>
                <w:bCs/>
                <w:color w:val="FFFFFF"/>
                <w:sz w:val="18"/>
                <w:szCs w:val="18"/>
              </w:rPr>
              <w:t xml:space="preserve">Effort</w:t>
            </w:r>
          </w:p>
        </w:tc>
        <w:tc>
          <w:tcPr>
            <w:tcW w:type="dxa" w:w="1800"/>
            <w:tcBorders>
              <w:top w:val="single" w:color="CCCCCC" w:sz="1"/>
              <w:left w:val="single" w:color="CCCCCC" w:sz="1"/>
              <w:bottom w:val="single" w:color="CCCCCC" w:sz="1"/>
              <w:right w:val="single" w:color="CCCCCC" w:sz="1"/>
            </w:tcBorders>
            <w:shd w:fill="1A4E8A" w:val="clear"/>
            <w:tcMar>
              <w:top w:type="dxa" w:w="70"/>
              <w:left w:type="dxa" w:w="100"/>
              <w:bottom w:type="dxa" w:w="70"/>
              <w:right w:type="dxa" w:w="100"/>
            </w:tcMar>
          </w:tcPr>
          <w:p>
            <w:pPr>
              <w:jc w:val="left"/>
            </w:pPr>
            <w:r>
              <w:rPr>
                <w:b/>
                <w:bCs/>
                <w:color w:val="FFFFFF"/>
                <w:sz w:val="18"/>
                <w:szCs w:val="18"/>
              </w:rPr>
              <w:t xml:space="preserve">Sprint</w:t>
            </w:r>
          </w:p>
        </w:tc>
        <w:tc>
          <w:tcPr>
            <w:tcW w:type="dxa" w:w="1140"/>
            <w:tcBorders>
              <w:top w:val="single" w:color="CCCCCC" w:sz="1"/>
              <w:left w:val="single" w:color="CCCCCC" w:sz="1"/>
              <w:bottom w:val="single" w:color="CCCCCC" w:sz="1"/>
              <w:right w:val="single" w:color="CCCCCC" w:sz="1"/>
            </w:tcBorders>
            <w:shd w:fill="1A4E8A" w:val="clear"/>
            <w:tcMar>
              <w:top w:type="dxa" w:w="70"/>
              <w:left w:type="dxa" w:w="100"/>
              <w:bottom w:type="dxa" w:w="70"/>
              <w:right w:type="dxa" w:w="100"/>
            </w:tcMar>
          </w:tcPr>
          <w:p>
            <w:pPr>
              <w:jc w:val="left"/>
            </w:pPr>
            <w:r>
              <w:rPr>
                <w:b/>
                <w:bCs/>
                <w:color w:val="FFFFFF"/>
                <w:sz w:val="18"/>
                <w:szCs w:val="18"/>
              </w:rPr>
              <w:t xml:space="preserve">Ref</w:t>
            </w:r>
          </w:p>
        </w:tc>
      </w:tr>
      <w:tr>
        <w:tc>
          <w:tcPr>
            <w:tcW w:type="dxa" w:w="600"/>
            <w:tcBorders>
              <w:top w:val="single" w:color="CCCCCC" w:sz="1"/>
              <w:left w:val="single" w:color="CCCCCC" w:sz="1"/>
              <w:bottom w:val="single" w:color="CCCCCC" w:sz="1"/>
              <w:right w:val="single" w:color="CCCCCC" w:sz="1"/>
            </w:tcBorders>
            <w:shd w:fill="FFE5E5" w:val="clear"/>
            <w:tcMar>
              <w:top w:type="dxa" w:w="70"/>
              <w:left w:type="dxa" w:w="100"/>
              <w:bottom w:type="dxa" w:w="70"/>
              <w:right w:type="dxa" w:w="100"/>
            </w:tcMar>
          </w:tcPr>
          <w:p>
            <w:pPr>
              <w:jc w:val="left"/>
            </w:pPr>
            <w:r>
              <w:rPr>
                <w:b w:val="false"/>
                <w:bCs w:val="false"/>
                <w:color w:val="222222"/>
                <w:sz w:val="18"/>
                <w:szCs w:val="18"/>
              </w:rPr>
              <w:t xml:space="preserve">B1</w:t>
            </w:r>
          </w:p>
        </w:tc>
        <w:tc>
          <w:tcPr>
            <w:tcW w:type="dxa" w:w="2900"/>
            <w:tcBorders>
              <w:top w:val="single" w:color="CCCCCC" w:sz="1"/>
              <w:left w:val="single" w:color="CCCCCC" w:sz="1"/>
              <w:bottom w:val="single" w:color="CCCCCC" w:sz="1"/>
              <w:right w:val="single" w:color="CCCCCC" w:sz="1"/>
            </w:tcBorders>
            <w:shd w:fill="FFE5E5" w:val="clear"/>
            <w:tcMar>
              <w:top w:type="dxa" w:w="70"/>
              <w:left w:type="dxa" w:w="100"/>
              <w:bottom w:type="dxa" w:w="70"/>
              <w:right w:type="dxa" w:w="100"/>
            </w:tcMar>
          </w:tcPr>
          <w:p>
            <w:pPr>
              <w:jc w:val="left"/>
            </w:pPr>
            <w:r>
              <w:rPr>
                <w:b w:val="false"/>
                <w:bCs w:val="false"/>
                <w:color w:val="222222"/>
                <w:sz w:val="18"/>
                <w:szCs w:val="18"/>
              </w:rPr>
              <w:t xml:space="preserve">task_type dans load()</w:t>
            </w:r>
          </w:p>
        </w:tc>
        <w:tc>
          <w:tcPr>
            <w:tcW w:type="dxa" w:w="2200"/>
            <w:tcBorders>
              <w:top w:val="single" w:color="CCCCCC" w:sz="1"/>
              <w:left w:val="single" w:color="CCCCCC" w:sz="1"/>
              <w:bottom w:val="single" w:color="CCCCCC" w:sz="1"/>
              <w:right w:val="single" w:color="CCCCCC" w:sz="1"/>
            </w:tcBorders>
            <w:shd w:fill="FFE5E5" w:val="clear"/>
            <w:tcMar>
              <w:top w:type="dxa" w:w="70"/>
              <w:left w:type="dxa" w:w="100"/>
              <w:bottom w:type="dxa" w:w="70"/>
              <w:right w:type="dxa" w:w="100"/>
            </w:tcMar>
          </w:tcPr>
          <w:p>
            <w:pPr>
              <w:jc w:val="left"/>
            </w:pPr>
            <w:r>
              <w:rPr>
                <w:b w:val="false"/>
                <w:bCs w:val="false"/>
                <w:color w:val="222222"/>
                <w:sz w:val="18"/>
                <w:szCs w:val="18"/>
              </w:rPr>
              <w:t xml:space="preserve">CRITIQUE — crash garanti</w:t>
            </w:r>
          </w:p>
        </w:tc>
        <w:tc>
          <w:tcPr>
            <w:tcW w:type="dxa" w:w="1800"/>
            <w:tcBorders>
              <w:top w:val="single" w:color="CCCCCC" w:sz="1"/>
              <w:left w:val="single" w:color="CCCCCC" w:sz="1"/>
              <w:bottom w:val="single" w:color="CCCCCC" w:sz="1"/>
              <w:right w:val="single" w:color="CCCCCC" w:sz="1"/>
            </w:tcBorders>
            <w:shd w:fill="FFE5E5" w:val="clear"/>
            <w:tcMar>
              <w:top w:type="dxa" w:w="70"/>
              <w:left w:type="dxa" w:w="100"/>
              <w:bottom w:type="dxa" w:w="70"/>
              <w:right w:type="dxa" w:w="100"/>
            </w:tcMar>
          </w:tcPr>
          <w:p>
            <w:pPr>
              <w:jc w:val="left"/>
            </w:pPr>
            <w:r>
              <w:rPr>
                <w:b w:val="false"/>
                <w:bCs w:val="false"/>
                <w:color w:val="222222"/>
                <w:sz w:val="18"/>
                <w:szCs w:val="18"/>
              </w:rPr>
              <w:t xml:space="preserve">Tres faible</w:t>
            </w:r>
          </w:p>
        </w:tc>
        <w:tc>
          <w:tcPr>
            <w:tcW w:type="dxa" w:w="1800"/>
            <w:tcBorders>
              <w:top w:val="single" w:color="CCCCCC" w:sz="1"/>
              <w:left w:val="single" w:color="CCCCCC" w:sz="1"/>
              <w:bottom w:val="single" w:color="CCCCCC" w:sz="1"/>
              <w:right w:val="single" w:color="CCCCCC" w:sz="1"/>
            </w:tcBorders>
            <w:shd w:fill="FFE5E5" w:val="clear"/>
            <w:tcMar>
              <w:top w:type="dxa" w:w="70"/>
              <w:left w:type="dxa" w:w="100"/>
              <w:bottom w:type="dxa" w:w="70"/>
              <w:right w:type="dxa" w:w="100"/>
            </w:tcMar>
          </w:tcPr>
          <w:p>
            <w:pPr>
              <w:jc w:val="left"/>
            </w:pPr>
            <w:r>
              <w:rPr>
                <w:b w:val="false"/>
                <w:bCs w:val="false"/>
                <w:color w:val="222222"/>
                <w:sz w:val="18"/>
                <w:szCs w:val="18"/>
              </w:rPr>
              <w:t xml:space="preserve">Immediat</w:t>
            </w:r>
          </w:p>
        </w:tc>
        <w:tc>
          <w:tcPr>
            <w:tcW w:type="dxa" w:w="1140"/>
            <w:tcBorders>
              <w:top w:val="single" w:color="CCCCCC" w:sz="1"/>
              <w:left w:val="single" w:color="CCCCCC" w:sz="1"/>
              <w:bottom w:val="single" w:color="CCCCCC" w:sz="1"/>
              <w:right w:val="single" w:color="CCCCCC" w:sz="1"/>
            </w:tcBorders>
            <w:shd w:fill="FFE5E5" w:val="clear"/>
            <w:tcMar>
              <w:top w:type="dxa" w:w="70"/>
              <w:left w:type="dxa" w:w="100"/>
              <w:bottom w:type="dxa" w:w="70"/>
              <w:right w:type="dxa" w:w="100"/>
            </w:tcMar>
          </w:tcPr>
          <w:p>
            <w:pPr>
              <w:jc w:val="left"/>
            </w:pPr>
            <w:r>
              <w:rPr>
                <w:b w:val="false"/>
                <w:bCs w:val="false"/>
                <w:color w:val="222222"/>
                <w:sz w:val="18"/>
                <w:szCs w:val="18"/>
              </w:rPr>
              <w:t xml:space="preserve">Bug #1</w:t>
            </w:r>
          </w:p>
        </w:tc>
      </w:tr>
      <w:tr>
        <w:tc>
          <w:tcPr>
            <w:tcW w:type="dxa" w:w="600"/>
            <w:tcBorders>
              <w:top w:val="single" w:color="CCCCCC" w:sz="1"/>
              <w:left w:val="single" w:color="CCCCCC" w:sz="1"/>
              <w:bottom w:val="single" w:color="CCCCCC" w:sz="1"/>
              <w:right w:val="single" w:color="CCCCCC" w:sz="1"/>
            </w:tcBorders>
            <w:shd w:fill="FFE5E5" w:val="clear"/>
            <w:tcMar>
              <w:top w:type="dxa" w:w="70"/>
              <w:left w:type="dxa" w:w="100"/>
              <w:bottom w:type="dxa" w:w="70"/>
              <w:right w:type="dxa" w:w="100"/>
            </w:tcMar>
          </w:tcPr>
          <w:p>
            <w:pPr>
              <w:jc w:val="left"/>
            </w:pPr>
            <w:r>
              <w:rPr>
                <w:b w:val="false"/>
                <w:bCs w:val="false"/>
                <w:color w:val="222222"/>
                <w:sz w:val="18"/>
                <w:szCs w:val="18"/>
              </w:rPr>
              <w:t xml:space="preserve">B2</w:t>
            </w:r>
          </w:p>
        </w:tc>
        <w:tc>
          <w:tcPr>
            <w:tcW w:type="dxa" w:w="2900"/>
            <w:tcBorders>
              <w:top w:val="single" w:color="CCCCCC" w:sz="1"/>
              <w:left w:val="single" w:color="CCCCCC" w:sz="1"/>
              <w:bottom w:val="single" w:color="CCCCCC" w:sz="1"/>
              <w:right w:val="single" w:color="CCCCCC" w:sz="1"/>
            </w:tcBorders>
            <w:shd w:fill="FFE5E5" w:val="clear"/>
            <w:tcMar>
              <w:top w:type="dxa" w:w="70"/>
              <w:left w:type="dxa" w:w="100"/>
              <w:bottom w:type="dxa" w:w="70"/>
              <w:right w:type="dxa" w:w="100"/>
            </w:tcMar>
          </w:tcPr>
          <w:p>
            <w:pPr>
              <w:jc w:val="left"/>
            </w:pPr>
            <w:r>
              <w:rPr>
                <w:b w:val="false"/>
                <w:bCs w:val="false"/>
                <w:color w:val="222222"/>
                <w:sz w:val="18"/>
                <w:szCs w:val="18"/>
              </w:rPr>
              <w:t xml:space="preserve">LightGBMModel.load() fix</w:t>
            </w:r>
          </w:p>
        </w:tc>
        <w:tc>
          <w:tcPr>
            <w:tcW w:type="dxa" w:w="2200"/>
            <w:tcBorders>
              <w:top w:val="single" w:color="CCCCCC" w:sz="1"/>
              <w:left w:val="single" w:color="CCCCCC" w:sz="1"/>
              <w:bottom w:val="single" w:color="CCCCCC" w:sz="1"/>
              <w:right w:val="single" w:color="CCCCCC" w:sz="1"/>
            </w:tcBorders>
            <w:shd w:fill="FFE5E5" w:val="clear"/>
            <w:tcMar>
              <w:top w:type="dxa" w:w="70"/>
              <w:left w:type="dxa" w:w="100"/>
              <w:bottom w:type="dxa" w:w="70"/>
              <w:right w:type="dxa" w:w="100"/>
            </w:tcMar>
          </w:tcPr>
          <w:p>
            <w:pPr>
              <w:jc w:val="left"/>
            </w:pPr>
            <w:r>
              <w:rPr>
                <w:b w:val="false"/>
                <w:bCs w:val="false"/>
                <w:color w:val="222222"/>
                <w:sz w:val="18"/>
                <w:szCs w:val="18"/>
              </w:rPr>
              <w:t xml:space="preserve">CRITIQUE — crash garanti</w:t>
            </w:r>
          </w:p>
        </w:tc>
        <w:tc>
          <w:tcPr>
            <w:tcW w:type="dxa" w:w="1800"/>
            <w:tcBorders>
              <w:top w:val="single" w:color="CCCCCC" w:sz="1"/>
              <w:left w:val="single" w:color="CCCCCC" w:sz="1"/>
              <w:bottom w:val="single" w:color="CCCCCC" w:sz="1"/>
              <w:right w:val="single" w:color="CCCCCC" w:sz="1"/>
            </w:tcBorders>
            <w:shd w:fill="FFE5E5" w:val="clear"/>
            <w:tcMar>
              <w:top w:type="dxa" w:w="70"/>
              <w:left w:type="dxa" w:w="100"/>
              <w:bottom w:type="dxa" w:w="70"/>
              <w:right w:type="dxa" w:w="100"/>
            </w:tcMar>
          </w:tcPr>
          <w:p>
            <w:pPr>
              <w:jc w:val="left"/>
            </w:pPr>
            <w:r>
              <w:rPr>
                <w:b w:val="false"/>
                <w:bCs w:val="false"/>
                <w:color w:val="222222"/>
                <w:sz w:val="18"/>
                <w:szCs w:val="18"/>
              </w:rPr>
              <w:t xml:space="preserve">Faible</w:t>
            </w:r>
          </w:p>
        </w:tc>
        <w:tc>
          <w:tcPr>
            <w:tcW w:type="dxa" w:w="1800"/>
            <w:tcBorders>
              <w:top w:val="single" w:color="CCCCCC" w:sz="1"/>
              <w:left w:val="single" w:color="CCCCCC" w:sz="1"/>
              <w:bottom w:val="single" w:color="CCCCCC" w:sz="1"/>
              <w:right w:val="single" w:color="CCCCCC" w:sz="1"/>
            </w:tcBorders>
            <w:shd w:fill="FFE5E5" w:val="clear"/>
            <w:tcMar>
              <w:top w:type="dxa" w:w="70"/>
              <w:left w:type="dxa" w:w="100"/>
              <w:bottom w:type="dxa" w:w="70"/>
              <w:right w:type="dxa" w:w="100"/>
            </w:tcMar>
          </w:tcPr>
          <w:p>
            <w:pPr>
              <w:jc w:val="left"/>
            </w:pPr>
            <w:r>
              <w:rPr>
                <w:b w:val="false"/>
                <w:bCs w:val="false"/>
                <w:color w:val="222222"/>
                <w:sz w:val="18"/>
                <w:szCs w:val="18"/>
              </w:rPr>
              <w:t xml:space="preserve">Immediat</w:t>
            </w:r>
          </w:p>
        </w:tc>
        <w:tc>
          <w:tcPr>
            <w:tcW w:type="dxa" w:w="1140"/>
            <w:tcBorders>
              <w:top w:val="single" w:color="CCCCCC" w:sz="1"/>
              <w:left w:val="single" w:color="CCCCCC" w:sz="1"/>
              <w:bottom w:val="single" w:color="CCCCCC" w:sz="1"/>
              <w:right w:val="single" w:color="CCCCCC" w:sz="1"/>
            </w:tcBorders>
            <w:shd w:fill="FFE5E5" w:val="clear"/>
            <w:tcMar>
              <w:top w:type="dxa" w:w="70"/>
              <w:left w:type="dxa" w:w="100"/>
              <w:bottom w:type="dxa" w:w="70"/>
              <w:right w:type="dxa" w:w="100"/>
            </w:tcMar>
          </w:tcPr>
          <w:p>
            <w:pPr>
              <w:jc w:val="left"/>
            </w:pPr>
            <w:r>
              <w:rPr>
                <w:b w:val="false"/>
                <w:bCs w:val="false"/>
                <w:color w:val="222222"/>
                <w:sz w:val="18"/>
                <w:szCs w:val="18"/>
              </w:rPr>
              <w:t xml:space="preserve">Bug #2</w:t>
            </w:r>
          </w:p>
        </w:tc>
      </w:tr>
      <w:tr>
        <w:tc>
          <w:tcPr>
            <w:tcW w:type="dxa" w:w="600"/>
            <w:tcBorders>
              <w:top w:val="single" w:color="CCCCCC" w:sz="1"/>
              <w:left w:val="single" w:color="CCCCCC" w:sz="1"/>
              <w:bottom w:val="single" w:color="CCCCCC" w:sz="1"/>
              <w:right w:val="single" w:color="CCCCCC" w:sz="1"/>
            </w:tcBorders>
            <w:shd w:fill="FFE5E5" w:val="clear"/>
            <w:tcMar>
              <w:top w:type="dxa" w:w="70"/>
              <w:left w:type="dxa" w:w="100"/>
              <w:bottom w:type="dxa" w:w="70"/>
              <w:right w:type="dxa" w:w="100"/>
            </w:tcMar>
          </w:tcPr>
          <w:p>
            <w:pPr>
              <w:jc w:val="left"/>
            </w:pPr>
            <w:r>
              <w:rPr>
                <w:b w:val="false"/>
                <w:bCs w:val="false"/>
                <w:color w:val="222222"/>
                <w:sz w:val="18"/>
                <w:szCs w:val="18"/>
              </w:rPr>
              <w:t xml:space="preserve">B3</w:t>
            </w:r>
          </w:p>
        </w:tc>
        <w:tc>
          <w:tcPr>
            <w:tcW w:type="dxa" w:w="2900"/>
            <w:tcBorders>
              <w:top w:val="single" w:color="CCCCCC" w:sz="1"/>
              <w:left w:val="single" w:color="CCCCCC" w:sz="1"/>
              <w:bottom w:val="single" w:color="CCCCCC" w:sz="1"/>
              <w:right w:val="single" w:color="CCCCCC" w:sz="1"/>
            </w:tcBorders>
            <w:shd w:fill="FFE5E5" w:val="clear"/>
            <w:tcMar>
              <w:top w:type="dxa" w:w="70"/>
              <w:left w:type="dxa" w:w="100"/>
              <w:bottom w:type="dxa" w:w="70"/>
              <w:right w:type="dxa" w:w="100"/>
            </w:tcMar>
          </w:tcPr>
          <w:p>
            <w:pPr>
              <w:jc w:val="left"/>
            </w:pPr>
            <w:r>
              <w:rPr>
                <w:b w:val="false"/>
                <w:bCs w:val="false"/>
                <w:color w:val="222222"/>
                <w:sz w:val="18"/>
                <w:szCs w:val="18"/>
              </w:rPr>
              <w:t xml:space="preserve">Utiliser constants.py</w:t>
            </w:r>
          </w:p>
        </w:tc>
        <w:tc>
          <w:tcPr>
            <w:tcW w:type="dxa" w:w="2200"/>
            <w:tcBorders>
              <w:top w:val="single" w:color="CCCCCC" w:sz="1"/>
              <w:left w:val="single" w:color="CCCCCC" w:sz="1"/>
              <w:bottom w:val="single" w:color="CCCCCC" w:sz="1"/>
              <w:right w:val="single" w:color="CCCCCC" w:sz="1"/>
            </w:tcBorders>
            <w:shd w:fill="FFE5E5" w:val="clear"/>
            <w:tcMar>
              <w:top w:type="dxa" w:w="70"/>
              <w:left w:type="dxa" w:w="100"/>
              <w:bottom w:type="dxa" w:w="70"/>
              <w:right w:type="dxa" w:w="100"/>
            </w:tcMar>
          </w:tcPr>
          <w:p>
            <w:pPr>
              <w:jc w:val="left"/>
            </w:pPr>
            <w:r>
              <w:rPr>
                <w:b w:val="false"/>
                <w:bCs w:val="false"/>
                <w:color w:val="222222"/>
                <w:sz w:val="18"/>
                <w:szCs w:val="18"/>
              </w:rPr>
              <w:t xml:space="preserve">CRITIQUE — incoherence</w:t>
            </w:r>
          </w:p>
        </w:tc>
        <w:tc>
          <w:tcPr>
            <w:tcW w:type="dxa" w:w="1800"/>
            <w:tcBorders>
              <w:top w:val="single" w:color="CCCCCC" w:sz="1"/>
              <w:left w:val="single" w:color="CCCCCC" w:sz="1"/>
              <w:bottom w:val="single" w:color="CCCCCC" w:sz="1"/>
              <w:right w:val="single" w:color="CCCCCC" w:sz="1"/>
            </w:tcBorders>
            <w:shd w:fill="FFE5E5" w:val="clear"/>
            <w:tcMar>
              <w:top w:type="dxa" w:w="70"/>
              <w:left w:type="dxa" w:w="100"/>
              <w:bottom w:type="dxa" w:w="70"/>
              <w:right w:type="dxa" w:w="100"/>
            </w:tcMar>
          </w:tcPr>
          <w:p>
            <w:pPr>
              <w:jc w:val="left"/>
            </w:pPr>
            <w:r>
              <w:rPr>
                <w:b w:val="false"/>
                <w:bCs w:val="false"/>
                <w:color w:val="222222"/>
                <w:sz w:val="18"/>
                <w:szCs w:val="18"/>
              </w:rPr>
              <w:t xml:space="preserve">Moyen</w:t>
            </w:r>
          </w:p>
        </w:tc>
        <w:tc>
          <w:tcPr>
            <w:tcW w:type="dxa" w:w="1800"/>
            <w:tcBorders>
              <w:top w:val="single" w:color="CCCCCC" w:sz="1"/>
              <w:left w:val="single" w:color="CCCCCC" w:sz="1"/>
              <w:bottom w:val="single" w:color="CCCCCC" w:sz="1"/>
              <w:right w:val="single" w:color="CCCCCC" w:sz="1"/>
            </w:tcBorders>
            <w:shd w:fill="FFE5E5" w:val="clear"/>
            <w:tcMar>
              <w:top w:type="dxa" w:w="70"/>
              <w:left w:type="dxa" w:w="100"/>
              <w:bottom w:type="dxa" w:w="70"/>
              <w:right w:type="dxa" w:w="100"/>
            </w:tcMar>
          </w:tcPr>
          <w:p>
            <w:pPr>
              <w:jc w:val="left"/>
            </w:pPr>
            <w:r>
              <w:rPr>
                <w:b w:val="false"/>
                <w:bCs w:val="false"/>
                <w:color w:val="222222"/>
                <w:sz w:val="18"/>
                <w:szCs w:val="18"/>
              </w:rPr>
              <w:t xml:space="preserve">Immediat</w:t>
            </w:r>
          </w:p>
        </w:tc>
        <w:tc>
          <w:tcPr>
            <w:tcW w:type="dxa" w:w="1140"/>
            <w:tcBorders>
              <w:top w:val="single" w:color="CCCCCC" w:sz="1"/>
              <w:left w:val="single" w:color="CCCCCC" w:sz="1"/>
              <w:bottom w:val="single" w:color="CCCCCC" w:sz="1"/>
              <w:right w:val="single" w:color="CCCCCC" w:sz="1"/>
            </w:tcBorders>
            <w:shd w:fill="FFE5E5" w:val="clear"/>
            <w:tcMar>
              <w:top w:type="dxa" w:w="70"/>
              <w:left w:type="dxa" w:w="100"/>
              <w:bottom w:type="dxa" w:w="70"/>
              <w:right w:type="dxa" w:w="100"/>
            </w:tcMar>
          </w:tcPr>
          <w:p>
            <w:pPr>
              <w:jc w:val="left"/>
            </w:pPr>
            <w:r>
              <w:rPr>
                <w:b w:val="false"/>
                <w:bCs w:val="false"/>
                <w:color w:val="222222"/>
                <w:sz w:val="18"/>
                <w:szCs w:val="18"/>
              </w:rPr>
              <w:t xml:space="preserve">Bug #3</w:t>
            </w:r>
          </w:p>
        </w:tc>
      </w:tr>
      <w:tr>
        <w:tc>
          <w:tcPr>
            <w:tcW w:type="dxa" w:w="6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pPr>
              <w:jc w:val="left"/>
            </w:pPr>
            <w:r>
              <w:rPr>
                <w:b w:val="false"/>
                <w:bCs w:val="false"/>
                <w:color w:val="222222"/>
                <w:sz w:val="18"/>
                <w:szCs w:val="18"/>
              </w:rPr>
              <w:t xml:space="preserve">B4</w:t>
            </w:r>
          </w:p>
        </w:tc>
        <w:tc>
          <w:tcPr>
            <w:tcW w:type="dxa" w:w="29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pPr>
              <w:jc w:val="left"/>
            </w:pPr>
            <w:r>
              <w:rPr>
                <w:b w:val="false"/>
                <w:bCs w:val="false"/>
                <w:color w:val="222222"/>
                <w:sz w:val="18"/>
                <w:szCs w:val="18"/>
              </w:rPr>
              <w:t xml:space="preserve">Bornes BMI 25.0/30.0</w:t>
            </w:r>
          </w:p>
        </w:tc>
        <w:tc>
          <w:tcPr>
            <w:tcW w:type="dxa" w:w="22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pPr>
              <w:jc w:val="left"/>
            </w:pPr>
            <w:r>
              <w:rPr>
                <w:b w:val="false"/>
                <w:bCs w:val="false"/>
                <w:color w:val="222222"/>
                <w:sz w:val="18"/>
                <w:szCs w:val="18"/>
              </w:rPr>
              <w:t xml:space="preserve">MOYEN — classification</w:t>
            </w:r>
          </w:p>
        </w:tc>
        <w:tc>
          <w:tcPr>
            <w:tcW w:type="dxa" w:w="18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pPr>
              <w:jc w:val="left"/>
            </w:pPr>
            <w:r>
              <w:rPr>
                <w:b w:val="false"/>
                <w:bCs w:val="false"/>
                <w:color w:val="222222"/>
                <w:sz w:val="18"/>
                <w:szCs w:val="18"/>
              </w:rPr>
              <w:t xml:space="preserve">Tres faible</w:t>
            </w:r>
          </w:p>
        </w:tc>
        <w:tc>
          <w:tcPr>
            <w:tcW w:type="dxa" w:w="18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pPr>
              <w:jc w:val="left"/>
            </w:pPr>
            <w:r>
              <w:rPr>
                <w:b w:val="false"/>
                <w:bCs w:val="false"/>
                <w:color w:val="222222"/>
                <w:sz w:val="18"/>
                <w:szCs w:val="18"/>
              </w:rPr>
              <w:t xml:space="preserve">Sprint 1</w:t>
            </w:r>
          </w:p>
        </w:tc>
        <w:tc>
          <w:tcPr>
            <w:tcW w:type="dxa" w:w="114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pPr>
              <w:jc w:val="left"/>
            </w:pPr>
            <w:r>
              <w:rPr>
                <w:b w:val="false"/>
                <w:bCs w:val="false"/>
                <w:color w:val="222222"/>
                <w:sz w:val="18"/>
                <w:szCs w:val="18"/>
              </w:rPr>
              <w:t xml:space="preserve">Bug #4</w:t>
            </w:r>
          </w:p>
        </w:tc>
      </w:tr>
      <w:tr>
        <w:tc>
          <w:tcPr>
            <w:tcW w:type="dxa" w:w="60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A2</w:t>
            </w:r>
          </w:p>
        </w:tc>
        <w:tc>
          <w:tcPr>
            <w:tcW w:type="dxa" w:w="290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Features CSV manquantes</w:t>
            </w:r>
          </w:p>
        </w:tc>
        <w:tc>
          <w:tcPr>
            <w:tcW w:type="dxa" w:w="220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Fort — signal predictif</w:t>
            </w:r>
          </w:p>
        </w:tc>
        <w:tc>
          <w:tcPr>
            <w:tcW w:type="dxa" w:w="180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Moyen</w:t>
            </w:r>
          </w:p>
        </w:tc>
        <w:tc>
          <w:tcPr>
            <w:tcW w:type="dxa" w:w="180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Sprint 1</w:t>
            </w:r>
          </w:p>
        </w:tc>
        <w:tc>
          <w:tcPr>
            <w:tcW w:type="dxa" w:w="114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Amelio A2</w:t>
            </w:r>
          </w:p>
        </w:tc>
      </w:tr>
      <w:tr>
        <w:tc>
          <w:tcPr>
            <w:tcW w:type="dxa" w:w="6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pPr>
              <w:jc w:val="left"/>
            </w:pPr>
            <w:r>
              <w:rPr>
                <w:b w:val="false"/>
                <w:bCs w:val="false"/>
                <w:color w:val="222222"/>
                <w:sz w:val="18"/>
                <w:szCs w:val="18"/>
              </w:rPr>
              <w:t xml:space="preserve">B5</w:t>
            </w:r>
          </w:p>
        </w:tc>
        <w:tc>
          <w:tcPr>
            <w:tcW w:type="dxa" w:w="29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pPr>
              <w:jc w:val="left"/>
            </w:pPr>
            <w:r>
              <w:rPr>
                <w:b w:val="false"/>
                <w:bCs w:val="false"/>
                <w:color w:val="222222"/>
                <w:sz w:val="18"/>
                <w:szCs w:val="18"/>
              </w:rPr>
              <w:t xml:space="preserve">Logger Loguru fix</w:t>
            </w:r>
          </w:p>
        </w:tc>
        <w:tc>
          <w:tcPr>
            <w:tcW w:type="dxa" w:w="22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pPr>
              <w:jc w:val="left"/>
            </w:pPr>
            <w:r>
              <w:rPr>
                <w:b w:val="false"/>
                <w:bCs w:val="false"/>
                <w:color w:val="222222"/>
                <w:sz w:val="18"/>
                <w:szCs w:val="18"/>
              </w:rPr>
              <w:t xml:space="preserve">MOYEN — stabilite</w:t>
            </w:r>
          </w:p>
        </w:tc>
        <w:tc>
          <w:tcPr>
            <w:tcW w:type="dxa" w:w="18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pPr>
              <w:jc w:val="left"/>
            </w:pPr>
            <w:r>
              <w:rPr>
                <w:b w:val="false"/>
                <w:bCs w:val="false"/>
                <w:color w:val="222222"/>
                <w:sz w:val="18"/>
                <w:szCs w:val="18"/>
              </w:rPr>
              <w:t xml:space="preserve">Faible</w:t>
            </w:r>
          </w:p>
        </w:tc>
        <w:tc>
          <w:tcPr>
            <w:tcW w:type="dxa" w:w="18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pPr>
              <w:jc w:val="left"/>
            </w:pPr>
            <w:r>
              <w:rPr>
                <w:b w:val="false"/>
                <w:bCs w:val="false"/>
                <w:color w:val="222222"/>
                <w:sz w:val="18"/>
                <w:szCs w:val="18"/>
              </w:rPr>
              <w:t xml:space="preserve">Sprint 1</w:t>
            </w:r>
          </w:p>
        </w:tc>
        <w:tc>
          <w:tcPr>
            <w:tcW w:type="dxa" w:w="114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pPr>
              <w:jc w:val="left"/>
            </w:pPr>
            <w:r>
              <w:rPr>
                <w:b w:val="false"/>
                <w:bCs w:val="false"/>
                <w:color w:val="222222"/>
                <w:sz w:val="18"/>
                <w:szCs w:val="18"/>
              </w:rPr>
              <w:t xml:space="preserve">Bug #5</w:t>
            </w:r>
          </w:p>
        </w:tc>
      </w:tr>
      <w:tr>
        <w:tc>
          <w:tcPr>
            <w:tcW w:type="dxa" w:w="6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pPr>
              <w:jc w:val="left"/>
            </w:pPr>
            <w:r>
              <w:rPr>
                <w:b w:val="false"/>
                <w:bCs w:val="false"/>
                <w:color w:val="222222"/>
                <w:sz w:val="18"/>
                <w:szCs w:val="18"/>
              </w:rPr>
              <w:t xml:space="preserve">B6</w:t>
            </w:r>
          </w:p>
        </w:tc>
        <w:tc>
          <w:tcPr>
            <w:tcW w:type="dxa" w:w="29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pPr>
              <w:jc w:val="left"/>
            </w:pPr>
            <w:r>
              <w:rPr>
                <w:b w:val="false"/>
                <w:bCs w:val="false"/>
                <w:color w:val="222222"/>
                <w:sz w:val="18"/>
                <w:szCs w:val="18"/>
              </w:rPr>
              <w:t xml:space="preserve">artifact_paths URIs</w:t>
            </w:r>
          </w:p>
        </w:tc>
        <w:tc>
          <w:tcPr>
            <w:tcW w:type="dxa" w:w="22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pPr>
              <w:jc w:val="left"/>
            </w:pPr>
            <w:r>
              <w:rPr>
                <w:b w:val="false"/>
                <w:bCs w:val="false"/>
                <w:color w:val="222222"/>
                <w:sz w:val="18"/>
                <w:szCs w:val="18"/>
              </w:rPr>
              <w:t xml:space="preserve">MOYEN — API correcte</w:t>
            </w:r>
          </w:p>
        </w:tc>
        <w:tc>
          <w:tcPr>
            <w:tcW w:type="dxa" w:w="18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pPr>
              <w:jc w:val="left"/>
            </w:pPr>
            <w:r>
              <w:rPr>
                <w:b w:val="false"/>
                <w:bCs w:val="false"/>
                <w:color w:val="222222"/>
                <w:sz w:val="18"/>
                <w:szCs w:val="18"/>
              </w:rPr>
              <w:t xml:space="preserve">Faible</w:t>
            </w:r>
          </w:p>
        </w:tc>
        <w:tc>
          <w:tcPr>
            <w:tcW w:type="dxa" w:w="18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pPr>
              <w:jc w:val="left"/>
            </w:pPr>
            <w:r>
              <w:rPr>
                <w:b w:val="false"/>
                <w:bCs w:val="false"/>
                <w:color w:val="222222"/>
                <w:sz w:val="18"/>
                <w:szCs w:val="18"/>
              </w:rPr>
              <w:t xml:space="preserve">Sprint 1</w:t>
            </w:r>
          </w:p>
        </w:tc>
        <w:tc>
          <w:tcPr>
            <w:tcW w:type="dxa" w:w="114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pPr>
              <w:jc w:val="left"/>
            </w:pPr>
            <w:r>
              <w:rPr>
                <w:b w:val="false"/>
                <w:bCs w:val="false"/>
                <w:color w:val="222222"/>
                <w:sz w:val="18"/>
                <w:szCs w:val="18"/>
              </w:rPr>
              <w:t xml:space="preserve">Bug #6</w:t>
            </w:r>
          </w:p>
        </w:tc>
      </w:tr>
      <w:tr>
        <w:tc>
          <w:tcPr>
            <w:tcW w:type="dxa" w:w="60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A4</w:t>
            </w:r>
          </w:p>
        </w:tc>
        <w:tc>
          <w:tcPr>
            <w:tcW w:type="dxa" w:w="290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Validation types+plages</w:t>
            </w:r>
          </w:p>
        </w:tc>
        <w:tc>
          <w:tcPr>
            <w:tcW w:type="dxa" w:w="220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Fort — robustesse</w:t>
            </w:r>
          </w:p>
        </w:tc>
        <w:tc>
          <w:tcPr>
            <w:tcW w:type="dxa" w:w="180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Moyen</w:t>
            </w:r>
          </w:p>
        </w:tc>
        <w:tc>
          <w:tcPr>
            <w:tcW w:type="dxa" w:w="180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Sprint 2</w:t>
            </w:r>
          </w:p>
        </w:tc>
        <w:tc>
          <w:tcPr>
            <w:tcW w:type="dxa" w:w="114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Amelio A4</w:t>
            </w:r>
          </w:p>
        </w:tc>
      </w:tr>
      <w:tr>
        <w:tc>
          <w:tcPr>
            <w:tcW w:type="dxa" w:w="60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A5</w:t>
            </w:r>
          </w:p>
        </w:tc>
        <w:tc>
          <w:tcPr>
            <w:tcW w:type="dxa" w:w="290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diagnosed_diabetes leakage</w:t>
            </w:r>
          </w:p>
        </w:tc>
        <w:tc>
          <w:tcPr>
            <w:tcW w:type="dxa" w:w="220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MOYEN — securite</w:t>
            </w:r>
          </w:p>
        </w:tc>
        <w:tc>
          <w:tcPr>
            <w:tcW w:type="dxa" w:w="180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Tres faible</w:t>
            </w:r>
          </w:p>
        </w:tc>
        <w:tc>
          <w:tcPr>
            <w:tcW w:type="dxa" w:w="180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Sprint 2</w:t>
            </w:r>
          </w:p>
        </w:tc>
        <w:tc>
          <w:tcPr>
            <w:tcW w:type="dxa" w:w="114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Amelio A5</w:t>
            </w:r>
          </w:p>
        </w:tc>
      </w:tr>
      <w:tr>
        <w:tc>
          <w:tcPr>
            <w:tcW w:type="dxa" w:w="60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A6</w:t>
            </w:r>
          </w:p>
        </w:tc>
        <w:tc>
          <w:tcPr>
            <w:tcW w:type="dxa" w:w="290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Dedupliquer ATP-III</w:t>
            </w:r>
          </w:p>
        </w:tc>
        <w:tc>
          <w:tcPr>
            <w:tcW w:type="dxa" w:w="220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Moyen — maintenabilite</w:t>
            </w:r>
          </w:p>
        </w:tc>
        <w:tc>
          <w:tcPr>
            <w:tcW w:type="dxa" w:w="180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Moyen</w:t>
            </w:r>
          </w:p>
        </w:tc>
        <w:tc>
          <w:tcPr>
            <w:tcW w:type="dxa" w:w="180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Sprint 2</w:t>
            </w:r>
          </w:p>
        </w:tc>
        <w:tc>
          <w:tcPr>
            <w:tcW w:type="dxa" w:w="1140"/>
            <w:tcBorders>
              <w:top w:val="single" w:color="CCCCCC" w:sz="1"/>
              <w:left w:val="single" w:color="CCCCCC" w:sz="1"/>
              <w:bottom w:val="single" w:color="CCCCCC" w:sz="1"/>
              <w:right w:val="single" w:color="CCCCCC" w:sz="1"/>
            </w:tcBorders>
            <w:shd w:fill="E8F8F0" w:val="clear"/>
            <w:tcMar>
              <w:top w:type="dxa" w:w="70"/>
              <w:left w:type="dxa" w:w="100"/>
              <w:bottom w:type="dxa" w:w="70"/>
              <w:right w:type="dxa" w:w="100"/>
            </w:tcMar>
          </w:tcPr>
          <w:p>
            <w:pPr>
              <w:jc w:val="left"/>
            </w:pPr>
            <w:r>
              <w:rPr>
                <w:b w:val="false"/>
                <w:bCs w:val="false"/>
                <w:color w:val="222222"/>
                <w:sz w:val="18"/>
                <w:szCs w:val="18"/>
              </w:rPr>
              <w:t xml:space="preserve">Amelio A6</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B7-B9-B10</w:t>
            </w:r>
          </w:p>
        </w:tc>
        <w:tc>
          <w:tcPr>
            <w:tcW w:type="dxa" w:w="2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Fixes mineurs (str.replace, CI, extras)</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Mineur</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Tres faible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Sprint 2-3</w:t>
            </w:r>
          </w:p>
        </w:tc>
        <w:tc>
          <w:tcPr>
            <w:tcW w:type="dxa" w:w="11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b w:val="false"/>
                <w:bCs w:val="false"/>
                <w:color w:val="222222"/>
                <w:sz w:val="18"/>
                <w:szCs w:val="18"/>
              </w:rPr>
              <w:t xml:space="preserve">Bugs #7-10</w:t>
            </w:r>
          </w:p>
        </w:tc>
      </w:tr>
    </w:tbl>
    <w:p>
      <w:pPr>
        <w:spacing w:after="160"/>
      </w:pPr>
      <w:r>
        <w:t xml:space="preserve"/>
      </w:r>
    </w:p>
    <w:p>
      <w:pPr>
        <w:pStyle w:val="Heading1"/>
        <w:spacing w:after="140" w:before="280"/>
      </w:pPr>
      <w:r>
        <w:rPr>
          <w:b/>
          <w:bCs/>
          <w:color w:val="1A4E8A"/>
          <w:sz w:val="34"/>
          <w:szCs w:val="34"/>
        </w:rPr>
        <w:t xml:space="preserve">6. Points Forts du Projet</w:t>
      </w:r>
    </w:p>
    <w:p>
      <w:pPr>
        <w:spacing w:after="100"/>
      </w:pPr>
      <w:r>
        <w:rPr>
          <w:sz w:val="20"/>
          <w:szCs w:val="20"/>
        </w:rPr>
        <w:t xml:space="preserve">Malgre les bugs identifies, ce projet a une base architecturale solide et professionnelle :</w:t>
      </w:r>
    </w:p>
    <w:p>
      <w:pPr>
        <w:pStyle w:val="ListParagraph"/>
        <w:numPr>
          <w:ilvl w:val="0"/>
          <w:numId w:val="2"/>
        </w:numPr>
        <w:spacing w:after="60"/>
      </w:pPr>
      <w:r>
        <w:rPr>
          <w:b w:val="false"/>
          <w:bCs w:val="false"/>
          <w:sz w:val="20"/>
          <w:szCs w:val="20"/>
        </w:rPr>
        <w:t xml:space="preserve">Architecture modulaire claire : separation nette features / pipeline / boosting / mlflow / validation.</w:t>
      </w:r>
    </w:p>
    <w:p>
      <w:pPr>
        <w:pStyle w:val="ListParagraph"/>
        <w:numPr>
          <w:ilvl w:val="0"/>
          <w:numId w:val="2"/>
        </w:numPr>
        <w:spacing w:after="60"/>
      </w:pPr>
      <w:r>
        <w:rPr>
          <w:b w:val="false"/>
          <w:bCs w:val="false"/>
          <w:sz w:val="20"/>
          <w:szCs w:val="20"/>
        </w:rPr>
        <w:t xml:space="preserve">Pattern Abstract Base Class (BaseBoostingModel) correctement implemente — swap de modele sans aucune modification du pipeline.</w:t>
      </w:r>
    </w:p>
    <w:p>
      <w:pPr>
        <w:pStyle w:val="ListParagraph"/>
        <w:numPr>
          <w:ilvl w:val="0"/>
          <w:numId w:val="2"/>
        </w:numPr>
        <w:spacing w:after="60"/>
      </w:pPr>
      <w:r>
        <w:rPr>
          <w:b w:val="false"/>
          <w:bCs w:val="false"/>
          <w:sz w:val="20"/>
          <w:szCs w:val="20"/>
        </w:rPr>
        <w:t xml:space="preserve">Gestion proactive de la leakage avec drop_leakage_columns() et les commentaires explicites.</w:t>
      </w:r>
    </w:p>
    <w:p>
      <w:pPr>
        <w:pStyle w:val="ListParagraph"/>
        <w:numPr>
          <w:ilvl w:val="0"/>
          <w:numId w:val="2"/>
        </w:numPr>
        <w:spacing w:after="60"/>
      </w:pPr>
      <w:r>
        <w:rPr>
          <w:b w:val="false"/>
          <w:bCs w:val="false"/>
          <w:sz w:val="20"/>
          <w:szCs w:val="20"/>
        </w:rPr>
        <w:t xml:space="preserve">Support Spark + Pandas transparent via spark_utils.py — excellent design pour les workflows Databricks.</w:t>
      </w:r>
    </w:p>
    <w:p>
      <w:pPr>
        <w:pStyle w:val="ListParagraph"/>
        <w:numPr>
          <w:ilvl w:val="0"/>
          <w:numId w:val="2"/>
        </w:numPr>
        <w:spacing w:after="60"/>
      </w:pPr>
      <w:r>
        <w:rPr>
          <w:b w:val="false"/>
          <w:bCs w:val="false"/>
          <w:sz w:val="20"/>
          <w:szCs w:val="20"/>
        </w:rPr>
        <w:t xml:space="preserve">Tests bien structures : fixtures reutilisables (conftest.py), classes de test groupees, edge cases couverts.</w:t>
      </w:r>
    </w:p>
    <w:p>
      <w:pPr>
        <w:pStyle w:val="ListParagraph"/>
        <w:numPr>
          <w:ilvl w:val="0"/>
          <w:numId w:val="2"/>
        </w:numPr>
        <w:spacing w:after="60"/>
      </w:pPr>
      <w:r>
        <w:rPr>
          <w:b w:val="false"/>
          <w:bCs w:val="false"/>
          <w:sz w:val="20"/>
          <w:szCs w:val="20"/>
        </w:rPr>
        <w:t xml:space="preserve">MLflow pyfunc bien architecturé : preprocessing + model dans un seul artifact deployable et versionneable.</w:t>
      </w:r>
    </w:p>
    <w:p>
      <w:pPr>
        <w:pStyle w:val="ListParagraph"/>
        <w:numPr>
          <w:ilvl w:val="0"/>
          <w:numId w:val="2"/>
        </w:numPr>
        <w:spacing w:after="60"/>
      </w:pPr>
      <w:r>
        <w:rPr>
          <w:b w:val="false"/>
          <w:bCs w:val="false"/>
          <w:sz w:val="20"/>
          <w:szCs w:val="20"/>
        </w:rPr>
        <w:t xml:space="preserve">Docstrings completes avec references aux guidelines cliniques (ADA, WHO, JNC, NCEP-ATP III).</w:t>
      </w:r>
    </w:p>
    <w:p>
      <w:pPr>
        <w:pStyle w:val="ListParagraph"/>
        <w:numPr>
          <w:ilvl w:val="0"/>
          <w:numId w:val="2"/>
        </w:numPr>
        <w:spacing w:after="60"/>
      </w:pPr>
      <w:r>
        <w:rPr>
          <w:b w:val="false"/>
          <w:bCs w:val="false"/>
          <w:sz w:val="20"/>
          <w:szCs w:val="20"/>
        </w:rPr>
        <w:t xml:space="preserve">__getstate__ / __setstate__ sur le pipeline pour une serialisation pickle compatible MLflow — bonne pratique rarement vue.</w:t>
      </w:r>
    </w:p>
    <w:p>
      <w:pPr>
        <w:pStyle w:val="ListParagraph"/>
        <w:numPr>
          <w:ilvl w:val="0"/>
          <w:numId w:val="2"/>
        </w:numPr>
        <w:spacing w:after="60"/>
      </w:pPr>
      <w:r>
        <w:rPr>
          <w:b w:val="false"/>
          <w:bCs w:val="false"/>
          <w:sz w:val="20"/>
          <w:szCs w:val="20"/>
        </w:rPr>
        <w:t xml:space="preserve">Lazy imports partout pour les dependances optionnelles (xgboost, catboost, lightgbm, mlflow) — robustesse d'installation.</w:t>
      </w:r>
    </w:p>
    <w:p>
      <w:pPr>
        <w:spacing w:after="80"/>
      </w:pPr>
      <w:r>
        <w:t xml:space="preserve"/>
      </w:r>
    </w:p>
    <w:p>
      <w:pPr>
        <w:spacing w:after="100"/>
      </w:pPr>
      <w:r>
        <w:rPr>
          <w:b/>
          <w:bCs/>
          <w:color w:val="1A4E8A"/>
          <w:sz w:val="20"/>
          <w:szCs w:val="20"/>
        </w:rPr>
        <w:t xml:space="preserve">En corrigeant les 3 bugs critiques (B1, B2, B3) et en ajoutant les features manquantes du CSV (A2), le projet sera pret pour un deploiement en production avec un excellent niveau de qualite.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888888"/>
        <w:sz w:val="16"/>
        <w:szCs w:val="16"/>
      </w:rPr>
      <w:t xml:space="preserve">Analyse confidentielle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E8A" w:sz="4" w:space="4"/>
      </w:pBdr>
    </w:pPr>
    <w:r>
      <w:rPr>
        <w:color w:val="666666"/>
        <w:sz w:val="16"/>
        <w:szCs w:val="16"/>
      </w:rPr>
      <w:t xml:space="preserve">medrisk-health-analytics  |  Rapport d'Analyse Technique  |  v0.2.0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A4E8A"/>
      <w:sz w:val="34"/>
      <w:szCs w:val="34"/>
    </w:rPr>
  </w:style>
  <w:style w:type="paragraph" w:styleId="Heading2">
    <w:name w:val="Heading 2"/>
    <w:basedOn w:val="Normal"/>
    <w:next w:val="Normal"/>
    <w:qFormat/>
    <w:pPr>
      <w:spacing w:after="100" w:before="200"/>
      <w:outlineLvl w:val="1"/>
    </w:pPr>
    <w:rPr>
      <w:rFonts w:ascii="Arial" w:cs="Arial" w:eastAsia="Arial" w:hAnsi="Arial"/>
      <w:b/>
      <w:bCs/>
      <w:color w:val="1A4E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2026-05-27T22:01:40.364Z</dcterms:created>
  <dcterms:modified xsi:type="dcterms:W3CDTF">2026-05-27T22:01:40.365Z</dcterms:modified>
</cp:coreProperties>
</file>

<file path=docProps/custom.xml><?xml version="1.0" encoding="utf-8"?>
<Properties xmlns="http://schemas.openxmlformats.org/officeDocument/2006/custom-properties" xmlns:vt="http://schemas.openxmlformats.org/officeDocument/2006/docPropsVTypes"/>
</file>