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rFonts w:ascii="Times New Roman" w:cs="Times New Roman" w:eastAsia="Times New Roman" w:hAnsi="Times New Roman"/>
          <w:b/>
          <w:bCs/>
          <w:sz w:val="28"/>
          <w:szCs w:val="28"/>
        </w:rPr>
        <w:t xml:space="preserve">Lav Tarlası Ortamında Güvenli Rota Öğrenimi: Q-Learning ve SARSA'nın Karşılaştırmalı Analizi</w:t>
      </w:r>
    </w:p>
    <w:p>
      <w:pPr>
        <w:spacing w:after="160"/>
        <w:jc w:val="center"/>
      </w:pPr>
      <w:r>
        <w:rPr>
          <w:rFonts w:ascii="Times New Roman" w:cs="Times New Roman" w:eastAsia="Times New Roman" w:hAnsi="Times New Roman"/>
          <w:b/>
          <w:bCs/>
          <w:sz w:val="28"/>
          <w:szCs w:val="28"/>
        </w:rPr>
        <w:t xml:space="preserve">Safe Route Learning in a Lava-Field Environment: A Comparative Analysis of Q-Learning and SARSA</w:t>
      </w:r>
    </w:p>
    <w:p>
      <w:pPr>
        <w:spacing w:after="20"/>
        <w:jc w:val="center"/>
      </w:pPr>
      <w:r>
        <w:rPr>
          <w:rFonts w:ascii="Times New Roman" w:cs="Times New Roman" w:eastAsia="Times New Roman" w:hAnsi="Times New Roman"/>
          <w:i/>
          <w:iCs/>
          <w:sz w:val="20"/>
          <w:szCs w:val="20"/>
        </w:rPr>
        <w:t xml:space="preserve">Kubilay İnanç</w:t>
      </w:r>
    </w:p>
    <w:p>
      <w:pPr>
        <w:spacing w:after="0" w:line="240" w:lineRule="auto"/>
        <w:jc w:val="center"/>
      </w:pPr>
      <w:r>
        <w:rPr>
          <w:rFonts w:ascii="Times New Roman" w:cs="Times New Roman" w:eastAsia="Times New Roman" w:hAnsi="Times New Roman"/>
          <w:sz w:val="18"/>
          <w:szCs w:val="18"/>
        </w:rPr>
        <w:t xml:space="preserve">Bilgisayar Mühendisliği Bölümü</w:t>
      </w:r>
    </w:p>
    <w:p>
      <w:pPr>
        <w:spacing w:after="0" w:line="240" w:lineRule="auto"/>
        <w:jc w:val="center"/>
      </w:pPr>
      <w:r>
        <w:rPr>
          <w:rFonts w:ascii="Times New Roman" w:cs="Times New Roman" w:eastAsia="Times New Roman" w:hAnsi="Times New Roman"/>
          <w:sz w:val="18"/>
          <w:szCs w:val="18"/>
        </w:rPr>
        <w:t xml:space="preserve">Bursa Teknik Üniversitesi, Bursa</w:t>
      </w:r>
    </w:p>
    <w:p>
      <w:pPr>
        <w:spacing w:after="40"/>
        <w:jc w:val="center"/>
      </w:pPr>
      <w:r>
        <w:rPr>
          <w:rFonts w:ascii="Courier New" w:cs="Courier New" w:eastAsia="Courier New" w:hAnsi="Courier New"/>
          <w:sz w:val="18"/>
          <w:szCs w:val="18"/>
        </w:rPr>
        <w:t xml:space="preserve">*********47@ogr.btu.edu.tr</w:t>
      </w:r>
    </w:p>
    <w:p>
      <w:pPr>
        <w:spacing w:after="80"/>
        <w:jc w:val="center"/>
      </w:pPr>
      <w:r>
        <w:rPr>
          <w:rFonts w:ascii="Times New Roman" w:cs="Times New Roman" w:eastAsia="Times New Roman" w:hAnsi="Times New Roman"/>
          <w:i/>
          <w:iCs/>
          <w:sz w:val="16"/>
          <w:szCs w:val="16"/>
        </w:rPr>
        <w:t xml:space="preserve">Pekiştirmeli Öğrenmeye Giriş dersi dönem projesi — Danışman: Dr. İlhan Tunç</w:t>
      </w:r>
    </w:p>
    <w:p>
      <w:pPr>
        <w:sectPr>
          <w:pgSz w:w="11906" w:h="16838" w:orient="portrait"/>
          <w:pgMar w:top="1587" w:right="1134" w:bottom="1871" w:left="1134" w:header="708" w:footer="708" w:gutter="0"/>
          <w:pgNumType/>
          <w:cols w:num="1"/>
          <w:docGrid w:linePitch="360"/>
        </w:sectPr>
      </w:pPr>
    </w:p>
    <w:p>
      <w:pPr>
        <w:keepNext/>
        <w:spacing w:after="60" w:before="60"/>
        <w:jc w:val="center"/>
      </w:pPr>
      <w:r>
        <w:rPr>
          <w:rFonts w:ascii="Times New Roman" w:cs="Times New Roman" w:eastAsia="Times New Roman" w:hAnsi="Times New Roman"/>
          <w:b/>
          <w:bCs/>
          <w:sz w:val="18"/>
          <w:szCs w:val="18"/>
        </w:rPr>
        <w:t xml:space="preserve">Özetçe</w:t>
      </w:r>
    </w:p>
    <w:p>
      <w:pPr>
        <w:spacing w:after="70" w:line="240" w:lineRule="auto"/>
        <w:jc w:val="both"/>
      </w:pPr>
      <w:r>
        <w:rPr>
          <w:rFonts w:ascii="Times New Roman" w:cs="Times New Roman" w:eastAsia="Times New Roman" w:hAnsi="Times New Roman"/>
          <w:sz w:val="18"/>
          <w:szCs w:val="18"/>
        </w:rPr>
        <w:t xml:space="preserve">Bu çalışmada, pekiştirmeli öğrenme yöntemlerini sınamak için lav şeridiyle bölünmüş özel bir ızgara dünyası (“Lav Tarlası”) ortamı tasarladım ve bunu bir Markov Karar Süreci olarak modelledim. Ajanı, derste işlenen iki tablolu zaman-farkı yöntemiyle, Q-Learning (off-policy) ve SARSA (on-policy), eğittim; keşif-sömürü dengesini epsilon-greedy politikayla kurdum. Yöntemleri ayrıca rastgele politika ve BFS ile bulunan en kısa güvenli yolla karşılaştırdım. Ortam, kısa-riskli yol ile uzun-güvenli yol arasındaki tercihi açığa çıkaracak biçimde kurgulandığından, Q-Learning açgözlü politikada optimal kısa yolu öğrenirken SARSA daha güvenli yolu öğrenir ve eğitim sırasında daha yüksek ödül toplar. Ayrıca eğitimin yaklaşık 20-26 epizodda kararlı hâle geldiğini ve keşif oranının performansa etkisini niceliksel olarak inceledim. Sonuçlar, on-policy ve off-policy öğrenme arasındaki farkın somut bir gösterimini sunar.</w:t>
      </w:r>
    </w:p>
    <w:p>
      <w:pPr>
        <w:keepNext/>
        <w:spacing w:after="60" w:before="60"/>
        <w:jc w:val="center"/>
      </w:pPr>
      <w:r>
        <w:rPr>
          <w:rFonts w:ascii="Times New Roman" w:cs="Times New Roman" w:eastAsia="Times New Roman" w:hAnsi="Times New Roman"/>
          <w:b/>
          <w:bCs/>
          <w:sz w:val="18"/>
          <w:szCs w:val="18"/>
        </w:rPr>
        <w:t xml:space="preserve">Abstract</w:t>
      </w:r>
    </w:p>
    <w:p>
      <w:pPr>
        <w:spacing w:after="70" w:line="240" w:lineRule="auto"/>
        <w:jc w:val="both"/>
      </w:pPr>
      <w:r>
        <w:rPr>
          <w:rFonts w:ascii="Times New Roman" w:cs="Times New Roman" w:eastAsia="Times New Roman" w:hAnsi="Times New Roman"/>
          <w:sz w:val="18"/>
          <w:szCs w:val="18"/>
        </w:rPr>
        <w:t xml:space="preserve">In this study, I designed a custom grid-world environment (“Lava Field”) divided by a strip of lava and modeled it as a Markov Decision Process. I trained the agent with two tabular temporal-difference methods, Q-Learning (off-policy) and SARSA (on-policy), using an epsilon-greedy policy, and compared them against a random policy and the shortest safe path found by BFS. Because the environment exposes the trade-off between a short-but-risky and a long-but-safe path, Q-Learning learns the optimal short path under greedy evaluation, whereas SARSA learns a safer path and accrues higher reward during training. I also analyze the convergence behaviour and the effect of the exploration rate. The results concretely demonstrate the difference between on-policy and off-policy learning.</w:t>
      </w:r>
    </w:p>
    <w:p>
      <w:pPr>
        <w:keepNext/>
        <w:spacing w:after="80" w:before="160"/>
        <w:jc w:val="center"/>
      </w:pPr>
      <w:r>
        <w:rPr>
          <w:rFonts w:ascii="Times New Roman" w:cs="Times New Roman" w:eastAsia="Times New Roman" w:hAnsi="Times New Roman"/>
          <w:b/>
          <w:bCs/>
          <w:sz w:val="22"/>
          <w:szCs w:val="22"/>
        </w:rPr>
        <w:t xml:space="preserve">1. Giriş</w:t>
      </w:r>
    </w:p>
    <w:p>
      <w:pPr>
        <w:spacing w:after="70" w:line="240" w:lineRule="auto"/>
        <w:jc w:val="both"/>
      </w:pPr>
      <w:r>
        <w:rPr>
          <w:rFonts w:ascii="Times New Roman" w:cs="Times New Roman" w:eastAsia="Times New Roman" w:hAnsi="Times New Roman"/>
          <w:sz w:val="18"/>
          <w:szCs w:val="18"/>
        </w:rPr>
        <w:t xml:space="preserve">Pekiştirmeli öğrenme (PÖ), bir ajanın çevreyle etkileşerek deneme-yanılma yoluyla ardışık karar vermeyi öğrendiği bir makine öğrenmesi dalıdır. Ajan bir durumda eylem seçer, çevreden ödül ve yeni durum alır; amaç tek bir kararı değil, uzun vadede toplanan toplam ödülü en büyük yapan politikayı öğrenmektir. Bu çalışmada çevrenin modelinin bilinmediği, ajanın yalnızca deneyimden öğrendiği model-tabansız ve tablolu bir senaryo ele alınmıştır; her durum-eylem çifti için bir Q(s,a) değeri bir tabloda tutulur ve deneyimle güncellenir.</w:t>
      </w:r>
    </w:p>
    <w:p>
      <w:pPr>
        <w:spacing w:after="70" w:line="240" w:lineRule="auto"/>
        <w:jc w:val="both"/>
      </w:pPr>
      <w:r>
        <w:rPr>
          <w:rFonts w:ascii="Times New Roman" w:cs="Times New Roman" w:eastAsia="Times New Roman" w:hAnsi="Times New Roman"/>
          <w:sz w:val="18"/>
          <w:szCs w:val="18"/>
        </w:rPr>
        <w:t xml:space="preserve">Çalışmanın motivasyonu, gerçek problemlerde sık görülen hız-güvenlik ödünleşimidir: hedefe en kısa yol çoğu zaman tehlikeli bir bölgenin kenarından geçer ve keşif sırasındaki bir hata ağır cezayla sonuçlanabilir. Sutton ve Barto’nun klasik “uçurum yürüyüşü” örneğinden esinlenerek, lav şeridiyle bölünmüş özgün bir ortam tasarladım ve bu ödünleşimi Q-Learning ile SARSA üzerinden inceledim.</w:t>
      </w:r>
    </w:p>
    <w:p>
      <w:pPr>
        <w:spacing w:after="70" w:line="240" w:lineRule="auto"/>
        <w:jc w:val="both"/>
      </w:pPr>
      <w:r>
        <w:rPr>
          <w:rFonts w:ascii="Times New Roman" w:cs="Times New Roman" w:eastAsia="Times New Roman" w:hAnsi="Times New Roman"/>
          <w:sz w:val="18"/>
          <w:szCs w:val="18"/>
        </w:rPr>
        <w:t xml:space="preserve">Bu bildirinin katkıları şunlardır: (i) hız-güvenlik ödünleşimini açığa çıkaran özgün bir ortamın MKS olarak modellenmesi; (ii) ajanın Q-Learning ve SARSA ile eğitilmesi; (iii) yöntemlerin rastgele politika ve BFS ile karşılaştırılması; (iv) eğitim yakınsamasının ve keşif oranının etkisinin niceliksel analizi. Bildirinin geri kalanında sırasıyla problem tanımı, yöntemler, deneysel kurulum, sonuçlar, tartışma ve sonuç bölümleri yer almaktadır.</w:t>
      </w:r>
    </w:p>
    <w:p>
      <w:pPr>
        <w:keepNext/>
        <w:spacing w:after="80" w:before="160"/>
        <w:jc w:val="center"/>
      </w:pPr>
      <w:r>
        <w:rPr>
          <w:rFonts w:ascii="Times New Roman" w:cs="Times New Roman" w:eastAsia="Times New Roman" w:hAnsi="Times New Roman"/>
          <w:b/>
          <w:bCs/>
          <w:sz w:val="22"/>
          <w:szCs w:val="22"/>
        </w:rPr>
        <w:t xml:space="preserve">2. Problem Tanımı</w:t>
      </w:r>
    </w:p>
    <w:p>
      <w:pPr>
        <w:spacing w:after="70" w:line="240" w:lineRule="auto"/>
        <w:jc w:val="both"/>
      </w:pPr>
      <w:r>
        <w:rPr>
          <w:rFonts w:ascii="Times New Roman" w:cs="Times New Roman" w:eastAsia="Times New Roman" w:hAnsi="Times New Roman"/>
          <w:sz w:val="18"/>
          <w:szCs w:val="18"/>
        </w:rPr>
        <w:t xml:space="preserve">Tasarladığım ortam 6×10’luk bir ızgaradır (Şekil 1). Ajan sol alt köşeden (B) başlar ve sağ alt köşedeki ödül bölgesine (H) ulaşmaya çalışır. Alt satır boyunca bir lav şeridi, ızgaranın içinde ise birkaç tuzak (T) bulunur. Ortam, lavın hemen üstünden giden kısa-riskli yol ile lavdan uzaklaşan uzun-güvenli yol arasındaki tercihi açığa çıkaracak biçimde kurgulanmıştır.</w:t>
      </w:r>
    </w:p>
    <w:p>
      <w:pPr>
        <w:spacing w:after="30" w:before="80"/>
        <w:jc w:val="center"/>
      </w:pPr>
      <w:r>
        <w:drawing>
          <wp:inline distT="0" distB="0" distL="0" distR="0">
            <wp:extent cx="2381250" cy="1790700"/>
            <wp:effectExtent t="0" r="0" b="0" l="0"/>
            <wp:docPr id="1" name="01_ortam.png" descr="Şekil 1: Lav Tarlası ortamı (B: başlangıç, H: hedef, kırmızı: lav, mor: tuzak)." title="Şekil 1: Lav Tarlası ortamı (B: başlangıç, H: hedef, kırmızı: lav, mor: tuz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1790700"/>
                    </a:xfrm>
                    <a:prstGeom prst="rect">
                      <a:avLst/>
                    </a:prstGeom>
                  </pic:spPr>
                </pic:pic>
              </a:graphicData>
            </a:graphic>
          </wp:inline>
        </w:drawing>
      </w:r>
    </w:p>
    <w:p>
      <w:pPr>
        <w:spacing w:after="90"/>
        <w:jc w:val="center"/>
      </w:pPr>
      <w:r>
        <w:rPr>
          <w:rFonts w:ascii="Times New Roman" w:cs="Times New Roman" w:eastAsia="Times New Roman" w:hAnsi="Times New Roman"/>
          <w:sz w:val="16"/>
          <w:szCs w:val="16"/>
        </w:rPr>
        <w:t xml:space="preserve">Şekil 1: Lav Tarlası ortamı (B: başlangıç, H: hedef, kırmızı: lav, mor: tuzak).</w:t>
      </w:r>
    </w:p>
    <w:p>
      <w:pPr>
        <w:spacing w:after="70" w:line="240" w:lineRule="auto"/>
        <w:jc w:val="both"/>
      </w:pPr>
      <w:r>
        <w:rPr>
          <w:rFonts w:ascii="Times New Roman" w:cs="Times New Roman" w:eastAsia="Times New Roman" w:hAnsi="Times New Roman"/>
          <w:sz w:val="18"/>
          <w:szCs w:val="18"/>
        </w:rPr>
        <w:t xml:space="preserve">Ortam, (S, A, P, R, γ) beşlisiyle tanımlanan bir Markov Karar Sürecidir. Durum (S) ızgaradaki konumdur (60 durum) ve Markov özelliğini sağlar: bir sonraki durum yalnızca mevcut duruma ve eyleme bağlıdır. Eylemler (A) yukarı, aşağı, sol ve sağ’dır; ızgara dışına çıkış denemesi ajanı yerinde tutar. Geçiş (P) deterministiktir; tek istisna lavdır, lava basıldığında ajan büyük ceza alır ve başlangıca döner.</w:t>
      </w:r>
    </w:p>
    <w:p>
      <w:pPr>
        <w:spacing w:after="70" w:line="240" w:lineRule="auto"/>
        <w:jc w:val="both"/>
      </w:pPr>
      <w:r>
        <w:rPr>
          <w:rFonts w:ascii="Times New Roman" w:cs="Times New Roman" w:eastAsia="Times New Roman" w:hAnsi="Times New Roman"/>
          <w:sz w:val="18"/>
          <w:szCs w:val="18"/>
        </w:rPr>
        <w:t xml:space="preserve">Ödül fonksiyonu Tablo 1’de verilmiştir. Negatif adım ödülü ajanı kısa yola, büyük lav cezası ise güvenliğe teşvik eder; bu iki kuvvet, yöntemler arasındaki davranış farkını ortaya çıkarır. İndirim faktörü γ = 0,95 seçilmiştir.</w:t>
      </w:r>
    </w:p>
    <w:p>
      <w:pPr>
        <w:spacing w:after="40" w:before="80"/>
        <w:jc w:val="center"/>
      </w:pPr>
      <w:r>
        <w:rPr>
          <w:rFonts w:ascii="Times New Roman" w:cs="Times New Roman" w:eastAsia="Times New Roman" w:hAnsi="Times New Roman"/>
          <w:i/>
          <w:iCs/>
          <w:sz w:val="18"/>
          <w:szCs w:val="18"/>
        </w:rPr>
        <w:t xml:space="preserve">Tablo 1: Ortamın ödül fonksiyonu.</w:t>
      </w:r>
    </w:p>
    <w:tbl>
      <w:tblPr>
        <w:tblW w:type="dxa" w:w="4536"/>
        <w:jc w:val="center"/>
        <w:tblBorders>
          <w:top w:val="single" w:color="auto" w:sz="4"/>
          <w:left w:val="single" w:color="auto" w:sz="4"/>
          <w:bottom w:val="single" w:color="auto" w:sz="4"/>
          <w:right w:val="single" w:color="auto" w:sz="4"/>
          <w:insideH w:val="single" w:color="auto" w:sz="4"/>
          <w:insideV w:val="single" w:color="auto" w:sz="4"/>
        </w:tblBorders>
      </w:tblPr>
      <w:tblGrid>
        <w:gridCol w:w="2936"/>
        <w:gridCol w:w="1600"/>
      </w:tblGrid>
      <w:tr>
        <w:trPr>
          <w:tblHeader/>
        </w:trPr>
        <w:tc>
          <w:tcPr>
            <w:tcW w:type="dxa" w:w="29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bCs/>
                <w:sz w:val="16"/>
                <w:szCs w:val="16"/>
              </w:rPr>
              <w:t xml:space="preserve">Olay</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bCs/>
                <w:sz w:val="16"/>
                <w:szCs w:val="16"/>
              </w:rPr>
              <w:t xml:space="preserve">Ödül</w:t>
            </w:r>
          </w:p>
        </w:tc>
      </w:tr>
      <w:tr>
        <w:trPr>
          <w:tblHeader w:val="false"/>
        </w:trPr>
        <w:tc>
          <w:tcPr>
            <w:tcW w:type="dxa" w:w="29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Normal adım</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−1</w:t>
            </w:r>
          </w:p>
        </w:tc>
      </w:tr>
      <w:tr>
        <w:trPr>
          <w:tblHeader w:val="false"/>
        </w:trPr>
        <w:tc>
          <w:tcPr>
            <w:tcW w:type="dxa" w:w="29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Tuzak</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−20</w:t>
            </w:r>
          </w:p>
        </w:tc>
      </w:tr>
      <w:tr>
        <w:trPr>
          <w:tblHeader w:val="false"/>
        </w:trPr>
        <w:tc>
          <w:tcPr>
            <w:tcW w:type="dxa" w:w="29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Lav (+ başa dönüş)</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−100</w:t>
            </w:r>
          </w:p>
        </w:tc>
      </w:tr>
      <w:tr>
        <w:trPr>
          <w:tblHeader w:val="false"/>
        </w:trPr>
        <w:tc>
          <w:tcPr>
            <w:tcW w:type="dxa" w:w="29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Hedef (terminal)</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+100</w:t>
            </w:r>
          </w:p>
        </w:tc>
      </w:tr>
    </w:tbl>
    <w:p>
      <w:pPr>
        <w:keepNext/>
        <w:spacing w:after="80" w:before="160"/>
        <w:jc w:val="center"/>
      </w:pPr>
      <w:r>
        <w:rPr>
          <w:rFonts w:ascii="Times New Roman" w:cs="Times New Roman" w:eastAsia="Times New Roman" w:hAnsi="Times New Roman"/>
          <w:b/>
          <w:bCs/>
          <w:sz w:val="22"/>
          <w:szCs w:val="22"/>
        </w:rPr>
        <w:t xml:space="preserve">3. Kullanılan Yöntemler</w:t>
      </w:r>
    </w:p>
    <w:p>
      <w:pPr>
        <w:keepNext/>
        <w:spacing w:after="60" w:before="130"/>
        <w:jc w:val="left"/>
      </w:pPr>
      <w:r>
        <w:rPr>
          <w:rFonts w:ascii="Times New Roman" w:cs="Times New Roman" w:eastAsia="Times New Roman" w:hAnsi="Times New Roman"/>
          <w:b/>
          <w:bCs/>
          <w:sz w:val="18"/>
          <w:szCs w:val="18"/>
        </w:rPr>
        <w:t xml:space="preserve">3.1. Q-Learning (off-policy)</w:t>
      </w:r>
    </w:p>
    <w:p>
      <w:pPr>
        <w:spacing w:after="70" w:line="240" w:lineRule="auto"/>
        <w:jc w:val="both"/>
      </w:pPr>
      <w:r>
        <w:rPr>
          <w:rFonts w:ascii="Times New Roman" w:cs="Times New Roman" w:eastAsia="Times New Roman" w:hAnsi="Times New Roman"/>
          <w:sz w:val="18"/>
          <w:szCs w:val="18"/>
        </w:rPr>
        <w:t xml:space="preserve">Q-Learning, durum-eylem değerini şu kuralla günceller:</w:t>
      </w:r>
    </w:p>
    <w:p>
      <w:pPr>
        <w:tabs>
          <w:tab w:val="center" w:pos="2268"/>
          <w:tab w:val="right" w:pos="4536"/>
        </w:tabs>
        <w:spacing w:after="60" w:before="60"/>
      </w:pPr>
      <w:r>
        <w:rPr>
          <w:rFonts w:ascii="Cambria Math" w:cs="Cambria Math" w:eastAsia="Cambria Math" w:hAnsi="Cambria Math"/>
          <w:i/>
          <w:iCs/>
          <w:sz w:val="18"/>
          <w:szCs w:val="18"/>
        </w:rPr>
        <w:t xml:space="preserve">	Q(s,a) ← Q(s,a) + α [ r + γ · max Q(s′,a′) − Q(s,a) ]	(1)</w:t>
      </w:r>
    </w:p>
    <w:p>
      <w:pPr>
        <w:spacing w:after="70" w:line="240" w:lineRule="auto"/>
        <w:jc w:val="both"/>
      </w:pPr>
      <w:r>
        <w:rPr>
          <w:rFonts w:ascii="Times New Roman" w:cs="Times New Roman" w:eastAsia="Times New Roman" w:hAnsi="Times New Roman"/>
          <w:sz w:val="18"/>
          <w:szCs w:val="18"/>
        </w:rPr>
        <w:t xml:space="preserve">Burada α öğrenme oranı, γ indirim faktörü, “max” ise bir sonraki durumda ulaşılabilecek en büyük Q değeridir. Q-Learning, sonraki adımda gerçekte ne yapıldığına değil en iyi yapılabilecek eyleme baktığından off-policy’dir ve optimal politikaya yönelir.</w:t>
      </w:r>
    </w:p>
    <w:p>
      <w:pPr>
        <w:keepNext/>
        <w:spacing w:after="60" w:before="130"/>
        <w:jc w:val="left"/>
      </w:pPr>
      <w:r>
        <w:rPr>
          <w:rFonts w:ascii="Times New Roman" w:cs="Times New Roman" w:eastAsia="Times New Roman" w:hAnsi="Times New Roman"/>
          <w:b/>
          <w:bCs/>
          <w:sz w:val="18"/>
          <w:szCs w:val="18"/>
        </w:rPr>
        <w:t xml:space="preserve">3.2. SARSA (on-policy)</w:t>
      </w:r>
    </w:p>
    <w:p>
      <w:pPr>
        <w:spacing w:after="70" w:line="240" w:lineRule="auto"/>
        <w:jc w:val="both"/>
      </w:pPr>
      <w:r>
        <w:rPr>
          <w:rFonts w:ascii="Times New Roman" w:cs="Times New Roman" w:eastAsia="Times New Roman" w:hAnsi="Times New Roman"/>
          <w:sz w:val="18"/>
          <w:szCs w:val="18"/>
        </w:rPr>
        <w:t xml:space="preserve">SARSA, gerçekte izlenen (s, a, r, s′, a′) beşlisini kullanır:</w:t>
      </w:r>
    </w:p>
    <w:p>
      <w:pPr>
        <w:tabs>
          <w:tab w:val="center" w:pos="2268"/>
          <w:tab w:val="right" w:pos="4536"/>
        </w:tabs>
        <w:spacing w:after="60" w:before="60"/>
      </w:pPr>
      <w:r>
        <w:rPr>
          <w:rFonts w:ascii="Cambria Math" w:cs="Cambria Math" w:eastAsia="Cambria Math" w:hAnsi="Cambria Math"/>
          <w:i/>
          <w:iCs/>
          <w:sz w:val="18"/>
          <w:szCs w:val="18"/>
        </w:rPr>
        <w:t xml:space="preserve">	Q(s,a) ← Q(s,a) + α [ r + γ · Q(s′,a′) − Q(s,a) ]	(2)</w:t>
      </w:r>
    </w:p>
    <w:p>
      <w:pPr>
        <w:spacing w:after="70" w:line="240" w:lineRule="auto"/>
        <w:jc w:val="both"/>
      </w:pPr>
      <w:r>
        <w:rPr>
          <w:rFonts w:ascii="Times New Roman" w:cs="Times New Roman" w:eastAsia="Times New Roman" w:hAnsi="Times New Roman"/>
          <w:sz w:val="18"/>
          <w:szCs w:val="18"/>
        </w:rPr>
        <w:t xml:space="preserve">SARSA, bir sonraki durumda politikanın gerçekten seçtiği eylemi kullandığından on-policy’dir. Keşif sırasında yaşanan riskleri de hesaba kattığı için daha temkinli ve güvenli politikalar öğrenme eğilimindedir.</w:t>
      </w:r>
    </w:p>
    <w:p>
      <w:pPr>
        <w:keepNext/>
        <w:spacing w:after="60" w:before="130"/>
        <w:jc w:val="left"/>
      </w:pPr>
      <w:r>
        <w:rPr>
          <w:rFonts w:ascii="Times New Roman" w:cs="Times New Roman" w:eastAsia="Times New Roman" w:hAnsi="Times New Roman"/>
          <w:b/>
          <w:bCs/>
          <w:sz w:val="18"/>
          <w:szCs w:val="18"/>
        </w:rPr>
        <w:t xml:space="preserve">3.3. Keşif-sömürü ve karşılaştırma çizgileri</w:t>
      </w:r>
    </w:p>
    <w:p>
      <w:pPr>
        <w:spacing w:after="70" w:line="240" w:lineRule="auto"/>
        <w:jc w:val="both"/>
      </w:pPr>
      <w:r>
        <w:rPr>
          <w:rFonts w:ascii="Times New Roman" w:cs="Times New Roman" w:eastAsia="Times New Roman" w:hAnsi="Times New Roman"/>
          <w:sz w:val="18"/>
          <w:szCs w:val="18"/>
        </w:rPr>
        <w:t xml:space="preserve">Keşif-sömürü dengesi epsilon-greedy ile sağlanmıştır: olasılık (1−ε) ile en iyi eylem, ε ile rastgele eylem seçilir. Alt referans olarak her adımda rastgele eylem seçen bir politika, üst referans olarak ise ortamın modeli bilindiğinde BFS ile bulunan en kısa güvenli yol kullanılmıştır. Bu iki çizgi, öğrenmenin kattığı değeri ve elde edilen çözümün optimale yakınlığını ölçmeye yarar.</w:t>
      </w:r>
    </w:p>
    <w:p>
      <w:pPr>
        <w:keepNext/>
        <w:spacing w:after="80" w:before="160"/>
        <w:jc w:val="center"/>
      </w:pPr>
      <w:r>
        <w:rPr>
          <w:rFonts w:ascii="Times New Roman" w:cs="Times New Roman" w:eastAsia="Times New Roman" w:hAnsi="Times New Roman"/>
          <w:b/>
          <w:bCs/>
          <w:sz w:val="22"/>
          <w:szCs w:val="22"/>
        </w:rPr>
        <w:t xml:space="preserve">4. Deneysel Kurulum</w:t>
      </w:r>
    </w:p>
    <w:p>
      <w:pPr>
        <w:spacing w:after="70" w:line="240" w:lineRule="auto"/>
        <w:jc w:val="both"/>
      </w:pPr>
      <w:r>
        <w:rPr>
          <w:rFonts w:ascii="Times New Roman" w:cs="Times New Roman" w:eastAsia="Times New Roman" w:hAnsi="Times New Roman"/>
          <w:sz w:val="18"/>
          <w:szCs w:val="18"/>
        </w:rPr>
        <w:t xml:space="preserve">Tüm kod Python (NumPy, Matplotlib) ile yazılmış olup ortam ve ajanlar tarafımca geliştirilmiştir. Kullanılan hiperparametreler Tablo 2’de listelenmiştir. Sonuçların rastgeleliğe bağlı oynamasını azaltmak için her yöntem 25 bağımsız tohumla eğitilip ortalaması alınmıştır. Değerlendirmede çevrimiçi (eğitim) ödülü, açgözlü (ε = 0) ödül ve epizod başına adım sayısı ölçülmüştür.</w:t>
      </w:r>
    </w:p>
    <w:p>
      <w:pPr>
        <w:spacing w:after="40" w:before="80"/>
        <w:jc w:val="center"/>
      </w:pPr>
      <w:r>
        <w:rPr>
          <w:rFonts w:ascii="Times New Roman" w:cs="Times New Roman" w:eastAsia="Times New Roman" w:hAnsi="Times New Roman"/>
          <w:i/>
          <w:iCs/>
          <w:sz w:val="18"/>
          <w:szCs w:val="18"/>
        </w:rPr>
        <w:t xml:space="preserve">Tablo 2: Eğitim hiperparametreleri.</w:t>
      </w:r>
    </w:p>
    <w:tbl>
      <w:tblPr>
        <w:tblW w:type="dxa" w:w="4536"/>
        <w:jc w:val="center"/>
        <w:tblBorders>
          <w:top w:val="single" w:color="auto" w:sz="4"/>
          <w:left w:val="single" w:color="auto" w:sz="4"/>
          <w:bottom w:val="single" w:color="auto" w:sz="4"/>
          <w:right w:val="single" w:color="auto" w:sz="4"/>
          <w:insideH w:val="single" w:color="auto" w:sz="4"/>
          <w:insideV w:val="single" w:color="auto" w:sz="4"/>
        </w:tblBorders>
      </w:tblPr>
      <w:tblGrid>
        <w:gridCol w:w="2936"/>
        <w:gridCol w:w="1600"/>
      </w:tblGrid>
      <w:tr>
        <w:trPr>
          <w:tblHeader/>
        </w:trPr>
        <w:tc>
          <w:tcPr>
            <w:tcW w:type="dxa" w:w="29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bCs/>
                <w:sz w:val="16"/>
                <w:szCs w:val="16"/>
              </w:rPr>
              <w:t xml:space="preserve">Parametre</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bCs/>
                <w:sz w:val="16"/>
                <w:szCs w:val="16"/>
              </w:rPr>
              <w:t xml:space="preserve">Değer</w:t>
            </w:r>
          </w:p>
        </w:tc>
      </w:tr>
      <w:tr>
        <w:trPr>
          <w:tblHeader w:val="false"/>
        </w:trPr>
        <w:tc>
          <w:tcPr>
            <w:tcW w:type="dxa" w:w="29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Öğrenme oranı (α)</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0,5</w:t>
            </w:r>
          </w:p>
        </w:tc>
      </w:tr>
      <w:tr>
        <w:trPr>
          <w:tblHeader w:val="false"/>
        </w:trPr>
        <w:tc>
          <w:tcPr>
            <w:tcW w:type="dxa" w:w="29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İndirim faktörü (γ)</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0,95</w:t>
            </w:r>
          </w:p>
        </w:tc>
      </w:tr>
      <w:tr>
        <w:trPr>
          <w:tblHeader w:val="false"/>
        </w:trPr>
        <w:tc>
          <w:tcPr>
            <w:tcW w:type="dxa" w:w="29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Keşif oranı (ε)</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0,1</w:t>
            </w:r>
          </w:p>
        </w:tc>
      </w:tr>
      <w:tr>
        <w:trPr>
          <w:tblHeader w:val="false"/>
        </w:trPr>
        <w:tc>
          <w:tcPr>
            <w:tcW w:type="dxa" w:w="29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Epizod sayısı</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500</w:t>
            </w:r>
          </w:p>
        </w:tc>
      </w:tr>
      <w:tr>
        <w:trPr>
          <w:tblHeader w:val="false"/>
        </w:trPr>
        <w:tc>
          <w:tcPr>
            <w:tcW w:type="dxa" w:w="29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Tohum sayısı</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25</w:t>
            </w:r>
          </w:p>
        </w:tc>
      </w:tr>
    </w:tbl>
    <w:p>
      <w:pPr>
        <w:keepNext/>
        <w:spacing w:after="80" w:before="160"/>
        <w:jc w:val="center"/>
      </w:pPr>
      <w:r>
        <w:rPr>
          <w:rFonts w:ascii="Times New Roman" w:cs="Times New Roman" w:eastAsia="Times New Roman" w:hAnsi="Times New Roman"/>
          <w:b/>
          <w:bCs/>
          <w:sz w:val="22"/>
          <w:szCs w:val="22"/>
        </w:rPr>
        <w:t xml:space="preserve">5. Sonuçlar</w:t>
      </w:r>
    </w:p>
    <w:p>
      <w:pPr>
        <w:keepNext/>
        <w:spacing w:after="60" w:before="130"/>
        <w:jc w:val="left"/>
      </w:pPr>
      <w:r>
        <w:rPr>
          <w:rFonts w:ascii="Times New Roman" w:cs="Times New Roman" w:eastAsia="Times New Roman" w:hAnsi="Times New Roman"/>
          <w:b/>
          <w:bCs/>
          <w:sz w:val="18"/>
          <w:szCs w:val="18"/>
        </w:rPr>
        <w:t xml:space="preserve">5.1. Öğrenme eğrileri</w:t>
      </w:r>
    </w:p>
    <w:p>
      <w:pPr>
        <w:spacing w:after="70" w:line="240" w:lineRule="auto"/>
        <w:jc w:val="both"/>
      </w:pPr>
      <w:r>
        <w:rPr>
          <w:rFonts w:ascii="Times New Roman" w:cs="Times New Roman" w:eastAsia="Times New Roman" w:hAnsi="Times New Roman"/>
          <w:sz w:val="18"/>
          <w:szCs w:val="18"/>
        </w:rPr>
        <w:t xml:space="preserve">Şekil 2, epizod başına toplam ödülün eğitim boyunca değişimini gösterir. Her iki yöntem de ilk birkaç on epizodda hızla yakınsar; çevrimiçi ödülde SARSA, Q-Learning’in üzerindedir. Bunun nedeni, Q-Learning’in açgözlü politikasının lav kenarından geçmesi ve ε-keşif sırasında zaman zaman lava düşerek −100 ceza almasıdır.</w:t>
      </w:r>
    </w:p>
    <w:p>
      <w:pPr>
        <w:spacing w:after="30" w:before="80"/>
        <w:jc w:val="center"/>
      </w:pPr>
      <w:r>
        <w:drawing>
          <wp:inline distT="0" distB="0" distL="0" distR="0">
            <wp:extent cx="2381250" cy="1485900"/>
            <wp:effectExtent t="0" r="0" b="0" l="0"/>
            <wp:docPr id="1" name="02_ogrenme_egrileri.png" descr="Şekil 2: Öğrenme eğrileri (25 tohum ortalaması)." title="Şekil 2: Öğrenme eğrileri (25 tohum ortala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1485900"/>
                    </a:xfrm>
                    <a:prstGeom prst="rect">
                      <a:avLst/>
                    </a:prstGeom>
                  </pic:spPr>
                </pic:pic>
              </a:graphicData>
            </a:graphic>
          </wp:inline>
        </w:drawing>
      </w:r>
    </w:p>
    <w:p>
      <w:pPr>
        <w:spacing w:after="90"/>
        <w:jc w:val="center"/>
      </w:pPr>
      <w:r>
        <w:rPr>
          <w:rFonts w:ascii="Times New Roman" w:cs="Times New Roman" w:eastAsia="Times New Roman" w:hAnsi="Times New Roman"/>
          <w:sz w:val="16"/>
          <w:szCs w:val="16"/>
        </w:rPr>
        <w:t xml:space="preserve">Şekil 2: Öğrenme eğrileri (25 tohum ortalaması).</w:t>
      </w:r>
    </w:p>
    <w:p>
      <w:pPr>
        <w:keepNext/>
        <w:spacing w:after="60" w:before="130"/>
        <w:jc w:val="left"/>
      </w:pPr>
      <w:r>
        <w:rPr>
          <w:rFonts w:ascii="Times New Roman" w:cs="Times New Roman" w:eastAsia="Times New Roman" w:hAnsi="Times New Roman"/>
          <w:b/>
          <w:bCs/>
          <w:sz w:val="18"/>
          <w:szCs w:val="18"/>
        </w:rPr>
        <w:t xml:space="preserve">5.2. Öğrenilen politikalar ve rotalar</w:t>
      </w:r>
    </w:p>
    <w:p>
      <w:pPr>
        <w:spacing w:after="70" w:line="240" w:lineRule="auto"/>
        <w:jc w:val="both"/>
      </w:pPr>
      <w:r>
        <w:rPr>
          <w:rFonts w:ascii="Times New Roman" w:cs="Times New Roman" w:eastAsia="Times New Roman" w:hAnsi="Times New Roman"/>
          <w:sz w:val="18"/>
          <w:szCs w:val="18"/>
        </w:rPr>
        <w:t xml:space="preserve">Eğitilen ajanların açgözlü politikaları Şekil 3’te karşılaştırılmıştır. Q-Learning, lavın hemen üstünden giden 11 adımlık en kısa (riskli) yolu öğrenmiştir; bu yol, modelin bilindiği durumda BFS’in bulduğu optimal yolla birebir aynıdır. SARSA ise lavdan uzaklaşan 15 adımlık güvenli yolu öğrenmiştir.</w:t>
      </w:r>
    </w:p>
    <w:p>
      <w:pPr>
        <w:sectPr>
          <w:type w:val="continuous"/>
          <w:pgSz w:w="11906" w:h="16838" w:orient="portrait"/>
          <w:pgMar w:top="1587" w:right="1134" w:bottom="1871" w:left="1134" w:header="708" w:footer="708" w:gutter="0"/>
          <w:pgNumType/>
          <w:cols w:space="566" w:num="2" w:sep="false" w:equalWidth="true"/>
          <w:docGrid w:linePitch="360"/>
        </w:sectPr>
      </w:pPr>
    </w:p>
    <w:p>
      <w:pPr>
        <w:spacing w:after="30" w:before="40"/>
        <w:jc w:val="center"/>
      </w:pPr>
      <w:r>
        <w:drawing>
          <wp:inline distT="0" distB="0" distL="0" distR="0">
            <wp:extent cx="5715000" cy="1847850"/>
            <wp:effectExtent t="0" r="0" b="0" l="0"/>
            <wp:docPr id="1" name="04_ogrenilen_rotalar.png" descr="Şekil 3: Öğrenilen açgözlü politikalar ve rotalar. Sol: Q-Learning (riskli, kısa). Sağ: SARSA (güvenli, uzun)." title="Şekil 3: Öğrenilen açgözlü politikalar ve rotalar. Sol: Q-Learning (riskli, kısa). Sağ: SARSA (güvenli, uz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47850"/>
                    </a:xfrm>
                    <a:prstGeom prst="rect">
                      <a:avLst/>
                    </a:prstGeom>
                  </pic:spPr>
                </pic:pic>
              </a:graphicData>
            </a:graphic>
          </wp:inline>
        </w:drawing>
      </w:r>
    </w:p>
    <w:p>
      <w:pPr>
        <w:spacing w:after="90"/>
        <w:jc w:val="center"/>
      </w:pPr>
      <w:r>
        <w:rPr>
          <w:rFonts w:ascii="Times New Roman" w:cs="Times New Roman" w:eastAsia="Times New Roman" w:hAnsi="Times New Roman"/>
          <w:sz w:val="16"/>
          <w:szCs w:val="16"/>
        </w:rPr>
        <w:t xml:space="preserve">Şekil 3: Öğrenilen açgözlü politikalar ve rotalar. Sol: Q-Learning (riskli, kısa). Sağ: SARSA (güvenli, uzun).</w:t>
      </w:r>
    </w:p>
    <w:p>
      <w:pPr>
        <w:sectPr>
          <w:type w:val="continuous"/>
          <w:pgSz w:w="11906" w:h="16838" w:orient="portrait"/>
          <w:pgMar w:top="1587" w:right="1134" w:bottom="1871" w:left="1134" w:header="708" w:footer="708" w:gutter="0"/>
          <w:pgNumType/>
          <w:cols w:num="1"/>
          <w:docGrid w:linePitch="360"/>
        </w:sectPr>
      </w:pPr>
    </w:p>
    <w:p>
      <w:pPr>
        <w:spacing w:after="70" w:line="240" w:lineRule="auto"/>
        <w:jc w:val="both"/>
      </w:pPr>
      <w:r>
        <w:rPr>
          <w:rFonts w:ascii="Times New Roman" w:cs="Times New Roman" w:eastAsia="Times New Roman" w:hAnsi="Times New Roman"/>
          <w:sz w:val="18"/>
          <w:szCs w:val="18"/>
        </w:rPr>
        <w:t xml:space="preserve">Bu ayrışma, on-policy/off-policy farkının görsel bir kanıtıdır: aynı ortamda, aynı parametrelerle eğitilen iki ajan farklı politikalar benimser. Q-Learning hızı, SARSA güvenliği önceler.</w:t>
      </w:r>
    </w:p>
    <w:p>
      <w:pPr>
        <w:keepNext/>
        <w:spacing w:after="60" w:before="130"/>
        <w:jc w:val="left"/>
      </w:pPr>
      <w:r>
        <w:rPr>
          <w:rFonts w:ascii="Times New Roman" w:cs="Times New Roman" w:eastAsia="Times New Roman" w:hAnsi="Times New Roman"/>
          <w:b/>
          <w:bCs/>
          <w:sz w:val="18"/>
          <w:szCs w:val="18"/>
        </w:rPr>
        <w:t xml:space="preserve">5.3. Eğitim aşaması ve yakınsama</w:t>
      </w:r>
    </w:p>
    <w:p>
      <w:pPr>
        <w:spacing w:after="70" w:line="240" w:lineRule="auto"/>
        <w:jc w:val="both"/>
      </w:pPr>
      <w:r>
        <w:rPr>
          <w:rFonts w:ascii="Times New Roman" w:cs="Times New Roman" w:eastAsia="Times New Roman" w:hAnsi="Times New Roman"/>
          <w:sz w:val="18"/>
          <w:szCs w:val="18"/>
        </w:rPr>
        <w:t xml:space="preserve">Modelin nasıl öğrendiğini görmek için açgözlü politikayı eğitim boyunca her epizodda değerlendirdim. Şekil 4, Q-Learning’in öğrendiği rotanın farklı aşamalardaki hâlini gösterir: eğitimsiz ajan hedefe hiç ulaşamaz (ödül ≈ −200), birkaç epizod sonra hâlâ doğru rotayı bulamaz, ancak yaklaşık 40. epizoddan itibaren optimal rotayı bulup korur.</w:t>
      </w:r>
    </w:p>
    <w:p>
      <w:pPr>
        <w:sectPr>
          <w:type w:val="continuous"/>
          <w:pgSz w:w="11906" w:h="16838" w:orient="portrait"/>
          <w:pgMar w:top="1587" w:right="1134" w:bottom="1871" w:left="1134" w:header="708" w:footer="708" w:gutter="0"/>
          <w:pgNumType/>
          <w:cols w:space="566" w:num="2" w:sep="false" w:equalWidth="true"/>
          <w:docGrid w:linePitch="360"/>
        </w:sectPr>
      </w:pPr>
    </w:p>
    <w:p>
      <w:pPr>
        <w:spacing w:after="30" w:before="40"/>
        <w:jc w:val="center"/>
      </w:pPr>
      <w:r>
        <w:drawing>
          <wp:inline distT="0" distB="0" distL="0" distR="0">
            <wp:extent cx="5715000" cy="2933700"/>
            <wp:effectExtent t="0" r="0" b="0" l="0"/>
            <wp:docPr id="1" name="06_egitim_asamalari.png" descr="Şekil 4: Q-Learning’in açgözlü rotasının eğitim boyunca gelişimi (eğitimsiz → 500. epizod)." title="Şekil 4: Q-Learning’in açgözlü rotasının eğitim boyunca gelişimi (eğitimsiz → 500. epiz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33700"/>
                    </a:xfrm>
                    <a:prstGeom prst="rect">
                      <a:avLst/>
                    </a:prstGeom>
                  </pic:spPr>
                </pic:pic>
              </a:graphicData>
            </a:graphic>
          </wp:inline>
        </w:drawing>
      </w:r>
    </w:p>
    <w:p>
      <w:pPr>
        <w:spacing w:after="90"/>
        <w:jc w:val="center"/>
      </w:pPr>
      <w:r>
        <w:rPr>
          <w:rFonts w:ascii="Times New Roman" w:cs="Times New Roman" w:eastAsia="Times New Roman" w:hAnsi="Times New Roman"/>
          <w:sz w:val="16"/>
          <w:szCs w:val="16"/>
        </w:rPr>
        <w:t xml:space="preserve">Şekil 4: Q-Learning’in açgözlü rotasının eğitim boyunca gelişimi (eğitimsiz → 500. epizod).</w:t>
      </w:r>
    </w:p>
    <w:p>
      <w:pPr>
        <w:sectPr>
          <w:type w:val="continuous"/>
          <w:pgSz w:w="11906" w:h="16838" w:orient="portrait"/>
          <w:pgMar w:top="1587" w:right="1134" w:bottom="1871" w:left="1134" w:header="708" w:footer="708" w:gutter="0"/>
          <w:pgNumType/>
          <w:cols w:num="1"/>
          <w:docGrid w:linePitch="360"/>
        </w:sectPr>
      </w:pPr>
    </w:p>
    <w:p>
      <w:pPr>
        <w:spacing w:after="70" w:line="240" w:lineRule="auto"/>
        <w:jc w:val="both"/>
      </w:pPr>
      <w:r>
        <w:rPr>
          <w:rFonts w:ascii="Times New Roman" w:cs="Times New Roman" w:eastAsia="Times New Roman" w:hAnsi="Times New Roman"/>
          <w:sz w:val="18"/>
          <w:szCs w:val="18"/>
        </w:rPr>
        <w:t xml:space="preserve">Yirmi tohumun ortancası alındığında, Q-Learning yaklaşık 20. epizodda optimal sonuca, SARSA ise yaklaşık 26. epizodda güvenli sonuca ulaşıp kararlı hâle gelir. Q-Learning’in açgözlü politikası daha hızlı ve kararlı yakınsar; bu, off-policy yöntemin optimal politikayı doğrudan hedeflemesinin bir sonucudur.</w:t>
      </w:r>
    </w:p>
    <w:p>
      <w:pPr>
        <w:keepNext/>
        <w:spacing w:after="60" w:before="130"/>
        <w:jc w:val="left"/>
      </w:pPr>
      <w:r>
        <w:rPr>
          <w:rFonts w:ascii="Times New Roman" w:cs="Times New Roman" w:eastAsia="Times New Roman" w:hAnsi="Times New Roman"/>
          <w:b/>
          <w:bCs/>
          <w:sz w:val="18"/>
          <w:szCs w:val="18"/>
        </w:rPr>
        <w:t xml:space="preserve">5.4. Keşif oranının (ε) etkisi</w:t>
      </w:r>
    </w:p>
    <w:p>
      <w:pPr>
        <w:spacing w:after="70" w:line="240" w:lineRule="auto"/>
        <w:jc w:val="both"/>
      </w:pPr>
      <w:r>
        <w:rPr>
          <w:rFonts w:ascii="Times New Roman" w:cs="Times New Roman" w:eastAsia="Times New Roman" w:hAnsi="Times New Roman"/>
          <w:sz w:val="18"/>
          <w:szCs w:val="18"/>
        </w:rPr>
        <w:t xml:space="preserve">Keşif oranı ε’nin etkisini bir duyarlılık analiziyle inceledim (Şekil 5). ε büyüdükçe ajan daha sık rastgele hareket eder, lav kenarında daha çok düşer; bu nedenle çevrimiçi ödül hızla düşer ve epizod başına adım sayısı artar. Örneğin Q-Learning’in çevrimiçi ödülü ε = 0,01’de +87 iken ε = 0,30’da −47’ye iner; adım sayısı 11,5’ten 24,8’e çıkar. Buna karşılık öğrenilen açgözlü politika ε’den büyük ölçüde bağımsız olarak optimal kalır.</w:t>
      </w:r>
    </w:p>
    <w:p>
      <w:pPr>
        <w:sectPr>
          <w:type w:val="continuous"/>
          <w:pgSz w:w="11906" w:h="16838" w:orient="portrait"/>
          <w:pgMar w:top="1587" w:right="1134" w:bottom="1871" w:left="1134" w:header="708" w:footer="708" w:gutter="0"/>
          <w:pgNumType/>
          <w:cols w:space="566" w:num="2" w:sep="false" w:equalWidth="true"/>
          <w:docGrid w:linePitch="360"/>
        </w:sectPr>
      </w:pPr>
    </w:p>
    <w:p>
      <w:pPr>
        <w:spacing w:after="30" w:before="40"/>
        <w:jc w:val="center"/>
      </w:pPr>
      <w:r>
        <w:drawing>
          <wp:inline distT="0" distB="0" distL="0" distR="0">
            <wp:extent cx="5715000" cy="2200275"/>
            <wp:effectExtent t="0" r="0" b="0" l="0"/>
            <wp:docPr id="1" name="08_epsilon.png" descr="Şekil 5: ε keşif oranının çevrimiçi ödüle (sol) ve adım sayısına (sağ) etkisi." title="Şekil 5: ε keşif oranının çevrimiçi ödüle (sol) ve adım sayısına (sağ) etk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00275"/>
                    </a:xfrm>
                    <a:prstGeom prst="rect">
                      <a:avLst/>
                    </a:prstGeom>
                  </pic:spPr>
                </pic:pic>
              </a:graphicData>
            </a:graphic>
          </wp:inline>
        </w:drawing>
      </w:r>
    </w:p>
    <w:p>
      <w:pPr>
        <w:spacing w:after="90"/>
        <w:jc w:val="center"/>
      </w:pPr>
      <w:r>
        <w:rPr>
          <w:rFonts w:ascii="Times New Roman" w:cs="Times New Roman" w:eastAsia="Times New Roman" w:hAnsi="Times New Roman"/>
          <w:sz w:val="16"/>
          <w:szCs w:val="16"/>
        </w:rPr>
        <w:t xml:space="preserve">Şekil 5: ε keşif oranının çevrimiçi ödüle (sol) ve adım sayısına (sağ) etkisi.</w:t>
      </w:r>
    </w:p>
    <w:p>
      <w:pPr>
        <w:sectPr>
          <w:type w:val="continuous"/>
          <w:pgSz w:w="11906" w:h="16838" w:orient="portrait"/>
          <w:pgMar w:top="1587" w:right="1134" w:bottom="1871" w:left="1134" w:header="708" w:footer="708" w:gutter="0"/>
          <w:pgNumType/>
          <w:cols w:num="1"/>
          <w:docGrid w:linePitch="360"/>
        </w:sectPr>
      </w:pPr>
    </w:p>
    <w:p>
      <w:pPr>
        <w:spacing w:after="70" w:line="240" w:lineRule="auto"/>
        <w:jc w:val="both"/>
      </w:pPr>
      <w:r>
        <w:rPr>
          <w:rFonts w:ascii="Times New Roman" w:cs="Times New Roman" w:eastAsia="Times New Roman" w:hAnsi="Times New Roman"/>
          <w:sz w:val="18"/>
          <w:szCs w:val="18"/>
        </w:rPr>
        <w:t xml:space="preserve">Dikkat çekici olarak, yüksek ε değerlerinde SARSA, Q-Learning’den belirgin biçimde daha az bozulur (ε = 0,30’da çevrimiçi ödül SARSA için +33, Q-Learning için −47); çünkü SARSA keşif riskini hesaba katıp güvenli rotayı izler. Bir epizoddaki adım sayısının; epizodun hedefte veya adım sınırında bitmesine, lava düşüşlerinin yolu uzatmasına, ε-keşfin yarattığı sapmalara ve öğrenilen rotanın uzunluğuna bağlı olduğunu da gözlemledim.</w:t>
      </w:r>
    </w:p>
    <w:p>
      <w:pPr>
        <w:keepNext/>
        <w:spacing w:after="60" w:before="130"/>
        <w:jc w:val="left"/>
      </w:pPr>
      <w:r>
        <w:rPr>
          <w:rFonts w:ascii="Times New Roman" w:cs="Times New Roman" w:eastAsia="Times New Roman" w:hAnsi="Times New Roman"/>
          <w:b/>
          <w:bCs/>
          <w:sz w:val="18"/>
          <w:szCs w:val="18"/>
        </w:rPr>
        <w:t xml:space="preserve">5.5. Nicel özet</w:t>
      </w:r>
    </w:p>
    <w:p>
      <w:pPr>
        <w:spacing w:after="70" w:line="240" w:lineRule="auto"/>
        <w:jc w:val="both"/>
      </w:pPr>
      <w:r>
        <w:rPr>
          <w:rFonts w:ascii="Times New Roman" w:cs="Times New Roman" w:eastAsia="Times New Roman" w:hAnsi="Times New Roman"/>
          <w:sz w:val="18"/>
          <w:szCs w:val="18"/>
        </w:rPr>
        <w:t xml:space="preserve">Tüm yöntemlerin nicel sonuçları Tablo 3’te özetlenmiştir. Açgözlü değerlendirmede Q-Learning en yüksek ödülü ve en kısa yolu (BFS ile aynı) elde ederken, çevrimiçi performansta SARSA öne geçer. Üç RL ölçütü de rastgele politikadan (≈ −3734) çok daha iyidir.</w:t>
      </w:r>
    </w:p>
    <w:p>
      <w:pPr>
        <w:spacing w:after="40" w:before="80"/>
        <w:jc w:val="center"/>
      </w:pPr>
      <w:r>
        <w:rPr>
          <w:rFonts w:ascii="Times New Roman" w:cs="Times New Roman" w:eastAsia="Times New Roman" w:hAnsi="Times New Roman"/>
          <w:i/>
          <w:iCs/>
          <w:sz w:val="18"/>
          <w:szCs w:val="18"/>
        </w:rPr>
        <w:t xml:space="preserve">Tablo 3: Yöntemlerin nicel karşılaştırması.</w:t>
      </w:r>
    </w:p>
    <w:tbl>
      <w:tblPr>
        <w:tblW w:type="dxa" w:w="453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36"/>
      </w:tblGrid>
      <w:tr>
        <w:trPr>
          <w:tblHeader/>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bCs/>
                <w:sz w:val="16"/>
                <w:szCs w:val="16"/>
              </w:rPr>
              <w:t xml:space="preserve">Yöntem</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bCs/>
                <w:sz w:val="16"/>
                <w:szCs w:val="16"/>
              </w:rPr>
              <w:t xml:space="preserve">Açgözlü (adım)</w:t>
            </w:r>
          </w:p>
        </w:tc>
        <w:tc>
          <w:tcPr>
            <w:tcW w:type="dxa" w:w="11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bCs/>
                <w:sz w:val="16"/>
                <w:szCs w:val="16"/>
              </w:rPr>
              <w:t xml:space="preserve">Çevrimiçi</w:t>
            </w:r>
          </w:p>
        </w:tc>
      </w:tr>
      <w:tr>
        <w:trPr>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Q-Learning</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90 (11)</w:t>
            </w:r>
          </w:p>
        </w:tc>
        <w:tc>
          <w:tcPr>
            <w:tcW w:type="dxa" w:w="11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64,0</w:t>
            </w:r>
          </w:p>
        </w:tc>
      </w:tr>
      <w:tr>
        <w:trPr>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SARSA</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86 (15)</w:t>
            </w:r>
          </w:p>
        </w:tc>
        <w:tc>
          <w:tcPr>
            <w:tcW w:type="dxa" w:w="11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74,2</w:t>
            </w:r>
          </w:p>
        </w:tc>
      </w:tr>
      <w:tr>
        <w:trPr>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Rastgele</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 −3734</w:t>
            </w:r>
          </w:p>
        </w:tc>
        <w:tc>
          <w:tcPr>
            <w:tcW w:type="dxa" w:w="11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w:t>
            </w:r>
          </w:p>
        </w:tc>
      </w:tr>
      <w:tr>
        <w:trPr>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BFS</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90 (11)</w:t>
            </w:r>
          </w:p>
        </w:tc>
        <w:tc>
          <w:tcPr>
            <w:tcW w:type="dxa" w:w="11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line="220" w:lineRule="auto"/>
              <w:jc w:val="center"/>
            </w:pPr>
            <w:r>
              <w:rPr>
                <w:rFonts w:ascii="Times New Roman" w:cs="Times New Roman" w:eastAsia="Times New Roman" w:hAnsi="Times New Roman"/>
                <w:b w:val="false"/>
                <w:bCs w:val="false"/>
                <w:sz w:val="16"/>
                <w:szCs w:val="16"/>
              </w:rPr>
              <w:t xml:space="preserve">—</w:t>
            </w:r>
          </w:p>
        </w:tc>
      </w:tr>
    </w:tbl>
    <w:p>
      <w:pPr>
        <w:keepNext/>
        <w:spacing w:after="80" w:before="160"/>
        <w:jc w:val="center"/>
      </w:pPr>
      <w:r>
        <w:rPr>
          <w:rFonts w:ascii="Times New Roman" w:cs="Times New Roman" w:eastAsia="Times New Roman" w:hAnsi="Times New Roman"/>
          <w:b/>
          <w:bCs/>
          <w:sz w:val="22"/>
          <w:szCs w:val="22"/>
        </w:rPr>
        <w:t xml:space="preserve">6. Tartışma</w:t>
      </w:r>
    </w:p>
    <w:p>
      <w:pPr>
        <w:spacing w:after="70" w:line="240" w:lineRule="auto"/>
        <w:jc w:val="both"/>
      </w:pPr>
      <w:r>
        <w:rPr>
          <w:rFonts w:ascii="Times New Roman" w:cs="Times New Roman" w:eastAsia="Times New Roman" w:hAnsi="Times New Roman"/>
          <w:sz w:val="18"/>
          <w:szCs w:val="18"/>
        </w:rPr>
        <w:t xml:space="preserve">Sonuçlar, on-policy ve off-policy öğrenme arasındaki farkın yalnızca kuramsal olmadığını, somut bir davranış farkına yol açtığını gösterir. Optimalliğin kritik olduğu ve keşif sırasında hata yapmanın bir sakıncasının bulunmadığı (örneğin bir benzetim) durumlarda Q-Learning uygundur. Buna karşılık eğitim sırasındaki hataların gerçek bir maliyeti olduğu durumlarda — örneğin fiziksel bir robot — SARSA’nın öğrendiği güvenli politika tercih edilir. Ayrıca Q-Learning’in modeli hiç bilmeden, yalnızca deneyimle BFS’in optimal yolunu keşfetmesi, model-tabansız PÖ’nün gücünü ortaya koyar.</w:t>
      </w:r>
    </w:p>
    <w:p>
      <w:pPr>
        <w:spacing w:after="70" w:line="240" w:lineRule="auto"/>
        <w:jc w:val="both"/>
      </w:pPr>
      <w:r>
        <w:rPr>
          <w:rFonts w:ascii="Times New Roman" w:cs="Times New Roman" w:eastAsia="Times New Roman" w:hAnsi="Times New Roman"/>
          <w:sz w:val="18"/>
          <w:szCs w:val="18"/>
        </w:rPr>
        <w:t xml:space="preserve">Eğitim açısından bu çalışma, soyut bir kuramsal farkı (on-policy/off-policy) görsel ve ölçülebilir bir sonuca dönüştürmesi bakımından öğreticidir. Aynı ortamda, aynı hiperparametrelerle eğitilen iki ajandan birinin riskli kısa yolu, diğerinin güvenli uzun yolu benimsemesi, yöntem seçiminin probleme bağlı olduğunu açıkça gösterir. Ödül yapısının (özellikle lavın −100 cezasının) bu ayrışmadaki belirleyici rolü de gözlemlenmiştir.</w:t>
      </w:r>
    </w:p>
    <w:p>
      <w:pPr>
        <w:spacing w:after="70" w:line="240" w:lineRule="auto"/>
        <w:jc w:val="both"/>
      </w:pPr>
      <w:r>
        <w:rPr>
          <w:rFonts w:ascii="Times New Roman" w:cs="Times New Roman" w:eastAsia="Times New Roman" w:hAnsi="Times New Roman"/>
          <w:sz w:val="18"/>
          <w:szCs w:val="18"/>
        </w:rPr>
        <w:t xml:space="preserve">Çalışmanın bazı sınırlılıkları vardır: ortam deterministiktir ve görece küçüktür; tablolu yöntem bu boyutta yeterli olsa da durum sayısı büyüdüğünde ölçeklenmez; keşif oranı sabit tutulmuştur.</w:t>
      </w:r>
    </w:p>
    <w:p>
      <w:pPr>
        <w:keepNext/>
        <w:spacing w:after="80" w:before="160"/>
        <w:jc w:val="center"/>
      </w:pPr>
      <w:r>
        <w:rPr>
          <w:rFonts w:ascii="Times New Roman" w:cs="Times New Roman" w:eastAsia="Times New Roman" w:hAnsi="Times New Roman"/>
          <w:b/>
          <w:bCs/>
          <w:sz w:val="22"/>
          <w:szCs w:val="22"/>
        </w:rPr>
        <w:t xml:space="preserve">7. Sonuçlar ve Gelecek Çalışmalar</w:t>
      </w:r>
    </w:p>
    <w:p>
      <w:pPr>
        <w:spacing w:after="70" w:line="240" w:lineRule="auto"/>
        <w:jc w:val="both"/>
      </w:pPr>
      <w:r>
        <w:rPr>
          <w:rFonts w:ascii="Times New Roman" w:cs="Times New Roman" w:eastAsia="Times New Roman" w:hAnsi="Times New Roman"/>
          <w:sz w:val="18"/>
          <w:szCs w:val="18"/>
        </w:rPr>
        <w:t xml:space="preserve">Kendi tasarladığım Lav Tarlası ortamında Q-Learning ve SARSA’yı uygulayıp karşılaştırdım. Q-Learning açgözlü politikada optimal (kısa) yolu, SARSA ise güvenli (uzun) yolu öğrenmiş; böylece on-policy ile off-policy öğrenme arasındaki fark somut biçimde gösterilmiştir. Eğitimin yaklaşık 20-26 epizodda kararlı hâle geldiğini ve keşif oranının çevrimiçi performansı belirgin biçimde etkilediğini gözlemledim. Gelecek çalışmalarda stokastik geçişler, ε’yi zamanla azaltan keşif çizelgeleri ve fonksiyon yaklaşımı / derin Q-ağı yöntemleri incelenebilir.</w:t>
      </w:r>
    </w:p>
    <w:p>
      <w:pPr>
        <w:keepNext/>
        <w:spacing w:after="80" w:before="160"/>
        <w:jc w:val="center"/>
      </w:pPr>
      <w:r>
        <w:rPr>
          <w:rFonts w:ascii="Times New Roman" w:cs="Times New Roman" w:eastAsia="Times New Roman" w:hAnsi="Times New Roman"/>
          <w:b/>
          <w:bCs/>
          <w:sz w:val="22"/>
          <w:szCs w:val="22"/>
        </w:rPr>
        <w:t xml:space="preserve">Kaynakça</w:t>
      </w:r>
    </w:p>
    <w:p>
      <w:pPr>
        <w:spacing w:after="40"/>
        <w:jc w:val="both"/>
      </w:pPr>
      <w:r>
        <w:rPr>
          <w:rFonts w:ascii="Times New Roman" w:cs="Times New Roman" w:eastAsia="Times New Roman" w:hAnsi="Times New Roman"/>
          <w:sz w:val="16"/>
          <w:szCs w:val="16"/>
        </w:rPr>
        <w:t xml:space="preserve">[1] R. S. Sutton ve A. G. Barto, </w:t>
      </w:r>
      <w:r>
        <w:rPr>
          <w:rFonts w:ascii="Times New Roman" w:cs="Times New Roman" w:eastAsia="Times New Roman" w:hAnsi="Times New Roman"/>
          <w:i/>
          <w:iCs/>
          <w:sz w:val="16"/>
          <w:szCs w:val="16"/>
        </w:rPr>
        <w:t xml:space="preserve">Reinforcement Learning: An Introduction</w:t>
      </w:r>
      <w:r>
        <w:rPr>
          <w:rFonts w:ascii="Times New Roman" w:cs="Times New Roman" w:eastAsia="Times New Roman" w:hAnsi="Times New Roman"/>
          <w:sz w:val="16"/>
          <w:szCs w:val="16"/>
        </w:rPr>
        <w:t xml:space="preserve">, 2. baskı, MIT Press, 2018.</w:t>
      </w:r>
    </w:p>
    <w:p>
      <w:pPr>
        <w:spacing w:after="40"/>
        <w:jc w:val="both"/>
      </w:pPr>
      <w:r>
        <w:rPr>
          <w:rFonts w:ascii="Times New Roman" w:cs="Times New Roman" w:eastAsia="Times New Roman" w:hAnsi="Times New Roman"/>
          <w:sz w:val="16"/>
          <w:szCs w:val="16"/>
        </w:rPr>
        <w:t xml:space="preserve">[2] C. J. C. H. Watkins ve P. Dayan, “Q-learning,” </w:t>
      </w:r>
      <w:r>
        <w:rPr>
          <w:rFonts w:ascii="Times New Roman" w:cs="Times New Roman" w:eastAsia="Times New Roman" w:hAnsi="Times New Roman"/>
          <w:i/>
          <w:iCs/>
          <w:sz w:val="16"/>
          <w:szCs w:val="16"/>
        </w:rPr>
        <w:t xml:space="preserve">Machine Learning</w:t>
      </w:r>
      <w:r>
        <w:rPr>
          <w:rFonts w:ascii="Times New Roman" w:cs="Times New Roman" w:eastAsia="Times New Roman" w:hAnsi="Times New Roman"/>
          <w:sz w:val="16"/>
          <w:szCs w:val="16"/>
        </w:rPr>
        <w:t xml:space="preserve">, Cilt 8, No 3-4, s. 279-292, 1992.</w:t>
      </w:r>
    </w:p>
    <w:p>
      <w:pPr>
        <w:spacing w:after="40"/>
        <w:jc w:val="both"/>
      </w:pPr>
      <w:r>
        <w:rPr>
          <w:rFonts w:ascii="Times New Roman" w:cs="Times New Roman" w:eastAsia="Times New Roman" w:hAnsi="Times New Roman"/>
          <w:sz w:val="16"/>
          <w:szCs w:val="16"/>
        </w:rPr>
        <w:t xml:space="preserve">[3] G. A. Rummery ve M. Niranjan, “On-line Q-learning using connectionist systems,” Teknik Rapor CUED/F-INFENG/TR 166, Cambridge Üniversitesi, 1994.</w:t>
      </w:r>
    </w:p>
    <w:p>
      <w:pPr>
        <w:spacing w:after="70" w:line="240" w:lineRule="auto"/>
        <w:jc w:val="both"/>
      </w:pPr>
      <w:r>
        <w:rPr>
          <w:rFonts w:ascii="Times New Roman" w:cs="Times New Roman" w:eastAsia="Times New Roman" w:hAnsi="Times New Roman"/>
          <w:sz w:val="16"/>
          <w:szCs w:val="16"/>
        </w:rPr>
        <w:t xml:space="preserve">[4] İ. Tunç, “Pekiştirmeli Öğrenmeye Giriş — Ders Notları (Hafta 3-5),” Bursa Teknik Üniversitesi, 2026.</w:t>
      </w:r>
    </w:p>
    <w:sectPr>
      <w:type w:val="continuous"/>
      <w:pgSz w:w="11906" w:h="16838" w:orient="portrait"/>
      <w:pgMar w:top="1587" w:right="1134" w:bottom="1871" w:left="1134" w:header="708" w:footer="708" w:gutter="0"/>
      <w:pgNumType/>
      <w:cols w:space="566"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f665fbeaf0b3b77d90a6755bcfe63950271d0c.png"/><Relationship Id="rId8" Type="http://schemas.openxmlformats.org/officeDocument/2006/relationships/image" Target="media/9b11899dfb7637b03e3e8ec66d9e4c164c077b87.png"/><Relationship Id="rId9" Type="http://schemas.openxmlformats.org/officeDocument/2006/relationships/image" Target="media/2eac19e276cb5313d37f842c3a08ca426ab6babc.png"/><Relationship Id="rId10" Type="http://schemas.openxmlformats.org/officeDocument/2006/relationships/image" Target="media/2aa59f06f8d6bf23e2400ebf0430e8b65c96be66.png"/><Relationship Id="rId11" Type="http://schemas.openxmlformats.org/officeDocument/2006/relationships/image" Target="media/83c2019ee8f4e49e60d1b61591c63239070e43f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 Tarlası — TOK Formatı Rapor</dc:title>
  <dc:creator>Kubilay İnanç</dc:creator>
  <cp:lastModifiedBy>Un-named</cp:lastModifiedBy>
  <cp:revision>1</cp:revision>
  <dcterms:created xsi:type="dcterms:W3CDTF">2026-06-10T16:44:42.645Z</dcterms:created>
  <dcterms:modified xsi:type="dcterms:W3CDTF">2026-06-10T16:44:42.645Z</dcterms:modified>
</cp:coreProperties>
</file>

<file path=docProps/custom.xml><?xml version="1.0" encoding="utf-8"?>
<Properties xmlns="http://schemas.openxmlformats.org/officeDocument/2006/custom-properties" xmlns:vt="http://schemas.openxmlformats.org/officeDocument/2006/docPropsVTypes"/>
</file>