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5B6B63"/>
          <w:sz w:val="20"/>
          <w:szCs w:val="20"/>
        </w:rPr>
        <w:t xml:space="preserve">CONCEPT NOTE BY YOUR NAME</w:t>
      </w:r>
    </w:p>
    <w:p>
      <w:pPr>
        <w:spacing w:after="60"/>
      </w:pPr>
      <w:r>
        <w:rPr>
          <w:b/>
          <w:bCs/>
          <w:color w:val="1F4D3A"/>
          <w:sz w:val="56"/>
          <w:szCs w:val="56"/>
        </w:rPr>
        <w:t xml:space="preserve">FoodLoop AI</w:t>
      </w:r>
    </w:p>
    <w:p>
      <w:pPr>
        <w:spacing w:after="120"/>
      </w:pPr>
      <w:r>
        <w:rPr>
          <w:color w:val="333333"/>
          <w:sz w:val="24"/>
          <w:szCs w:val="24"/>
        </w:rPr>
        <w:t xml:space="preserve">An agentic AI food-rescue coordinator that moves surplus cooked food from restaurants, caterers and hostels to NGOs and shelters before it spoils</w:t>
      </w:r>
    </w:p>
    <w:p>
      <w:pPr>
        <w:pBdr>
          <w:bottom w:val="single" w:color="D98E04" w:sz="8" w:space="6"/>
        </w:pBdr>
        <w:spacing w:after="200"/>
      </w:pPr>
      <w:r>
        <w:rPr>
          <w:color w:val="5B6B63"/>
          <w:sz w:val="20"/>
          <w:szCs w:val="20"/>
        </w:rPr>
        <w:t xml:space="preserve">IBM SkillsBuild for Academia, Masterclass 5 | SDG 2: Zero Hunger</w:t>
      </w:r>
    </w:p>
    <w:p>
      <w:pPr>
        <w:pStyle w:val="Heading1"/>
        <w:spacing w:after="100" w:before="260"/>
      </w:pPr>
      <w:r>
        <w:rPr>
          <w:rFonts w:ascii="Calibri" w:cs="Calibri" w:eastAsia="Calibri" w:hAnsi="Calibri"/>
          <w:b/>
          <w:bCs/>
          <w:color w:val="1F4D3A"/>
          <w:sz w:val="28"/>
          <w:szCs w:val="28"/>
        </w:rPr>
        <w:t xml:space="preserve">1. Problem statement</w:t>
      </w:r>
    </w:p>
    <w:p>
      <w:pPr>
        <w:spacing w:after="120"/>
      </w:pPr>
      <w:r>
        <w:t xml:space="preserve">Every day, restaurants, caterers, wedding venues, hostel messes and office canteens in Indian cities end up with good cooked food that no one eats. At the same time, NGOs, community kitchens and shelters struggle to feed the people they serve. Three gaps keep these two groups apart:</w:t>
      </w:r>
    </w:p>
    <w:p>
      <w:pPr>
        <w:pStyle w:val="ListParagraph"/>
        <w:numPr>
          <w:ilvl w:val="0"/>
          <w:numId w:val="2"/>
        </w:numPr>
        <w:spacing w:after="80"/>
      </w:pPr>
      <w:r>
        <w:rPr>
          <w:b/>
          <w:bCs/>
        </w:rPr>
        <w:t xml:space="preserve">Surplus goes to waste: </w:t>
      </w:r>
      <w:r>
        <w:t xml:space="preserve">donors have extra food but do not know who needs it right now.</w:t>
      </w:r>
    </w:p>
    <w:p>
      <w:pPr>
        <w:pStyle w:val="ListParagraph"/>
        <w:numPr>
          <w:ilvl w:val="0"/>
          <w:numId w:val="2"/>
        </w:numPr>
        <w:spacing w:after="80"/>
      </w:pPr>
      <w:r>
        <w:rPr>
          <w:b/>
          <w:bCs/>
        </w:rPr>
        <w:t xml:space="preserve">Time and logistics: </w:t>
      </w:r>
      <w:r>
        <w:t xml:space="preserve">cooked food stays safe for only a few hours, and arranging a donor, an NGO and a driver by phone calls is too slow.</w:t>
      </w:r>
    </w:p>
    <w:p>
      <w:pPr>
        <w:pStyle w:val="ListParagraph"/>
        <w:numPr>
          <w:ilvl w:val="0"/>
          <w:numId w:val="2"/>
        </w:numPr>
        <w:spacing w:after="80"/>
      </w:pPr>
      <w:r>
        <w:rPr>
          <w:b/>
          <w:bCs/>
        </w:rPr>
        <w:t xml:space="preserve">No trust and no tracking: </w:t>
      </w:r>
      <w:r>
        <w:t xml:space="preserve">donors worry about food safety and liability, and nobody measures how many meals were actually saved.</w:t>
      </w:r>
    </w:p>
    <w:p>
      <w:pPr>
        <w:spacing w:after="120"/>
      </w:pPr>
      <w:r>
        <w:t xml:space="preserve">This limits progress on SDG 2, which aims to end hunger and ensure access to safe and nutritious food for all (Target 2.1). It also relates to SDG 12, Target 12.3, which asks for less food waste.</w:t>
      </w:r>
    </w:p>
    <w:p>
      <w:pPr>
        <w:pStyle w:val="Heading1"/>
        <w:spacing w:after="100" w:before="260"/>
      </w:pPr>
      <w:r>
        <w:rPr>
          <w:rFonts w:ascii="Calibri" w:cs="Calibri" w:eastAsia="Calibri" w:hAnsi="Calibri"/>
          <w:b/>
          <w:bCs/>
          <w:color w:val="1F4D3A"/>
          <w:sz w:val="28"/>
          <w:szCs w:val="28"/>
        </w:rPr>
        <w:t xml:space="preserve">2. Proposed solution</w:t>
      </w:r>
    </w:p>
    <w:p>
      <w:pPr>
        <w:spacing w:after="120"/>
      </w:pPr>
      <w:r>
        <w:rPr>
          <w:b/>
          <w:bCs/>
        </w:rPr>
        <w:t xml:space="preserve">FoodLoop AI</w:t>
      </w:r>
      <w:r>
        <w:t xml:space="preserve"> is a multi-agent AI platform that acts as a rescue desk for surplus food. A donor sends one WhatsApp message with a photo or a few words. The system finds the best receiver, books a pickup and confirms delivery, all inside the food-safe time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D3C7" w:sz="4"/>
              <w:left w:val="single" w:color="BFD3C7" w:sz="4"/>
              <w:bottom w:val="single" w:color="BFD3C7" w:sz="4"/>
              <w:right w:val="single" w:color="BFD3C7" w:sz="4"/>
            </w:tcBorders>
            <w:shd w:fill="1F4D3A" w:color="auto" w:val="clear"/>
            <w:tcMar>
              <w:top w:type="dxa" w:w="80"/>
              <w:left w:type="dxa" w:w="120"/>
              <w:bottom w:type="dxa" w:w="80"/>
              <w:right w:type="dxa" w:w="120"/>
            </w:tcMar>
          </w:tcPr>
          <w:p>
            <w:r>
              <w:rPr>
                <w:b/>
                <w:bCs/>
                <w:color w:val="FFFFFF"/>
              </w:rPr>
              <w:t xml:space="preserve">Agent</w:t>
            </w:r>
          </w:p>
        </w:tc>
        <w:tc>
          <w:tcPr>
            <w:tcW w:type="dxa" w:w="6426"/>
            <w:tcBorders>
              <w:top w:val="single" w:color="BFD3C7" w:sz="4"/>
              <w:left w:val="single" w:color="BFD3C7" w:sz="4"/>
              <w:bottom w:val="single" w:color="BFD3C7" w:sz="4"/>
              <w:right w:val="single" w:color="BFD3C7" w:sz="4"/>
            </w:tcBorders>
            <w:shd w:fill="1F4D3A" w:color="auto" w:val="clear"/>
            <w:tcMar>
              <w:top w:type="dxa" w:w="80"/>
              <w:left w:type="dxa" w:w="120"/>
              <w:bottom w:type="dxa" w:w="80"/>
              <w:right w:type="dxa" w:w="120"/>
            </w:tcMar>
          </w:tcPr>
          <w:p>
            <w:r>
              <w:rPr>
                <w:b/>
                <w:bCs/>
                <w:color w:val="FFFFFF"/>
              </w:rPr>
              <w:t xml:space="preserve">What it does</w:t>
            </w:r>
          </w:p>
        </w:tc>
      </w:tr>
      <w:tr>
        <w:tc>
          <w:tcPr>
            <w:tcW w:type="dxa" w:w="2600"/>
            <w:tcBorders>
              <w:top w:val="single" w:color="BFD3C7" w:sz="4"/>
              <w:left w:val="single" w:color="BFD3C7" w:sz="4"/>
              <w:bottom w:val="single" w:color="BFD3C7" w:sz="4"/>
              <w:right w:val="single" w:color="BFD3C7" w:sz="4"/>
            </w:tcBorders>
            <w:shd w:fill="EEF5F0" w:color="auto" w:val="clear"/>
            <w:tcMar>
              <w:top w:type="dxa" w:w="80"/>
              <w:left w:type="dxa" w:w="120"/>
              <w:bottom w:type="dxa" w:w="80"/>
              <w:right w:type="dxa" w:w="120"/>
            </w:tcMar>
          </w:tcPr>
          <w:p>
            <w:r>
              <w:rPr>
                <w:b/>
                <w:bCs/>
              </w:rPr>
              <w:t xml:space="preserve">Donor Agent</w:t>
            </w:r>
          </w:p>
        </w:tc>
        <w:tc>
          <w:tcPr>
            <w:tcW w:type="dxa" w:w="6426"/>
            <w:tcBorders>
              <w:top w:val="single" w:color="BFD3C7" w:sz="4"/>
              <w:left w:val="single" w:color="BFD3C7" w:sz="4"/>
              <w:bottom w:val="single" w:color="BFD3C7" w:sz="4"/>
              <w:right w:val="single" w:color="BFD3C7" w:sz="4"/>
            </w:tcBorders>
            <w:tcMar>
              <w:top w:type="dxa" w:w="80"/>
              <w:left w:type="dxa" w:w="120"/>
              <w:bottom w:type="dxa" w:w="80"/>
              <w:right w:type="dxa" w:w="120"/>
            </w:tcMar>
          </w:tcPr>
          <w:p>
            <w:r>
              <w:rPr>
                <w:b w:val="false"/>
                <w:bCs w:val="false"/>
              </w:rPr>
              <w:t xml:space="preserve">Reads a WhatsApp message or photo, extracts the food type, quantity, time cooked and safe-until time, and creates a listing.</w:t>
            </w:r>
          </w:p>
        </w:tc>
      </w:tr>
      <w:tr>
        <w:tc>
          <w:tcPr>
            <w:tcW w:type="dxa" w:w="2600"/>
            <w:tcBorders>
              <w:top w:val="single" w:color="BFD3C7" w:sz="4"/>
              <w:left w:val="single" w:color="BFD3C7" w:sz="4"/>
              <w:bottom w:val="single" w:color="BFD3C7" w:sz="4"/>
              <w:right w:val="single" w:color="BFD3C7" w:sz="4"/>
            </w:tcBorders>
            <w:shd w:fill="EEF5F0" w:color="auto" w:val="clear"/>
            <w:tcMar>
              <w:top w:type="dxa" w:w="80"/>
              <w:left w:type="dxa" w:w="120"/>
              <w:bottom w:type="dxa" w:w="80"/>
              <w:right w:type="dxa" w:w="120"/>
            </w:tcMar>
          </w:tcPr>
          <w:p>
            <w:r>
              <w:rPr>
                <w:b/>
                <w:bCs/>
              </w:rPr>
              <w:t xml:space="preserve">Matcher Agent</w:t>
            </w:r>
          </w:p>
        </w:tc>
        <w:tc>
          <w:tcPr>
            <w:tcW w:type="dxa" w:w="6426"/>
            <w:tcBorders>
              <w:top w:val="single" w:color="BFD3C7" w:sz="4"/>
              <w:left w:val="single" w:color="BFD3C7" w:sz="4"/>
              <w:bottom w:val="single" w:color="BFD3C7" w:sz="4"/>
              <w:right w:val="single" w:color="BFD3C7" w:sz="4"/>
            </w:tcBorders>
            <w:tcMar>
              <w:top w:type="dxa" w:w="80"/>
              <w:left w:type="dxa" w:w="120"/>
              <w:bottom w:type="dxa" w:w="80"/>
              <w:right w:type="dxa" w:w="120"/>
            </w:tcMar>
          </w:tcPr>
          <w:p>
            <w:r>
              <w:rPr>
                <w:b w:val="false"/>
                <w:bCs w:val="false"/>
              </w:rPr>
              <w:t xml:space="preserve">Ranks NGOs, shelters and community kitchens by need, distance, capacity and time left, and sends them the offer.</w:t>
            </w:r>
          </w:p>
        </w:tc>
      </w:tr>
      <w:tr>
        <w:tc>
          <w:tcPr>
            <w:tcW w:type="dxa" w:w="2600"/>
            <w:tcBorders>
              <w:top w:val="single" w:color="BFD3C7" w:sz="4"/>
              <w:left w:val="single" w:color="BFD3C7" w:sz="4"/>
              <w:bottom w:val="single" w:color="BFD3C7" w:sz="4"/>
              <w:right w:val="single" w:color="BFD3C7" w:sz="4"/>
            </w:tcBorders>
            <w:shd w:fill="EEF5F0" w:color="auto" w:val="clear"/>
            <w:tcMar>
              <w:top w:type="dxa" w:w="80"/>
              <w:left w:type="dxa" w:w="120"/>
              <w:bottom w:type="dxa" w:w="80"/>
              <w:right w:type="dxa" w:w="120"/>
            </w:tcMar>
          </w:tcPr>
          <w:p>
            <w:r>
              <w:rPr>
                <w:b/>
                <w:bCs/>
              </w:rPr>
              <w:t xml:space="preserve">Logistics Agent</w:t>
            </w:r>
          </w:p>
        </w:tc>
        <w:tc>
          <w:tcPr>
            <w:tcW w:type="dxa" w:w="6426"/>
            <w:tcBorders>
              <w:top w:val="single" w:color="BFD3C7" w:sz="4"/>
              <w:left w:val="single" w:color="BFD3C7" w:sz="4"/>
              <w:bottom w:val="single" w:color="BFD3C7" w:sz="4"/>
              <w:right w:val="single" w:color="BFD3C7" w:sz="4"/>
            </w:tcBorders>
            <w:tcMar>
              <w:top w:type="dxa" w:w="80"/>
              <w:left w:type="dxa" w:w="120"/>
              <w:bottom w:type="dxa" w:w="80"/>
              <w:right w:type="dxa" w:w="120"/>
            </w:tcMar>
          </w:tcPr>
          <w:p>
            <w:r>
              <w:rPr>
                <w:b w:val="false"/>
                <w:bCs w:val="false"/>
              </w:rPr>
              <w:t xml:space="preserve">Assigns a nearby volunteer or driver, picks a pickup slot and plans the route.</w:t>
            </w:r>
          </w:p>
        </w:tc>
      </w:tr>
      <w:tr>
        <w:tc>
          <w:tcPr>
            <w:tcW w:type="dxa" w:w="2600"/>
            <w:tcBorders>
              <w:top w:val="single" w:color="BFD3C7" w:sz="4"/>
              <w:left w:val="single" w:color="BFD3C7" w:sz="4"/>
              <w:bottom w:val="single" w:color="BFD3C7" w:sz="4"/>
              <w:right w:val="single" w:color="BFD3C7" w:sz="4"/>
            </w:tcBorders>
            <w:shd w:fill="EEF5F0" w:color="auto" w:val="clear"/>
            <w:tcMar>
              <w:top w:type="dxa" w:w="80"/>
              <w:left w:type="dxa" w:w="120"/>
              <w:bottom w:type="dxa" w:w="80"/>
              <w:right w:type="dxa" w:w="120"/>
            </w:tcMar>
          </w:tcPr>
          <w:p>
            <w:r>
              <w:rPr>
                <w:b/>
                <w:bCs/>
              </w:rPr>
              <w:t xml:space="preserve">Safety and Impact Agent</w:t>
            </w:r>
          </w:p>
        </w:tc>
        <w:tc>
          <w:tcPr>
            <w:tcW w:type="dxa" w:w="6426"/>
            <w:tcBorders>
              <w:top w:val="single" w:color="BFD3C7" w:sz="4"/>
              <w:left w:val="single" w:color="BFD3C7" w:sz="4"/>
              <w:bottom w:val="single" w:color="BFD3C7" w:sz="4"/>
              <w:right w:val="single" w:color="BFD3C7" w:sz="4"/>
            </w:tcBorders>
            <w:tcMar>
              <w:top w:type="dxa" w:w="80"/>
              <w:left w:type="dxa" w:w="120"/>
              <w:bottom w:type="dxa" w:w="80"/>
              <w:right w:type="dxa" w:w="120"/>
            </w:tcMar>
          </w:tcPr>
          <w:p>
            <w:r>
              <w:rPr>
                <w:b w:val="false"/>
                <w:bCs w:val="false"/>
              </w:rPr>
              <w:t xml:space="preserve">Runs food-safety checks, collects delivery proof and produces meals-saved reports for donors and CSR partners.</w:t>
            </w:r>
          </w:p>
        </w:tc>
      </w:tr>
      <w:tr>
        <w:tc>
          <w:tcPr>
            <w:tcW w:type="dxa" w:w="2600"/>
            <w:tcBorders>
              <w:top w:val="single" w:color="BFD3C7" w:sz="4"/>
              <w:left w:val="single" w:color="BFD3C7" w:sz="4"/>
              <w:bottom w:val="single" w:color="BFD3C7" w:sz="4"/>
              <w:right w:val="single" w:color="BFD3C7" w:sz="4"/>
            </w:tcBorders>
            <w:shd w:fill="EEF5F0" w:color="auto" w:val="clear"/>
            <w:tcMar>
              <w:top w:type="dxa" w:w="80"/>
              <w:left w:type="dxa" w:w="120"/>
              <w:bottom w:type="dxa" w:w="80"/>
              <w:right w:type="dxa" w:w="120"/>
            </w:tcMar>
          </w:tcPr>
          <w:p>
            <w:r>
              <w:rPr>
                <w:b/>
                <w:bCs/>
              </w:rPr>
              <w:t xml:space="preserve">Coordinator Agent</w:t>
            </w:r>
          </w:p>
        </w:tc>
        <w:tc>
          <w:tcPr>
            <w:tcW w:type="dxa" w:w="6426"/>
            <w:tcBorders>
              <w:top w:val="single" w:color="BFD3C7" w:sz="4"/>
              <w:left w:val="single" w:color="BFD3C7" w:sz="4"/>
              <w:bottom w:val="single" w:color="BFD3C7" w:sz="4"/>
              <w:right w:val="single" w:color="BFD3C7" w:sz="4"/>
            </w:tcBorders>
            <w:tcMar>
              <w:top w:type="dxa" w:w="80"/>
              <w:left w:type="dxa" w:w="120"/>
              <w:bottom w:type="dxa" w:w="80"/>
              <w:right w:type="dxa" w:w="120"/>
            </w:tcMar>
          </w:tcPr>
          <w:p>
            <w:r>
              <w:rPr>
                <w:b w:val="false"/>
                <w:bCs w:val="false"/>
              </w:rPr>
              <w:t xml:space="preserve">Orchestrates the other agents, keeps memory of donors and receivers and escalates to a human when a pickup fails.</w:t>
            </w:r>
          </w:p>
        </w:tc>
      </w:tr>
    </w:tbl>
    <w:p>
      <w:pPr>
        <w:spacing w:after="60"/>
      </w:pPr>
      <w:r>
        <w:t xml:space="preserve"/>
      </w:r>
    </w:p>
    <w:p>
      <w:pPr>
        <w:pStyle w:val="Heading1"/>
        <w:spacing w:after="100" w:before="260"/>
      </w:pPr>
      <w:r>
        <w:rPr>
          <w:rFonts w:ascii="Calibri" w:cs="Calibri" w:eastAsia="Calibri" w:hAnsi="Calibri"/>
          <w:b/>
          <w:bCs/>
          <w:color w:val="1F4D3A"/>
          <w:sz w:val="28"/>
          <w:szCs w:val="28"/>
        </w:rPr>
        <w:t xml:space="preserve">3. How it works</w:t>
      </w:r>
    </w:p>
    <w:p>
      <w:pPr>
        <w:spacing w:after="120"/>
      </w:pPr>
      <w:r>
        <w:t xml:space="preserve">A donor message arrives through WhatsApp or the web dashboard. The coordinator routes it to the Donor Agent, which creates a listing with a safe-until time. The Matcher Agent contacts the best receivers in order until one accepts. The Logistics Agent books a volunteer. After delivery, the Safety and Impact Agent records proof and updates the dashboards. The agents use a large language model together with tools: a maps and routing service, a database of donors, receivers and volunteers, and a messaging API. Every match shows its reason, and any unclear case is sent to a human coordinator.</w:t>
      </w:r>
    </w:p>
    <w:p>
      <w:pPr>
        <w:pStyle w:val="Heading1"/>
        <w:spacing w:after="100" w:before="260"/>
      </w:pPr>
      <w:r>
        <w:rPr>
          <w:rFonts w:ascii="Calibri" w:cs="Calibri" w:eastAsia="Calibri" w:hAnsi="Calibri"/>
          <w:b/>
          <w:bCs/>
          <w:color w:val="1F4D3A"/>
          <w:sz w:val="28"/>
          <w:szCs w:val="28"/>
        </w:rPr>
        <w:t xml:space="preserve">4. Target users and customers</w:t>
      </w:r>
    </w:p>
    <w:p>
      <w:pPr>
        <w:pStyle w:val="ListParagraph"/>
        <w:numPr>
          <w:ilvl w:val="0"/>
          <w:numId w:val="2"/>
        </w:numPr>
        <w:spacing w:after="80"/>
      </w:pPr>
      <w:r>
        <w:rPr>
          <w:b/>
          <w:bCs/>
        </w:rPr>
        <w:t xml:space="preserve">Donors: </w:t>
      </w:r>
      <w:r>
        <w:t xml:space="preserve">restaurants, caterers, wedding venues, hostel and college canteens, corporate cafeterias.</w:t>
      </w:r>
    </w:p>
    <w:p>
      <w:pPr>
        <w:pStyle w:val="ListParagraph"/>
        <w:numPr>
          <w:ilvl w:val="0"/>
          <w:numId w:val="2"/>
        </w:numPr>
        <w:spacing w:after="80"/>
      </w:pPr>
      <w:r>
        <w:rPr>
          <w:b/>
          <w:bCs/>
        </w:rPr>
        <w:t xml:space="preserve">Receivers (always free): </w:t>
      </w:r>
      <w:r>
        <w:t xml:space="preserve">NGOs, community kitchens, shelters, old-age homes and orphanages.</w:t>
      </w:r>
    </w:p>
    <w:p>
      <w:pPr>
        <w:pStyle w:val="ListParagraph"/>
        <w:numPr>
          <w:ilvl w:val="0"/>
          <w:numId w:val="2"/>
        </w:numPr>
        <w:spacing w:after="80"/>
      </w:pPr>
      <w:r>
        <w:rPr>
          <w:b/>
          <w:bCs/>
        </w:rPr>
        <w:t xml:space="preserve">Payers: </w:t>
      </w:r>
      <w:r>
        <w:t xml:space="preserve">corporates through CSR and ESG budgets, large caterers, colleges and municipal bodies.</w:t>
      </w:r>
    </w:p>
    <w:p>
      <w:pPr>
        <w:pStyle w:val="ListParagraph"/>
        <w:numPr>
          <w:ilvl w:val="0"/>
          <w:numId w:val="2"/>
        </w:numPr>
        <w:spacing w:after="80"/>
      </w:pPr>
      <w:r>
        <w:rPr>
          <w:b/>
          <w:bCs/>
        </w:rPr>
        <w:t xml:space="preserve">Early adopters: </w:t>
      </w:r>
      <w:r>
        <w:t xml:space="preserve">hostel messes and canteens in one Tier-2 city, NSS units with student volunteers, and local NGOs that already run pickups.</w:t>
      </w:r>
    </w:p>
    <w:p>
      <w:pPr>
        <w:pStyle w:val="Heading1"/>
        <w:spacing w:after="100" w:before="260"/>
      </w:pPr>
      <w:r>
        <w:rPr>
          <w:rFonts w:ascii="Calibri" w:cs="Calibri" w:eastAsia="Calibri" w:hAnsi="Calibri"/>
          <w:b/>
          <w:bCs/>
          <w:color w:val="1F4D3A"/>
          <w:sz w:val="28"/>
          <w:szCs w:val="28"/>
        </w:rPr>
        <w:t xml:space="preserve">5. Unique value proposition</w:t>
      </w:r>
    </w:p>
    <w:p>
      <w:pPr>
        <w:spacing w:after="120"/>
      </w:pPr>
      <w:r>
        <w:rPr>
          <w:b/>
          <w:bCs/>
        </w:rPr>
        <w:t xml:space="preserve">"Rescue surplus food with one WhatsApp message."</w:t>
      </w:r>
      <w:r>
        <w:t xml:space="preserve"> Tell us what is left and where. FoodLoop finds the right NGO, books the pickup and proves the meals were delivered, before the food spoils. In one line: Uber for surplus food, run by AI agents, for NGOs.</w:t>
      </w:r>
    </w:p>
    <w:p>
      <w:pPr>
        <w:pStyle w:val="Heading1"/>
        <w:spacing w:after="100" w:before="260"/>
      </w:pPr>
      <w:r>
        <w:rPr>
          <w:rFonts w:ascii="Calibri" w:cs="Calibri" w:eastAsia="Calibri" w:hAnsi="Calibri"/>
          <w:b/>
          <w:bCs/>
          <w:color w:val="1F4D3A"/>
          <w:sz w:val="28"/>
          <w:szCs w:val="28"/>
        </w:rPr>
        <w:t xml:space="preserve">6. Business model</w:t>
      </w:r>
    </w:p>
    <w:p>
      <w:pPr>
        <w:spacing w:after="120"/>
      </w:pPr>
      <w:r>
        <w:rPr>
          <w:b/>
          <w:bCs/>
        </w:rPr>
        <w:t xml:space="preserve">Revenue: </w:t>
      </w:r>
      <w:r>
        <w:t xml:space="preserve">a free plan for small donors, subscriptions for restaurant chains and caterers, corporate and CSR sponsorship per meal rescued, impact and ESG reports, and college licences or municipal contracts. Receivers never pay.</w:t>
      </w:r>
    </w:p>
    <w:p>
      <w:pPr>
        <w:spacing w:after="120"/>
      </w:pPr>
      <w:r>
        <w:rPr>
          <w:b/>
          <w:bCs/>
        </w:rPr>
        <w:t xml:space="preserve">Costs: </w:t>
      </w:r>
      <w:r>
        <w:t xml:space="preserve">LLM API usage and cloud hosting, maps and routing, WhatsApp Business API and SMS, the engineering and design team, volunteer coordination, food-safety training and insurance, and marketing through campus ambassadors.</w:t>
      </w:r>
    </w:p>
    <w:p>
      <w:pPr>
        <w:pStyle w:val="Heading1"/>
        <w:spacing w:after="100" w:before="260"/>
      </w:pPr>
      <w:r>
        <w:rPr>
          <w:rFonts w:ascii="Calibri" w:cs="Calibri" w:eastAsia="Calibri" w:hAnsi="Calibri"/>
          <w:b/>
          <w:bCs/>
          <w:color w:val="1F4D3A"/>
          <w:sz w:val="28"/>
          <w:szCs w:val="28"/>
        </w:rPr>
        <w:t xml:space="preserve">7. Impact and measurement</w:t>
      </w:r>
    </w:p>
    <w:p>
      <w:pPr>
        <w:spacing w:after="120"/>
      </w:pPr>
      <w:r>
        <w:t xml:space="preserve">Success is measured by meals reached, not sign-ups:</w:t>
      </w:r>
    </w:p>
    <w:p>
      <w:pPr>
        <w:pStyle w:val="ListParagraph"/>
        <w:numPr>
          <w:ilvl w:val="0"/>
          <w:numId w:val="2"/>
        </w:numPr>
        <w:spacing w:after="80"/>
      </w:pPr>
      <w:r>
        <w:t xml:space="preserve">Meals rescued per month and pickup success rate</w:t>
      </w:r>
    </w:p>
    <w:p>
      <w:pPr>
        <w:pStyle w:val="ListParagraph"/>
        <w:numPr>
          <w:ilvl w:val="0"/>
          <w:numId w:val="2"/>
        </w:numPr>
        <w:spacing w:after="80"/>
      </w:pPr>
      <w:r>
        <w:t xml:space="preserve">Time from listing to pickup</w:t>
      </w:r>
    </w:p>
    <w:p>
      <w:pPr>
        <w:pStyle w:val="ListParagraph"/>
        <w:numPr>
          <w:ilvl w:val="0"/>
          <w:numId w:val="2"/>
        </w:numPr>
        <w:spacing w:after="80"/>
      </w:pPr>
      <w:r>
        <w:t xml:space="preserve">Active donors, NGOs and volunteers, and repeat-donor rate</w:t>
      </w:r>
    </w:p>
    <w:p>
      <w:pPr>
        <w:pStyle w:val="ListParagraph"/>
        <w:numPr>
          <w:ilvl w:val="0"/>
          <w:numId w:val="2"/>
        </w:numPr>
        <w:spacing w:after="80"/>
      </w:pPr>
      <w:r>
        <w:t xml:space="preserve">Food-safety incidents (target: zero) and cost per meal rescued</w:t>
      </w:r>
    </w:p>
    <w:p>
      <w:pPr>
        <w:pStyle w:val="Heading1"/>
        <w:spacing w:after="100" w:before="260"/>
      </w:pPr>
      <w:r>
        <w:rPr>
          <w:rFonts w:ascii="Calibri" w:cs="Calibri" w:eastAsia="Calibri" w:hAnsi="Calibri"/>
          <w:b/>
          <w:bCs/>
          <w:color w:val="1F4D3A"/>
          <w:sz w:val="28"/>
          <w:szCs w:val="28"/>
        </w:rPr>
        <w:t xml:space="preserve">8. Risks and how we handle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D3C7" w:sz="4"/>
              <w:left w:val="single" w:color="BFD3C7" w:sz="4"/>
              <w:bottom w:val="single" w:color="BFD3C7" w:sz="4"/>
              <w:right w:val="single" w:color="BFD3C7" w:sz="4"/>
            </w:tcBorders>
            <w:shd w:fill="1F4D3A" w:color="auto" w:val="clear"/>
            <w:tcMar>
              <w:top w:type="dxa" w:w="80"/>
              <w:left w:type="dxa" w:w="120"/>
              <w:bottom w:type="dxa" w:w="80"/>
              <w:right w:type="dxa" w:w="120"/>
            </w:tcMar>
          </w:tcPr>
          <w:p>
            <w:r>
              <w:rPr>
                <w:b/>
                <w:bCs/>
                <w:color w:val="FFFFFF"/>
              </w:rPr>
              <w:t xml:space="preserve">Risk</w:t>
            </w:r>
          </w:p>
        </w:tc>
        <w:tc>
          <w:tcPr>
            <w:tcW w:type="dxa" w:w="6426"/>
            <w:tcBorders>
              <w:top w:val="single" w:color="BFD3C7" w:sz="4"/>
              <w:left w:val="single" w:color="BFD3C7" w:sz="4"/>
              <w:bottom w:val="single" w:color="BFD3C7" w:sz="4"/>
              <w:right w:val="single" w:color="BFD3C7" w:sz="4"/>
            </w:tcBorders>
            <w:shd w:fill="1F4D3A" w:color="auto" w:val="clear"/>
            <w:tcMar>
              <w:top w:type="dxa" w:w="80"/>
              <w:left w:type="dxa" w:w="120"/>
              <w:bottom w:type="dxa" w:w="80"/>
              <w:right w:type="dxa" w:w="120"/>
            </w:tcMar>
          </w:tcPr>
          <w:p>
            <w:r>
              <w:rPr>
                <w:b/>
                <w:bCs/>
                <w:color w:val="FFFFFF"/>
              </w:rPr>
              <w:t xml:space="preserve">Mitigation</w:t>
            </w:r>
          </w:p>
        </w:tc>
      </w:tr>
      <w:tr>
        <w:tc>
          <w:tcPr>
            <w:tcW w:type="dxa" w:w="2600"/>
            <w:tcBorders>
              <w:top w:val="single" w:color="BFD3C7" w:sz="4"/>
              <w:left w:val="single" w:color="BFD3C7" w:sz="4"/>
              <w:bottom w:val="single" w:color="BFD3C7" w:sz="4"/>
              <w:right w:val="single" w:color="BFD3C7" w:sz="4"/>
            </w:tcBorders>
            <w:shd w:fill="EEF5F0" w:color="auto" w:val="clear"/>
            <w:tcMar>
              <w:top w:type="dxa" w:w="80"/>
              <w:left w:type="dxa" w:w="120"/>
              <w:bottom w:type="dxa" w:w="80"/>
              <w:right w:type="dxa" w:w="120"/>
            </w:tcMar>
          </w:tcPr>
          <w:p>
            <w:r>
              <w:rPr>
                <w:b/>
                <w:bCs/>
              </w:rPr>
              <w:t xml:space="preserve">Food safety</w:t>
            </w:r>
          </w:p>
        </w:tc>
        <w:tc>
          <w:tcPr>
            <w:tcW w:type="dxa" w:w="6426"/>
            <w:tcBorders>
              <w:top w:val="single" w:color="BFD3C7" w:sz="4"/>
              <w:left w:val="single" w:color="BFD3C7" w:sz="4"/>
              <w:bottom w:val="single" w:color="BFD3C7" w:sz="4"/>
              <w:right w:val="single" w:color="BFD3C7" w:sz="4"/>
            </w:tcBorders>
            <w:tcMar>
              <w:top w:type="dxa" w:w="80"/>
              <w:left w:type="dxa" w:w="120"/>
              <w:bottom w:type="dxa" w:w="80"/>
              <w:right w:type="dxa" w:w="120"/>
            </w:tcMar>
          </w:tcPr>
          <w:p>
            <w:r>
              <w:rPr>
                <w:b w:val="false"/>
                <w:bCs w:val="false"/>
              </w:rPr>
              <w:t xml:space="preserve">Accept only cooked food with a time stamp, set a safe-until limit, check hygiene basics with a short checklist, and keep delivery proof. Work with local food-safety guidance.</w:t>
            </w:r>
          </w:p>
        </w:tc>
      </w:tr>
      <w:tr>
        <w:tc>
          <w:tcPr>
            <w:tcW w:type="dxa" w:w="2600"/>
            <w:tcBorders>
              <w:top w:val="single" w:color="BFD3C7" w:sz="4"/>
              <w:left w:val="single" w:color="BFD3C7" w:sz="4"/>
              <w:bottom w:val="single" w:color="BFD3C7" w:sz="4"/>
              <w:right w:val="single" w:color="BFD3C7" w:sz="4"/>
            </w:tcBorders>
            <w:shd w:fill="EEF5F0" w:color="auto" w:val="clear"/>
            <w:tcMar>
              <w:top w:type="dxa" w:w="80"/>
              <w:left w:type="dxa" w:w="120"/>
              <w:bottom w:type="dxa" w:w="80"/>
              <w:right w:type="dxa" w:w="120"/>
            </w:tcMar>
          </w:tcPr>
          <w:p>
            <w:r>
              <w:rPr>
                <w:b/>
                <w:bCs/>
              </w:rPr>
              <w:t xml:space="preserve">Wrong match or no pickup</w:t>
            </w:r>
          </w:p>
        </w:tc>
        <w:tc>
          <w:tcPr>
            <w:tcW w:type="dxa" w:w="6426"/>
            <w:tcBorders>
              <w:top w:val="single" w:color="BFD3C7" w:sz="4"/>
              <w:left w:val="single" w:color="BFD3C7" w:sz="4"/>
              <w:bottom w:val="single" w:color="BFD3C7" w:sz="4"/>
              <w:right w:val="single" w:color="BFD3C7" w:sz="4"/>
            </w:tcBorders>
            <w:tcMar>
              <w:top w:type="dxa" w:w="80"/>
              <w:left w:type="dxa" w:w="120"/>
              <w:bottom w:type="dxa" w:w="80"/>
              <w:right w:type="dxa" w:w="120"/>
            </w:tcMar>
          </w:tcPr>
          <w:p>
            <w:r>
              <w:rPr>
                <w:b w:val="false"/>
                <w:bCs w:val="false"/>
              </w:rPr>
              <w:t xml:space="preserve">Offer to several receivers in order, keep backup volunteers and send failed cases to a human coordinator.</w:t>
            </w:r>
          </w:p>
        </w:tc>
      </w:tr>
      <w:tr>
        <w:tc>
          <w:tcPr>
            <w:tcW w:type="dxa" w:w="2600"/>
            <w:tcBorders>
              <w:top w:val="single" w:color="BFD3C7" w:sz="4"/>
              <w:left w:val="single" w:color="BFD3C7" w:sz="4"/>
              <w:bottom w:val="single" w:color="BFD3C7" w:sz="4"/>
              <w:right w:val="single" w:color="BFD3C7" w:sz="4"/>
            </w:tcBorders>
            <w:shd w:fill="EEF5F0" w:color="auto" w:val="clear"/>
            <w:tcMar>
              <w:top w:type="dxa" w:w="80"/>
              <w:left w:type="dxa" w:w="120"/>
              <w:bottom w:type="dxa" w:w="80"/>
              <w:right w:type="dxa" w:w="120"/>
            </w:tcMar>
          </w:tcPr>
          <w:p>
            <w:r>
              <w:rPr>
                <w:b/>
                <w:bCs/>
              </w:rPr>
              <w:t xml:space="preserve">Privacy of donors and receivers</w:t>
            </w:r>
          </w:p>
        </w:tc>
        <w:tc>
          <w:tcPr>
            <w:tcW w:type="dxa" w:w="6426"/>
            <w:tcBorders>
              <w:top w:val="single" w:color="BFD3C7" w:sz="4"/>
              <w:left w:val="single" w:color="BFD3C7" w:sz="4"/>
              <w:bottom w:val="single" w:color="BFD3C7" w:sz="4"/>
              <w:right w:val="single" w:color="BFD3C7" w:sz="4"/>
            </w:tcBorders>
            <w:tcMar>
              <w:top w:type="dxa" w:w="80"/>
              <w:left w:type="dxa" w:w="120"/>
              <w:bottom w:type="dxa" w:w="80"/>
              <w:right w:type="dxa" w:w="120"/>
            </w:tcMar>
          </w:tcPr>
          <w:p>
            <w:r>
              <w:rPr>
                <w:b w:val="false"/>
                <w:bCs w:val="false"/>
              </w:rPr>
              <w:t xml:space="preserve">Collect only what is needed, ask for consent, protect contact details and let users delete their data.</w:t>
            </w:r>
          </w:p>
        </w:tc>
      </w:tr>
      <w:tr>
        <w:tc>
          <w:tcPr>
            <w:tcW w:type="dxa" w:w="2600"/>
            <w:tcBorders>
              <w:top w:val="single" w:color="BFD3C7" w:sz="4"/>
              <w:left w:val="single" w:color="BFD3C7" w:sz="4"/>
              <w:bottom w:val="single" w:color="BFD3C7" w:sz="4"/>
              <w:right w:val="single" w:color="BFD3C7" w:sz="4"/>
            </w:tcBorders>
            <w:shd w:fill="EEF5F0" w:color="auto" w:val="clear"/>
            <w:tcMar>
              <w:top w:type="dxa" w:w="80"/>
              <w:left w:type="dxa" w:w="120"/>
              <w:bottom w:type="dxa" w:w="80"/>
              <w:right w:type="dxa" w:w="120"/>
            </w:tcMar>
          </w:tcPr>
          <w:p>
            <w:r>
              <w:rPr>
                <w:b/>
                <w:bCs/>
              </w:rPr>
              <w:t xml:space="preserve">Low trust or digital access</w:t>
            </w:r>
          </w:p>
        </w:tc>
        <w:tc>
          <w:tcPr>
            <w:tcW w:type="dxa" w:w="6426"/>
            <w:tcBorders>
              <w:top w:val="single" w:color="BFD3C7" w:sz="4"/>
              <w:left w:val="single" w:color="BFD3C7" w:sz="4"/>
              <w:bottom w:val="single" w:color="BFD3C7" w:sz="4"/>
              <w:right w:val="single" w:color="BFD3C7" w:sz="4"/>
            </w:tcBorders>
            <w:tcMar>
              <w:top w:type="dxa" w:w="80"/>
              <w:left w:type="dxa" w:w="120"/>
              <w:bottom w:type="dxa" w:w="80"/>
              <w:right w:type="dxa" w:w="120"/>
            </w:tcMar>
          </w:tcPr>
          <w:p>
            <w:r>
              <w:rPr>
                <w:b w:val="false"/>
                <w:bCs w:val="false"/>
              </w:rPr>
              <w:t xml:space="preserve">WhatsApp-first design, local languages, and campus ambassadors who help first-time donors.</w:t>
            </w:r>
          </w:p>
        </w:tc>
      </w:tr>
    </w:tbl>
    <w:p>
      <w:pPr>
        <w:spacing w:after="60"/>
      </w:pPr>
      <w:r>
        <w:t xml:space="preserve"/>
      </w:r>
    </w:p>
    <w:p>
      <w:pPr>
        <w:pStyle w:val="Heading1"/>
        <w:spacing w:after="100" w:before="260"/>
      </w:pPr>
      <w:r>
        <w:rPr>
          <w:rFonts w:ascii="Calibri" w:cs="Calibri" w:eastAsia="Calibri" w:hAnsi="Calibri"/>
          <w:b/>
          <w:bCs/>
          <w:color w:val="1F4D3A"/>
          <w:sz w:val="28"/>
          <w:szCs w:val="28"/>
        </w:rPr>
        <w:t xml:space="preserve">9. Roadmap</w:t>
      </w:r>
    </w:p>
    <w:p>
      <w:pPr>
        <w:pStyle w:val="ListParagraph"/>
        <w:numPr>
          <w:ilvl w:val="0"/>
          <w:numId w:val="2"/>
        </w:numPr>
        <w:spacing w:after="80"/>
      </w:pPr>
      <w:r>
        <w:rPr>
          <w:b/>
          <w:bCs/>
        </w:rPr>
        <w:t xml:space="preserve">Phase 1, Pilot: </w:t>
      </w:r>
      <w:r>
        <w:t xml:space="preserve">WhatsApp bot with the Donor and Matcher agents in one city with hostels, canteens and two NGOs.</w:t>
      </w:r>
    </w:p>
    <w:p>
      <w:pPr>
        <w:pStyle w:val="ListParagraph"/>
        <w:numPr>
          <w:ilvl w:val="0"/>
          <w:numId w:val="2"/>
        </w:numPr>
        <w:spacing w:after="80"/>
      </w:pPr>
      <w:r>
        <w:rPr>
          <w:b/>
          <w:bCs/>
        </w:rPr>
        <w:t xml:space="preserve">Phase 2, Grow: </w:t>
      </w:r>
      <w:r>
        <w:t xml:space="preserve">add the Logistics and Safety agents, onboard caterers, restaurants and volunteer groups.</w:t>
      </w:r>
    </w:p>
    <w:p>
      <w:pPr>
        <w:pStyle w:val="ListParagraph"/>
        <w:numPr>
          <w:ilvl w:val="0"/>
          <w:numId w:val="2"/>
        </w:numPr>
        <w:spacing w:after="80"/>
      </w:pPr>
      <w:r>
        <w:rPr>
          <w:b/>
          <w:bCs/>
        </w:rPr>
        <w:t xml:space="preserve">Phase 3, Prove impact: </w:t>
      </w:r>
      <w:r>
        <w:t xml:space="preserve">publish meals-rescued results and win CSR and government support.</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2026-10-14T14:42:36.050Z</dcterms:created>
  <dcterms:modified xsi:type="dcterms:W3CDTF">2026-10-14T14:42:36.055Z</dcterms:modified>
</cp:coreProperties>
</file>

<file path=docProps/custom.xml><?xml version="1.0" encoding="utf-8"?>
<Properties xmlns="http://schemas.openxmlformats.org/officeDocument/2006/custom-properties" xmlns:vt="http://schemas.openxmlformats.org/officeDocument/2006/docPropsVTypes"/>
</file>