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FADE1" w14:textId="77777777" w:rsidR="00AE3AF9" w:rsidRDefault="00146551" w:rsidP="00146551">
      <w:pPr>
        <w:pStyle w:val="Heading1"/>
      </w:pPr>
      <w:r w:rsidRPr="00146551">
        <w:t>Building the workforce of tomorrow: The role of GCCs in tech talent development</w:t>
      </w:r>
    </w:p>
    <w:p w14:paraId="7EB041F4" w14:textId="254EC309" w:rsidR="005C18C6" w:rsidRPr="00AF5FA2" w:rsidRDefault="006E2119" w:rsidP="009C16CE">
      <w:pPr>
        <w:rPr>
          <w:sz w:val="18"/>
          <w:szCs w:val="18"/>
        </w:rPr>
      </w:pPr>
      <w:r w:rsidRPr="00AF5FA2">
        <w:rPr>
          <w:b/>
          <w:bCs/>
          <w:sz w:val="18"/>
          <w:szCs w:val="18"/>
          <w:highlight w:val="yellow"/>
        </w:rPr>
        <w:t>Keywords:</w:t>
      </w:r>
      <w:r w:rsidRPr="00AF5FA2">
        <w:rPr>
          <w:sz w:val="18"/>
          <w:szCs w:val="18"/>
          <w:highlight w:val="yellow"/>
        </w:rPr>
        <w:t xml:space="preserve"> Talent and Workforce at GCCs, Workforce solutions at GCCs, Workforce solutions, Talent solutions</w:t>
      </w:r>
      <w:r w:rsidR="006A0CBB" w:rsidRPr="00AF5FA2">
        <w:rPr>
          <w:sz w:val="18"/>
          <w:szCs w:val="18"/>
          <w:highlight w:val="yellow"/>
        </w:rPr>
        <w:t xml:space="preserve">, Emerging technology adoption by GCCs, GenAI, Digital technologies, </w:t>
      </w:r>
      <w:r w:rsidR="00AF5FA2" w:rsidRPr="00AF5FA2">
        <w:rPr>
          <w:sz w:val="18"/>
          <w:szCs w:val="18"/>
          <w:highlight w:val="yellow"/>
        </w:rPr>
        <w:t>AI, tech and talent development at GCCs</w:t>
      </w:r>
    </w:p>
    <w:p w14:paraId="14A9E2FA" w14:textId="0228E547" w:rsidR="0020001B" w:rsidRDefault="009B2931" w:rsidP="009C16CE">
      <w:r w:rsidRPr="009B2931">
        <w:t>As India emerges as the world capital for Global Capability Centres (GCCs), the</w:t>
      </w:r>
      <w:r w:rsidR="00401C1E">
        <w:t>re is a</w:t>
      </w:r>
      <w:r w:rsidRPr="009B2931">
        <w:t xml:space="preserve"> </w:t>
      </w:r>
      <w:r w:rsidR="00D7275C">
        <w:t>larger</w:t>
      </w:r>
      <w:r w:rsidRPr="009B2931">
        <w:t xml:space="preserve"> scope</w:t>
      </w:r>
      <w:r w:rsidR="00AE0924">
        <w:t xml:space="preserve"> </w:t>
      </w:r>
      <w:r w:rsidR="00942CFC">
        <w:t>that has evolved over time</w:t>
      </w:r>
      <w:r w:rsidRPr="009B2931">
        <w:t>. It is now well established that global organizations are no longer viewing GCCs as basic support units for routine tasks. Instead,</w:t>
      </w:r>
      <w:r w:rsidR="004074E4">
        <w:t xml:space="preserve"> global organizations a</w:t>
      </w:r>
      <w:r w:rsidR="0095272D">
        <w:t xml:space="preserve">re looking at GCCs to grow into </w:t>
      </w:r>
      <w:r w:rsidRPr="009B2931">
        <w:t>hubs of transformation and innovation.</w:t>
      </w:r>
    </w:p>
    <w:p w14:paraId="2ABAF185" w14:textId="4B60B450" w:rsidR="003D7B64" w:rsidRDefault="00AE3C85" w:rsidP="009C16CE">
      <w:r>
        <w:t>But is it only about adopting new technologies? Not really.</w:t>
      </w:r>
      <w:r w:rsidR="009A011C">
        <w:t xml:space="preserve"> It’s all about bring both the right tech and right talent together to make innovation happen</w:t>
      </w:r>
      <w:r w:rsidR="003D7B64" w:rsidRPr="003D7B64">
        <w:t>. That means upskilling and reskilling teams so they can keep pace and gr</w:t>
      </w:r>
      <w:r w:rsidR="00D008F3">
        <w:t>ow</w:t>
      </w:r>
      <w:r w:rsidR="003D7B64" w:rsidRPr="003D7B64">
        <w:t>.</w:t>
      </w:r>
    </w:p>
    <w:p w14:paraId="416B3302" w14:textId="1DC1B149" w:rsidR="00E05423" w:rsidRPr="00E05423" w:rsidRDefault="00E05423" w:rsidP="009C16CE">
      <w:pPr>
        <w:rPr>
          <w:b/>
          <w:bCs/>
        </w:rPr>
      </w:pPr>
      <w:r w:rsidRPr="00E05423">
        <w:rPr>
          <w:b/>
          <w:bCs/>
        </w:rPr>
        <w:t xml:space="preserve">How are GCCs future-proofing tech and talent? </w:t>
      </w:r>
    </w:p>
    <w:p w14:paraId="52CC67EA" w14:textId="77777777" w:rsidR="007545DD" w:rsidRDefault="006A4B27" w:rsidP="009C16CE">
      <w:r>
        <w:t>Taking references from the</w:t>
      </w:r>
      <w:r w:rsidR="005C18C6" w:rsidRPr="005C18C6">
        <w:t xml:space="preserve"> 2024 </w:t>
      </w:r>
      <w:hyperlink r:id="rId4" w:history="1">
        <w:r w:rsidR="005C18C6" w:rsidRPr="006A4B27">
          <w:rPr>
            <w:rStyle w:val="Hyperlink"/>
          </w:rPr>
          <w:t>NASSCOM</w:t>
        </w:r>
      </w:hyperlink>
      <w:r w:rsidR="005C18C6" w:rsidRPr="005C18C6">
        <w:t xml:space="preserve"> report, </w:t>
      </w:r>
      <w:r w:rsidR="002908B5">
        <w:t>“</w:t>
      </w:r>
      <w:r w:rsidR="005C18C6" w:rsidRPr="005C18C6">
        <w:t>76% of GCCs have already initiated GenAI upskilling programs. This includes: Prompt engineering workshops</w:t>
      </w:r>
      <w:r w:rsidR="00C43A2E">
        <w:t>,</w:t>
      </w:r>
      <w:r w:rsidR="005C18C6" w:rsidRPr="005C18C6">
        <w:t xml:space="preserve"> AI-augmented product design training</w:t>
      </w:r>
      <w:r w:rsidR="00C43A2E">
        <w:t>, e</w:t>
      </w:r>
      <w:r w:rsidR="005C18C6" w:rsidRPr="005C18C6">
        <w:t>thical AI and governance modules</w:t>
      </w:r>
      <w:r w:rsidR="00C43A2E">
        <w:t>. So, r</w:t>
      </w:r>
      <w:r w:rsidR="005C18C6" w:rsidRPr="005C18C6">
        <w:t>ather than replacing jobs, GenAI is reshaping skill demands.</w:t>
      </w:r>
      <w:r w:rsidR="00274AAD">
        <w:t>”</w:t>
      </w:r>
      <w:r w:rsidR="005C18C6" w:rsidRPr="005C18C6">
        <w:t xml:space="preserve"> </w:t>
      </w:r>
      <w:r w:rsidR="00274AAD">
        <w:t>Adding on, “</w:t>
      </w:r>
      <w:r w:rsidR="005C18C6" w:rsidRPr="005C18C6">
        <w:t>GCCs are investing in nano-certifications, internal AI labs, and partnerships with edtech platforms to enable continuous learning. Companies like J.P. Morgan, Walmart, and Shell are rolling out GenAI bootcamps to prepare talent for hybrid roles — part domain expert, part AI collaborator.</w:t>
      </w:r>
      <w:r w:rsidR="00274AAD">
        <w:t>”</w:t>
      </w:r>
    </w:p>
    <w:p w14:paraId="1266C4E7" w14:textId="67A9A5DB" w:rsidR="00AD41DC" w:rsidRDefault="00627F07" w:rsidP="009C16CE">
      <w:r>
        <w:t>Ultimately, w</w:t>
      </w:r>
      <w:r w:rsidR="00263FFC" w:rsidRPr="00263FFC">
        <w:t>hen we talk about the future of work, it is obvious that technology plays a huge role. But technology by itself is not the whole story. It is people who are skilled, curious and ready to innovat</w:t>
      </w:r>
      <w:r w:rsidR="001530D4">
        <w:t xml:space="preserve">e, </w:t>
      </w:r>
      <w:r w:rsidR="00263FFC" w:rsidRPr="00263FFC">
        <w:t>mak</w:t>
      </w:r>
      <w:r w:rsidR="001530D4">
        <w:t>ing</w:t>
      </w:r>
      <w:r w:rsidR="00263FFC" w:rsidRPr="00263FFC">
        <w:t xml:space="preserve"> transformation happen. This is where GCCs are stepping up in a big way, building</w:t>
      </w:r>
      <w:r w:rsidR="00AD41DC">
        <w:t xml:space="preserve"> both the tech and talent for tomorrow</w:t>
      </w:r>
      <w:r w:rsidR="00263FFC" w:rsidRPr="00263FFC">
        <w:t>.</w:t>
      </w:r>
    </w:p>
    <w:p w14:paraId="5D94C10B" w14:textId="1D2CF0C6" w:rsidR="00E01C30" w:rsidRDefault="00892A91" w:rsidP="009C16CE">
      <w:r>
        <w:t xml:space="preserve">Continuous learning and improvement </w:t>
      </w:r>
      <w:r w:rsidR="00851A1E">
        <w:t>are</w:t>
      </w:r>
      <w:r>
        <w:t xml:space="preserve"> the key to </w:t>
      </w:r>
      <w:r w:rsidR="00851A1E">
        <w:t xml:space="preserve">everything that organizations want to achieve through their GCCs. </w:t>
      </w:r>
      <w:r w:rsidR="00ED40FD">
        <w:t>It becomes critical for GCCs to</w:t>
      </w:r>
      <w:r w:rsidR="00851A1E" w:rsidRPr="00851A1E">
        <w:t xml:space="preserve"> put serious effort into building deep expertise </w:t>
      </w:r>
      <w:r w:rsidR="000D4EC0">
        <w:t>across up and emerging tech areas such as</w:t>
      </w:r>
      <w:r w:rsidR="00851A1E" w:rsidRPr="00851A1E">
        <w:t xml:space="preserve"> AI, machine learning, cloud computing, cybersecurity, and data analytics. It is not j</w:t>
      </w:r>
      <w:r w:rsidR="000D4EC0">
        <w:t>ust</w:t>
      </w:r>
      <w:r w:rsidR="00851A1E" w:rsidRPr="00851A1E">
        <w:t xml:space="preserve"> upskilling</w:t>
      </w:r>
      <w:r w:rsidR="00922D94">
        <w:t xml:space="preserve">; </w:t>
      </w:r>
      <w:r w:rsidR="00851A1E" w:rsidRPr="00851A1E">
        <w:t xml:space="preserve">it is about creating a culture where </w:t>
      </w:r>
      <w:r w:rsidR="000D4EC0">
        <w:t xml:space="preserve">there is constant learning to stay up to speed, as standing still is not an option. </w:t>
      </w:r>
    </w:p>
    <w:p w14:paraId="65BB8515" w14:textId="52DF7447" w:rsidR="00FE4667" w:rsidRPr="00EB5960" w:rsidRDefault="00EB5960" w:rsidP="009C16CE">
      <w:pPr>
        <w:rPr>
          <w:b/>
          <w:bCs/>
        </w:rPr>
      </w:pPr>
      <w:r>
        <w:rPr>
          <w:b/>
          <w:bCs/>
        </w:rPr>
        <w:t xml:space="preserve">Does </w:t>
      </w:r>
      <w:r w:rsidRPr="00EB5960">
        <w:rPr>
          <w:b/>
          <w:bCs/>
        </w:rPr>
        <w:t>on-the-job innovation and learning for GCCs</w:t>
      </w:r>
      <w:r>
        <w:rPr>
          <w:b/>
          <w:bCs/>
        </w:rPr>
        <w:t xml:space="preserve"> make sense</w:t>
      </w:r>
      <w:r w:rsidRPr="00EB5960">
        <w:rPr>
          <w:b/>
          <w:bCs/>
        </w:rPr>
        <w:t>?</w:t>
      </w:r>
    </w:p>
    <w:p w14:paraId="2CCCADE6" w14:textId="798EA249" w:rsidR="00607259" w:rsidRDefault="00607259" w:rsidP="009C16CE">
      <w:r>
        <w:t xml:space="preserve">According to EY’s </w:t>
      </w:r>
      <w:hyperlink r:id="rId5" w:history="1">
        <w:r w:rsidR="00FE4667" w:rsidRPr="00094534">
          <w:rPr>
            <w:rStyle w:val="Hyperlink"/>
          </w:rPr>
          <w:t>GCC</w:t>
        </w:r>
        <w:r w:rsidR="00FE4667" w:rsidRPr="00094534">
          <w:rPr>
            <w:rStyle w:val="Hyperlink"/>
          </w:rPr>
          <w:t xml:space="preserve"> p</w:t>
        </w:r>
        <w:r w:rsidR="00FE4667" w:rsidRPr="00094534">
          <w:rPr>
            <w:rStyle w:val="Hyperlink"/>
          </w:rPr>
          <w:t xml:space="preserve">ulse </w:t>
        </w:r>
        <w:r w:rsidR="00FE4667" w:rsidRPr="00094534">
          <w:rPr>
            <w:rStyle w:val="Hyperlink"/>
          </w:rPr>
          <w:t>s</w:t>
        </w:r>
        <w:r w:rsidR="00FE4667" w:rsidRPr="00094534">
          <w:rPr>
            <w:rStyle w:val="Hyperlink"/>
          </w:rPr>
          <w:t>urvey</w:t>
        </w:r>
      </w:hyperlink>
      <w:r w:rsidR="00FE4667" w:rsidRPr="00FE4667">
        <w:t xml:space="preserve"> 2024</w:t>
      </w:r>
      <w:r w:rsidR="00FE4667">
        <w:t xml:space="preserve">, </w:t>
      </w:r>
      <w:r w:rsidR="00EE1481">
        <w:t>“GenAI is ga</w:t>
      </w:r>
      <w:r w:rsidR="00946D9F">
        <w:t>ining traction among GCCs, with many starting adoption in the customer interaction function due to its ease of implementation and potential to boose efficiency.</w:t>
      </w:r>
      <w:r w:rsidR="00EE1481">
        <w:t>”</w:t>
      </w:r>
      <w:r w:rsidR="0033150F">
        <w:t xml:space="preserve"> It adds, “Many GCCs are already deploying use cases to enhance efficiency, with 78% upskilling internal teams and 49% </w:t>
      </w:r>
      <w:r w:rsidR="00595DE5">
        <w:t>collaborating with external vendors to accelerate the transformation.</w:t>
      </w:r>
      <w:r w:rsidR="0033150F">
        <w:t>”</w:t>
      </w:r>
    </w:p>
    <w:p w14:paraId="19B393C1" w14:textId="2EE633E6" w:rsidR="00595DE5" w:rsidRDefault="00595DE5" w:rsidP="009C16CE">
      <w:r>
        <w:t xml:space="preserve">Statistics such as these validate how GCCs are at the forefront of initiatives that </w:t>
      </w:r>
      <w:r w:rsidR="005C3587">
        <w:t>are inducing</w:t>
      </w:r>
      <w:r w:rsidR="007E2752">
        <w:t xml:space="preserve"> </w:t>
      </w:r>
      <w:r w:rsidR="005C3587">
        <w:t>innovation and experimentation</w:t>
      </w:r>
      <w:r w:rsidR="008B5018">
        <w:t xml:space="preserve"> to find that competitive edge</w:t>
      </w:r>
      <w:r w:rsidR="005C3587">
        <w:t>.</w:t>
      </w:r>
      <w:r w:rsidR="00E74686">
        <w:t xml:space="preserve"> </w:t>
      </w:r>
      <w:r w:rsidR="00C527B6">
        <w:t xml:space="preserve">This implies a regulated and constant learning and </w:t>
      </w:r>
      <w:r w:rsidR="00B76DB1">
        <w:t xml:space="preserve">training workflow for the workforce. </w:t>
      </w:r>
    </w:p>
    <w:p w14:paraId="5C667E35" w14:textId="77777777" w:rsidR="00B84379" w:rsidRDefault="00644965" w:rsidP="009C16CE">
      <w:r>
        <w:lastRenderedPageBreak/>
        <w:t>And</w:t>
      </w:r>
      <w:r w:rsidR="00B76DB1">
        <w:t xml:space="preserve"> l</w:t>
      </w:r>
      <w:r w:rsidR="00B76DB1" w:rsidRPr="00B76DB1">
        <w:t xml:space="preserve">earning is no longer limited to classrooms or online modules. </w:t>
      </w:r>
      <w:r>
        <w:t>I</w:t>
      </w:r>
      <w:r w:rsidR="00B76DB1" w:rsidRPr="00B76DB1">
        <w:t xml:space="preserve">t is hands-on and rooted in real-world challenges. That is why many GCCs are setting up innovation labs, hosting hackathons, creating digital sandboxes, and encouraging rapid prototyping. </w:t>
      </w:r>
    </w:p>
    <w:p w14:paraId="546CAFBA" w14:textId="2FCBC6ED" w:rsidR="00B76DB1" w:rsidRDefault="00B76DB1" w:rsidP="009C16CE">
      <w:r w:rsidRPr="00B76DB1">
        <w:t>Picture a team working on a smarter checkout experience for an e-commerce platform. Instead of waiting for approvals, they</w:t>
      </w:r>
      <w:r w:rsidR="00813A73">
        <w:t xml:space="preserve"> go straight in</w:t>
      </w:r>
      <w:r w:rsidRPr="00B76DB1">
        <w:t xml:space="preserve">, build a </w:t>
      </w:r>
      <w:r w:rsidR="00813A73">
        <w:t xml:space="preserve">ready-to-experiment </w:t>
      </w:r>
      <w:r w:rsidRPr="00B76DB1">
        <w:t xml:space="preserve">prototype, test it, learn from it, and </w:t>
      </w:r>
      <w:r w:rsidR="00813A73">
        <w:t>improvise on the go</w:t>
      </w:r>
      <w:r w:rsidRPr="00B76DB1">
        <w:t xml:space="preserve">. This kind of learning happens by doing, not by </w:t>
      </w:r>
      <w:r w:rsidR="00813A73">
        <w:t xml:space="preserve">waiting, which is </w:t>
      </w:r>
      <w:r w:rsidRPr="00B76DB1">
        <w:t xml:space="preserve">helping teams stay </w:t>
      </w:r>
      <w:r w:rsidR="0001766E">
        <w:t>agile</w:t>
      </w:r>
      <w:r w:rsidRPr="00B76DB1">
        <w:t xml:space="preserve"> and future-</w:t>
      </w:r>
      <w:r w:rsidR="0001766E">
        <w:t xml:space="preserve">proof for any contingencies. </w:t>
      </w:r>
    </w:p>
    <w:p w14:paraId="028508CD" w14:textId="77A2F27A" w:rsidR="0058061E" w:rsidRPr="0058061E" w:rsidRDefault="0058061E" w:rsidP="0058061E">
      <w:r w:rsidRPr="0058061E">
        <w:rPr>
          <w:b/>
          <w:bCs/>
        </w:rPr>
        <w:t xml:space="preserve">How </w:t>
      </w:r>
      <w:r>
        <w:rPr>
          <w:b/>
          <w:bCs/>
        </w:rPr>
        <w:t>a</w:t>
      </w:r>
      <w:r w:rsidRPr="0058061E">
        <w:rPr>
          <w:b/>
          <w:bCs/>
        </w:rPr>
        <w:t xml:space="preserve">re GCCs </w:t>
      </w:r>
      <w:r>
        <w:rPr>
          <w:b/>
          <w:bCs/>
        </w:rPr>
        <w:t>b</w:t>
      </w:r>
      <w:r w:rsidRPr="0058061E">
        <w:rPr>
          <w:b/>
          <w:bCs/>
        </w:rPr>
        <w:t xml:space="preserve">uilding </w:t>
      </w:r>
      <w:r>
        <w:rPr>
          <w:b/>
          <w:bCs/>
        </w:rPr>
        <w:t>teams</w:t>
      </w:r>
      <w:r w:rsidR="00D542C1">
        <w:rPr>
          <w:b/>
          <w:bCs/>
        </w:rPr>
        <w:t xml:space="preserve"> with real-world confidence</w:t>
      </w:r>
      <w:r w:rsidRPr="0058061E">
        <w:rPr>
          <w:b/>
          <w:bCs/>
        </w:rPr>
        <w:t>?</w:t>
      </w:r>
      <w:r w:rsidRPr="0058061E">
        <w:br/>
        <w:t xml:space="preserve">GCCs understand that staying ahead in today’s world means building teams that are curious, adaptable, and always </w:t>
      </w:r>
      <w:r w:rsidR="00E50E59">
        <w:t>ready for one-the-job learning</w:t>
      </w:r>
      <w:r w:rsidRPr="0058061E">
        <w:t xml:space="preserve">. </w:t>
      </w:r>
      <w:r w:rsidR="00E50E59">
        <w:t xml:space="preserve">Hence, </w:t>
      </w:r>
      <w:r w:rsidRPr="0058061E">
        <w:t xml:space="preserve">they are creating cultures where people feel safe to experiment, learn from missteps, and keep moving forward. </w:t>
      </w:r>
    </w:p>
    <w:p w14:paraId="44AF4C15" w14:textId="4109776E" w:rsidR="0058061E" w:rsidRDefault="00D542C1" w:rsidP="0058061E">
      <w:r>
        <w:t>Let’s consider this</w:t>
      </w:r>
      <w:r w:rsidR="0058061E" w:rsidRPr="0058061E">
        <w:t>. A GCC working with a global fintech company</w:t>
      </w:r>
      <w:r w:rsidR="00783FA7">
        <w:t>,</w:t>
      </w:r>
      <w:r w:rsidR="0058061E" w:rsidRPr="0058061E">
        <w:t xml:space="preserve"> partners with a local university to co-design a course on responsible AI. Students get to work on actual use cases from the company’s product pipeline. Some of those students later join the GCC, already equipped with relevant skills and fresh thinking.</w:t>
      </w:r>
      <w:r w:rsidR="00783FA7">
        <w:t xml:space="preserve"> </w:t>
      </w:r>
    </w:p>
    <w:p w14:paraId="276726E0" w14:textId="36FE665E" w:rsidR="00783FA7" w:rsidRPr="0058061E" w:rsidRDefault="00783FA7" w:rsidP="0058061E">
      <w:r>
        <w:t xml:space="preserve">Doesn’t this sound like a win-win for both? </w:t>
      </w:r>
    </w:p>
    <w:p w14:paraId="14069089" w14:textId="41F258B6" w:rsidR="0058061E" w:rsidRPr="0058061E" w:rsidRDefault="0058061E" w:rsidP="0058061E">
      <w:r w:rsidRPr="0058061E">
        <w:t xml:space="preserve">At the same time, the GCC runs regular hackathons and rapid prototyping sprints internally. </w:t>
      </w:r>
      <w:r w:rsidR="00885B7B">
        <w:t>They implement</w:t>
      </w:r>
      <w:r w:rsidRPr="0058061E">
        <w:t xml:space="preserve"> sprints to explore </w:t>
      </w:r>
      <w:r w:rsidR="00A10C82">
        <w:t xml:space="preserve">a </w:t>
      </w:r>
      <w:r w:rsidRPr="0058061E">
        <w:t>solution</w:t>
      </w:r>
      <w:r w:rsidR="00E01724">
        <w:t xml:space="preserve">, work on prototyping, and eventually </w:t>
      </w:r>
      <w:r w:rsidR="00976BB1">
        <w:t xml:space="preserve">launch </w:t>
      </w:r>
      <w:r w:rsidR="00E01724">
        <w:t xml:space="preserve">it </w:t>
      </w:r>
      <w:r w:rsidR="00734D7F">
        <w:t>at speed</w:t>
      </w:r>
      <w:r w:rsidRPr="0058061E">
        <w:t>.</w:t>
      </w:r>
      <w:r w:rsidR="00734D7F">
        <w:t xml:space="preserve"> Well, considering all the necessary compliances and security </w:t>
      </w:r>
      <w:r w:rsidR="00EB49C0">
        <w:t>aspects needed</w:t>
      </w:r>
      <w:r w:rsidRPr="0058061E">
        <w:t>.</w:t>
      </w:r>
    </w:p>
    <w:p w14:paraId="5AE38626" w14:textId="48344C55" w:rsidR="0058061E" w:rsidRDefault="0058061E" w:rsidP="0058061E">
      <w:r w:rsidRPr="0058061E">
        <w:t xml:space="preserve">By connecting learning with real challenges and bringing in </w:t>
      </w:r>
      <w:r w:rsidR="005433C9">
        <w:t xml:space="preserve">external </w:t>
      </w:r>
      <w:r w:rsidRPr="0058061E">
        <w:t xml:space="preserve">partnerships, GCCs are helping build talent that is not just future-ready, but </w:t>
      </w:r>
      <w:r w:rsidR="00EB49C0">
        <w:t xml:space="preserve">shaped up for the next. </w:t>
      </w:r>
    </w:p>
    <w:p w14:paraId="7A81804D" w14:textId="4239907A" w:rsidR="009A28FD" w:rsidRDefault="009A28FD" w:rsidP="0058061E">
      <w:r>
        <w:t xml:space="preserve">As per </w:t>
      </w:r>
      <w:hyperlink r:id="rId6" w:history="1">
        <w:r w:rsidRPr="00882564">
          <w:rPr>
            <w:rStyle w:val="Hyperlink"/>
          </w:rPr>
          <w:t>NASSCOM</w:t>
        </w:r>
      </w:hyperlink>
      <w:r>
        <w:t xml:space="preserve">, </w:t>
      </w:r>
      <w:r w:rsidRPr="00374836">
        <w:t xml:space="preserve">India remains the global leader in GCCs, hosting over 1,800 </w:t>
      </w:r>
      <w:r w:rsidR="002F2B97" w:rsidRPr="00374836">
        <w:t>centres</w:t>
      </w:r>
      <w:r w:rsidRPr="00374836">
        <w:t xml:space="preserve"> that contributed $64.6 billion in revenue in 2024, with projections to surpass $100 billion by 2030. Approximately 364,000 new jobs are anticipated by 2025</w:t>
      </w:r>
      <w:r w:rsidR="00882564">
        <w:t xml:space="preserve">. </w:t>
      </w:r>
    </w:p>
    <w:p w14:paraId="39FA7ECA" w14:textId="41ACC577" w:rsidR="00882564" w:rsidRPr="0058061E" w:rsidRDefault="00882564" w:rsidP="0058061E">
      <w:r>
        <w:t>The grow</w:t>
      </w:r>
      <w:r w:rsidR="005433C9">
        <w:t>th</w:t>
      </w:r>
      <w:r>
        <w:t xml:space="preserve"> path for GCCs in India is set</w:t>
      </w:r>
      <w:r w:rsidR="00FC19EC">
        <w:t>!</w:t>
      </w:r>
    </w:p>
    <w:p w14:paraId="752E1F67" w14:textId="7F1D1C11" w:rsidR="0058061E" w:rsidRDefault="009A28FD" w:rsidP="009C16CE">
      <w:r w:rsidRPr="009A28FD">
        <w:t xml:space="preserve">At </w:t>
      </w:r>
      <w:proofErr w:type="spellStart"/>
      <w:r w:rsidRPr="009A28FD">
        <w:t>Enablr</w:t>
      </w:r>
      <w:proofErr w:type="spellEnd"/>
      <w:r w:rsidRPr="009A28FD">
        <w:t>, we see GCCs as powerful engines for building future-ready talent. By blending hands-on learning, a</w:t>
      </w:r>
      <w:r w:rsidR="00FC19EC">
        <w:t>n environment</w:t>
      </w:r>
      <w:r w:rsidRPr="009A28FD">
        <w:t xml:space="preserve"> of curiosity, and strong partnerships, we are shap</w:t>
      </w:r>
      <w:r w:rsidR="00BE2E8A">
        <w:t>ing up</w:t>
      </w:r>
      <w:r w:rsidRPr="009A28FD">
        <w:t xml:space="preserve"> teams that are not just skilled but adaptable and </w:t>
      </w:r>
      <w:r w:rsidR="00BE2E8A">
        <w:t>aspirational</w:t>
      </w:r>
      <w:r w:rsidRPr="009A28FD">
        <w:t>.</w:t>
      </w:r>
    </w:p>
    <w:p w14:paraId="23C71E9E" w14:textId="46A50C27" w:rsidR="00E561A3" w:rsidRDefault="007A5694" w:rsidP="009C16CE">
      <w:r>
        <w:t xml:space="preserve">Schedule a consultation with our </w:t>
      </w:r>
      <w:r w:rsidR="00D55729">
        <w:t xml:space="preserve">leaders and experts to get your GCC roadmap up and running with the right tech, talent, and </w:t>
      </w:r>
      <w:r w:rsidR="009A2CBF">
        <w:t xml:space="preserve">infrastructure. </w:t>
      </w:r>
    </w:p>
    <w:p w14:paraId="58CA369A" w14:textId="6325A279" w:rsidR="009C16CE" w:rsidRDefault="005C18C6" w:rsidP="009C16CE">
      <w:r w:rsidRPr="005C18C6">
        <w:br/>
      </w:r>
    </w:p>
    <w:p w14:paraId="45C73FF5" w14:textId="77777777" w:rsidR="00374836" w:rsidRDefault="00374836" w:rsidP="009C16CE"/>
    <w:p w14:paraId="397C8E6C" w14:textId="77777777" w:rsidR="00374836" w:rsidRDefault="00374836" w:rsidP="009C16CE"/>
    <w:p w14:paraId="49B0DA52" w14:textId="77777777" w:rsidR="00374836" w:rsidRDefault="00374836" w:rsidP="009C16CE"/>
    <w:p w14:paraId="422BC8D0" w14:textId="77777777" w:rsidR="00374836" w:rsidRDefault="00374836" w:rsidP="009C16CE"/>
    <w:sectPr w:rsidR="00374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551"/>
    <w:rsid w:val="0001766E"/>
    <w:rsid w:val="00094534"/>
    <w:rsid w:val="000D4EC0"/>
    <w:rsid w:val="00146551"/>
    <w:rsid w:val="001530D4"/>
    <w:rsid w:val="00170032"/>
    <w:rsid w:val="0020001B"/>
    <w:rsid w:val="00263FFC"/>
    <w:rsid w:val="00274AAD"/>
    <w:rsid w:val="002908B5"/>
    <w:rsid w:val="002E0BC0"/>
    <w:rsid w:val="002F2B97"/>
    <w:rsid w:val="0033150F"/>
    <w:rsid w:val="00374836"/>
    <w:rsid w:val="003D7B64"/>
    <w:rsid w:val="00401C1E"/>
    <w:rsid w:val="004074E4"/>
    <w:rsid w:val="005278CE"/>
    <w:rsid w:val="005433C9"/>
    <w:rsid w:val="0057383E"/>
    <w:rsid w:val="0058061E"/>
    <w:rsid w:val="00595DE5"/>
    <w:rsid w:val="005A223F"/>
    <w:rsid w:val="005C18C6"/>
    <w:rsid w:val="005C3587"/>
    <w:rsid w:val="005F6CF8"/>
    <w:rsid w:val="00604FD8"/>
    <w:rsid w:val="00607259"/>
    <w:rsid w:val="00627F07"/>
    <w:rsid w:val="00644965"/>
    <w:rsid w:val="006A0CBB"/>
    <w:rsid w:val="006A4B27"/>
    <w:rsid w:val="006E2119"/>
    <w:rsid w:val="00734D7F"/>
    <w:rsid w:val="007545DD"/>
    <w:rsid w:val="00783FA7"/>
    <w:rsid w:val="007A5694"/>
    <w:rsid w:val="007E2752"/>
    <w:rsid w:val="00813A73"/>
    <w:rsid w:val="00851A1E"/>
    <w:rsid w:val="00882564"/>
    <w:rsid w:val="00885B7B"/>
    <w:rsid w:val="00892A91"/>
    <w:rsid w:val="008B5018"/>
    <w:rsid w:val="00922D94"/>
    <w:rsid w:val="0093529A"/>
    <w:rsid w:val="00942CFC"/>
    <w:rsid w:val="00946D9F"/>
    <w:rsid w:val="0095272D"/>
    <w:rsid w:val="00976BB1"/>
    <w:rsid w:val="009A011C"/>
    <w:rsid w:val="009A28FD"/>
    <w:rsid w:val="009A2CBF"/>
    <w:rsid w:val="009B2931"/>
    <w:rsid w:val="009B66D9"/>
    <w:rsid w:val="009C16CE"/>
    <w:rsid w:val="009C40CA"/>
    <w:rsid w:val="009D5BBD"/>
    <w:rsid w:val="00A10C82"/>
    <w:rsid w:val="00A939DA"/>
    <w:rsid w:val="00AD41DC"/>
    <w:rsid w:val="00AE0924"/>
    <w:rsid w:val="00AE3AF9"/>
    <w:rsid w:val="00AE3C85"/>
    <w:rsid w:val="00AF5FA2"/>
    <w:rsid w:val="00B1187B"/>
    <w:rsid w:val="00B76DB1"/>
    <w:rsid w:val="00B84379"/>
    <w:rsid w:val="00BE2E8A"/>
    <w:rsid w:val="00C03D38"/>
    <w:rsid w:val="00C43A2E"/>
    <w:rsid w:val="00C52406"/>
    <w:rsid w:val="00C527B6"/>
    <w:rsid w:val="00CA70E3"/>
    <w:rsid w:val="00CB05AB"/>
    <w:rsid w:val="00D008F3"/>
    <w:rsid w:val="00D04A4C"/>
    <w:rsid w:val="00D068B4"/>
    <w:rsid w:val="00D542C1"/>
    <w:rsid w:val="00D55729"/>
    <w:rsid w:val="00D7275C"/>
    <w:rsid w:val="00E01724"/>
    <w:rsid w:val="00E01C30"/>
    <w:rsid w:val="00E05423"/>
    <w:rsid w:val="00E50E59"/>
    <w:rsid w:val="00E561A3"/>
    <w:rsid w:val="00E74686"/>
    <w:rsid w:val="00EA32DF"/>
    <w:rsid w:val="00EB49C0"/>
    <w:rsid w:val="00EB5960"/>
    <w:rsid w:val="00ED40FD"/>
    <w:rsid w:val="00EE1481"/>
    <w:rsid w:val="00FC19EC"/>
    <w:rsid w:val="00FE46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4F8B2"/>
  <w15:chartTrackingRefBased/>
  <w15:docId w15:val="{402C04C8-0AFF-4DDC-BC0B-F0E1F281D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5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5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5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5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5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5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5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5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5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5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551"/>
    <w:rPr>
      <w:rFonts w:eastAsiaTheme="majorEastAsia" w:cstheme="majorBidi"/>
      <w:color w:val="272727" w:themeColor="text1" w:themeTint="D8"/>
    </w:rPr>
  </w:style>
  <w:style w:type="paragraph" w:styleId="Title">
    <w:name w:val="Title"/>
    <w:basedOn w:val="Normal"/>
    <w:next w:val="Normal"/>
    <w:link w:val="TitleChar"/>
    <w:uiPriority w:val="10"/>
    <w:qFormat/>
    <w:rsid w:val="00146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551"/>
    <w:pPr>
      <w:spacing w:before="160"/>
      <w:jc w:val="center"/>
    </w:pPr>
    <w:rPr>
      <w:i/>
      <w:iCs/>
      <w:color w:val="404040" w:themeColor="text1" w:themeTint="BF"/>
    </w:rPr>
  </w:style>
  <w:style w:type="character" w:customStyle="1" w:styleId="QuoteChar">
    <w:name w:val="Quote Char"/>
    <w:basedOn w:val="DefaultParagraphFont"/>
    <w:link w:val="Quote"/>
    <w:uiPriority w:val="29"/>
    <w:rsid w:val="00146551"/>
    <w:rPr>
      <w:i/>
      <w:iCs/>
      <w:color w:val="404040" w:themeColor="text1" w:themeTint="BF"/>
    </w:rPr>
  </w:style>
  <w:style w:type="paragraph" w:styleId="ListParagraph">
    <w:name w:val="List Paragraph"/>
    <w:basedOn w:val="Normal"/>
    <w:uiPriority w:val="34"/>
    <w:qFormat/>
    <w:rsid w:val="00146551"/>
    <w:pPr>
      <w:ind w:left="720"/>
      <w:contextualSpacing/>
    </w:pPr>
  </w:style>
  <w:style w:type="character" w:styleId="IntenseEmphasis">
    <w:name w:val="Intense Emphasis"/>
    <w:basedOn w:val="DefaultParagraphFont"/>
    <w:uiPriority w:val="21"/>
    <w:qFormat/>
    <w:rsid w:val="00146551"/>
    <w:rPr>
      <w:i/>
      <w:iCs/>
      <w:color w:val="2F5496" w:themeColor="accent1" w:themeShade="BF"/>
    </w:rPr>
  </w:style>
  <w:style w:type="paragraph" w:styleId="IntenseQuote">
    <w:name w:val="Intense Quote"/>
    <w:basedOn w:val="Normal"/>
    <w:next w:val="Normal"/>
    <w:link w:val="IntenseQuoteChar"/>
    <w:uiPriority w:val="30"/>
    <w:qFormat/>
    <w:rsid w:val="001465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551"/>
    <w:rPr>
      <w:i/>
      <w:iCs/>
      <w:color w:val="2F5496" w:themeColor="accent1" w:themeShade="BF"/>
    </w:rPr>
  </w:style>
  <w:style w:type="character" w:styleId="IntenseReference">
    <w:name w:val="Intense Reference"/>
    <w:basedOn w:val="DefaultParagraphFont"/>
    <w:uiPriority w:val="32"/>
    <w:qFormat/>
    <w:rsid w:val="00146551"/>
    <w:rPr>
      <w:b/>
      <w:bCs/>
      <w:smallCaps/>
      <w:color w:val="2F5496" w:themeColor="accent1" w:themeShade="BF"/>
      <w:spacing w:val="5"/>
    </w:rPr>
  </w:style>
  <w:style w:type="character" w:styleId="Hyperlink">
    <w:name w:val="Hyperlink"/>
    <w:basedOn w:val="DefaultParagraphFont"/>
    <w:uiPriority w:val="99"/>
    <w:unhideWhenUsed/>
    <w:rsid w:val="005C18C6"/>
    <w:rPr>
      <w:color w:val="0563C1" w:themeColor="hyperlink"/>
      <w:u w:val="single"/>
    </w:rPr>
  </w:style>
  <w:style w:type="character" w:styleId="UnresolvedMention">
    <w:name w:val="Unresolved Mention"/>
    <w:basedOn w:val="DefaultParagraphFont"/>
    <w:uiPriority w:val="99"/>
    <w:semiHidden/>
    <w:unhideWhenUsed/>
    <w:rsid w:val="005C1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737151">
      <w:bodyDiv w:val="1"/>
      <w:marLeft w:val="0"/>
      <w:marRight w:val="0"/>
      <w:marTop w:val="0"/>
      <w:marBottom w:val="0"/>
      <w:divBdr>
        <w:top w:val="none" w:sz="0" w:space="0" w:color="auto"/>
        <w:left w:val="none" w:sz="0" w:space="0" w:color="auto"/>
        <w:bottom w:val="none" w:sz="0" w:space="0" w:color="auto"/>
        <w:right w:val="none" w:sz="0" w:space="0" w:color="auto"/>
      </w:divBdr>
    </w:div>
    <w:div w:id="196060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mmunity.nasscom.in/communities/global-capability-centers/gcc-annual-report-2024" TargetMode="External"/><Relationship Id="rId5" Type="http://schemas.openxmlformats.org/officeDocument/2006/relationships/hyperlink" Target="https://www.ey.com/content/dam/ey-unified-site/ey-com/en-in/newsroom/2024/11/ey-gcc-pulse-survey-2024.pdf" TargetMode="External"/><Relationship Id="rId4" Type="http://schemas.openxmlformats.org/officeDocument/2006/relationships/hyperlink" Target="https://yourstory.com/2025/04/genai-impact-india-gcc-jobs-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859</Words>
  <Characters>4900</Characters>
  <Application>Microsoft Office Word</Application>
  <DocSecurity>0</DocSecurity>
  <Lines>40</Lines>
  <Paragraphs>11</Paragraphs>
  <ScaleCrop>false</ScaleCrop>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Lopez</dc:creator>
  <cp:keywords/>
  <dc:description/>
  <cp:lastModifiedBy>Komal Lopez</cp:lastModifiedBy>
  <cp:revision>90</cp:revision>
  <dcterms:created xsi:type="dcterms:W3CDTF">2025-04-29T04:43:00Z</dcterms:created>
  <dcterms:modified xsi:type="dcterms:W3CDTF">2025-04-29T08:51:00Z</dcterms:modified>
</cp:coreProperties>
</file>