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CA26" w14:textId="77777777" w:rsidR="0064276E" w:rsidRDefault="0064276E" w:rsidP="0064276E">
      <w:pPr>
        <w:pStyle w:val="Heading1"/>
      </w:pPr>
      <w:r w:rsidRPr="0064276E">
        <w:t xml:space="preserve">From </w:t>
      </w:r>
      <w:r>
        <w:t>s</w:t>
      </w:r>
      <w:r w:rsidRPr="0064276E">
        <w:t xml:space="preserve">upport </w:t>
      </w:r>
      <w:r>
        <w:t>f</w:t>
      </w:r>
      <w:r w:rsidRPr="0064276E">
        <w:t xml:space="preserve">unctions to </w:t>
      </w:r>
      <w:r>
        <w:t>s</w:t>
      </w:r>
      <w:r w:rsidRPr="0064276E">
        <w:t xml:space="preserve">trategic </w:t>
      </w:r>
      <w:r>
        <w:t>h</w:t>
      </w:r>
      <w:r w:rsidRPr="0064276E">
        <w:t xml:space="preserve">ubs: The </w:t>
      </w:r>
      <w:r>
        <w:t>e</w:t>
      </w:r>
      <w:r w:rsidRPr="0064276E">
        <w:t>volution of GCCs</w:t>
      </w:r>
    </w:p>
    <w:p w14:paraId="2C1DF6A2" w14:textId="70CDC8B9" w:rsidR="006A0FD0" w:rsidRDefault="006A0FD0" w:rsidP="006A0FD0">
      <w:proofErr w:type="spellStart"/>
      <w:proofErr w:type="gramStart"/>
      <w:r w:rsidRPr="004F085A">
        <w:rPr>
          <w:highlight w:val="yellow"/>
        </w:rPr>
        <w:t>Keywords:</w:t>
      </w:r>
      <w:r w:rsidR="00AB624C" w:rsidRPr="004F085A">
        <w:rPr>
          <w:highlight w:val="yellow"/>
        </w:rPr>
        <w:t>GCCs</w:t>
      </w:r>
      <w:proofErr w:type="spellEnd"/>
      <w:proofErr w:type="gramEnd"/>
      <w:r w:rsidR="00AB624C" w:rsidRPr="004F085A">
        <w:rPr>
          <w:highlight w:val="yellow"/>
        </w:rPr>
        <w:t xml:space="preserve"> in India, GCC Talent strategy, innovation hubs, GCC innovation hubs, GCCs as strategic partners, GCC industry, evolution of GCCs, </w:t>
      </w:r>
      <w:r w:rsidR="004F085A" w:rsidRPr="004F085A">
        <w:rPr>
          <w:highlight w:val="yellow"/>
        </w:rPr>
        <w:t>Workforce Management strategy for GCCs, Talent Strategy for GCCs, GCC as a service, GCC players in India, India as hub for GCCs</w:t>
      </w:r>
    </w:p>
    <w:p w14:paraId="28CEF5B7" w14:textId="430EDC15" w:rsidR="006A0FD0" w:rsidRPr="006A0FD0" w:rsidRDefault="006A0FD0" w:rsidP="006A0FD0">
      <w:r>
        <w:t xml:space="preserve"> </w:t>
      </w:r>
    </w:p>
    <w:p w14:paraId="39F2FFC7" w14:textId="16918216" w:rsidR="00916E22" w:rsidRDefault="00916E22" w:rsidP="0064276E">
      <w:r>
        <w:t xml:space="preserve">Where did </w:t>
      </w:r>
      <w:r w:rsidR="005911C0">
        <w:t xml:space="preserve">all this </w:t>
      </w:r>
      <w:r w:rsidR="00D92612">
        <w:t>begin</w:t>
      </w:r>
      <w:r>
        <w:t xml:space="preserve">? </w:t>
      </w:r>
    </w:p>
    <w:p w14:paraId="3A4B4551" w14:textId="3CCBC678" w:rsidR="00916E22" w:rsidRDefault="00916E22" w:rsidP="0064276E">
      <w:r>
        <w:t xml:space="preserve">The journey for Global Capability Centres (GCC) across the global business </w:t>
      </w:r>
      <w:r w:rsidR="00FD2CB9">
        <w:t>spectrum</w:t>
      </w:r>
      <w:r>
        <w:t xml:space="preserve"> began in a much quieter way. Let’s put this into context; a centre operating out of a bustling city in India, managing spreadsheets, workflows, data sheets, </w:t>
      </w:r>
      <w:r w:rsidR="007E5DAF">
        <w:t xml:space="preserve">HR processes </w:t>
      </w:r>
      <w:r>
        <w:t xml:space="preserve">and back-end call. </w:t>
      </w:r>
      <w:r w:rsidR="00474AAF">
        <w:t>M</w:t>
      </w:r>
      <w:r w:rsidR="00695949">
        <w:t>anaging business-behind-the-scenes</w:t>
      </w:r>
      <w:r w:rsidR="007E5DAF">
        <w:t xml:space="preserve">, ensuring compliance and global guidelines. The underlying objective was clear; efficiency with cost-effectiveness. </w:t>
      </w:r>
    </w:p>
    <w:p w14:paraId="74AF0DF6" w14:textId="2056E72E" w:rsidR="00695949" w:rsidRDefault="007E5DAF" w:rsidP="00695949">
      <w:r>
        <w:t>So, this was the stor</w:t>
      </w:r>
      <w:r w:rsidR="00695949">
        <w:t>y in the early 2000s; cut</w:t>
      </w:r>
      <w:r w:rsidR="00FF3D2F">
        <w:t>-</w:t>
      </w:r>
      <w:r w:rsidR="00695949">
        <w:t>to</w:t>
      </w:r>
      <w:r w:rsidR="00FF3D2F">
        <w:t>-</w:t>
      </w:r>
      <w:r w:rsidR="00695949">
        <w:t xml:space="preserve">today, the context reverses. In the current scenario, GCCs have evolved into strategic centres, moreover, innovation hubs. </w:t>
      </w:r>
    </w:p>
    <w:p w14:paraId="6EEC7932" w14:textId="77777777" w:rsidR="00202B78" w:rsidRDefault="00DC4DA2" w:rsidP="00DC4DA2">
      <w:r>
        <w:t>In its report ‘</w:t>
      </w:r>
      <w:r w:rsidRPr="00DC4DA2">
        <w:t>India GCC Landscape Report – The 5 Year Journey</w:t>
      </w:r>
      <w:r>
        <w:t xml:space="preserve">’, </w:t>
      </w:r>
      <w:hyperlink r:id="rId5" w:history="1">
        <w:r w:rsidRPr="00DC4DA2">
          <w:rPr>
            <w:rStyle w:val="Hyperlink"/>
          </w:rPr>
          <w:t>NASSCOM</w:t>
        </w:r>
      </w:hyperlink>
      <w:r>
        <w:t xml:space="preserve"> shares some key highlights. The report shares how </w:t>
      </w:r>
      <w:r w:rsidR="00EF39D2">
        <w:t xml:space="preserve">over </w:t>
      </w:r>
      <w:r>
        <w:t xml:space="preserve">50% </w:t>
      </w:r>
      <w:r w:rsidRPr="00DC4DA2">
        <w:t>of all GCCs today have moved beyond support functions to become true portfolio and transformation hubs.</w:t>
      </w:r>
      <w:r>
        <w:t xml:space="preserve"> Mo</w:t>
      </w:r>
      <w:r w:rsidR="00465611">
        <w:t>re</w:t>
      </w:r>
      <w:r>
        <w:t xml:space="preserve">over, </w:t>
      </w:r>
      <w:r w:rsidR="00202B78" w:rsidRPr="00202B78">
        <w:t>with 40% CAGR increase in global roles and women leadership roles in the last 5 years.</w:t>
      </w:r>
    </w:p>
    <w:p w14:paraId="70714CD9" w14:textId="51D4E1EF" w:rsidR="00DC4DA2" w:rsidRPr="00DC4DA2" w:rsidRDefault="00DC4DA2" w:rsidP="00DC4DA2">
      <w:r>
        <w:t>Almost</w:t>
      </w:r>
      <w:r w:rsidRPr="00DC4DA2">
        <w:t xml:space="preserve"> 90</w:t>
      </w:r>
      <w:r>
        <w:t>%</w:t>
      </w:r>
      <w:r w:rsidRPr="00DC4DA2">
        <w:t xml:space="preserve"> of GCCs now operate as multi-disciplinary hubs. </w:t>
      </w:r>
      <w:r w:rsidR="00465611">
        <w:t>Not just support, they</w:t>
      </w:r>
      <w:r w:rsidRPr="00DC4DA2">
        <w:t xml:space="preserve"> are</w:t>
      </w:r>
      <w:r w:rsidR="00465611">
        <w:t xml:space="preserve"> now</w:t>
      </w:r>
      <w:r w:rsidRPr="00DC4DA2">
        <w:t xml:space="preserve"> blending technology, operations, and product engineering under one roof, creating real impact across the board.</w:t>
      </w:r>
    </w:p>
    <w:p w14:paraId="459E21EF" w14:textId="6B10C77B" w:rsidR="00DC4DA2" w:rsidRDefault="00DC4DA2" w:rsidP="00695949">
      <w:r w:rsidRPr="00DC4DA2">
        <w:t>And when it comes to pace, Engineering, Research and Development</w:t>
      </w:r>
      <w:r w:rsidR="00465611">
        <w:t xml:space="preserve"> (ER&amp;D)</w:t>
      </w:r>
      <w:r w:rsidRPr="00DC4DA2">
        <w:t xml:space="preserve"> GCCs are leading the charge. They are growing 1.3 times faster than </w:t>
      </w:r>
      <w:r w:rsidR="00620DA1">
        <w:t xml:space="preserve">an </w:t>
      </w:r>
      <w:r w:rsidRPr="00DC4DA2">
        <w:t>average GCC, a clear sign that India is becoming a global destination for high-value, innovation-led work.</w:t>
      </w:r>
    </w:p>
    <w:p w14:paraId="5E88A676" w14:textId="77777777" w:rsidR="00695949" w:rsidRPr="00695949" w:rsidRDefault="00695949" w:rsidP="00695949">
      <w:pPr>
        <w:rPr>
          <w:b/>
          <w:bCs/>
        </w:rPr>
      </w:pPr>
      <w:r w:rsidRPr="00695949">
        <w:rPr>
          <w:b/>
          <w:bCs/>
        </w:rPr>
        <w:t xml:space="preserve">What made this big shift happen? </w:t>
      </w:r>
    </w:p>
    <w:p w14:paraId="3B66F880" w14:textId="044EF7A4" w:rsidR="00695949" w:rsidRDefault="00984EEB" w:rsidP="00695949">
      <w:r>
        <w:t>Referring back to the NASSCOM</w:t>
      </w:r>
      <w:r w:rsidR="00465611">
        <w:t xml:space="preserve"> report, “</w:t>
      </w:r>
      <w:r w:rsidR="00465611" w:rsidRPr="00465611">
        <w:t>India remains well-positioned for future growth through prioritization on skills development, cybersecurity, and progressive policy frameworks. The country's emphasis on high-end engineering roles and strategic partnerships also enables it to meet the evolving needs of global companies, fostering sustainable practices and driving innovation.</w:t>
      </w:r>
      <w:r w:rsidR="00465611">
        <w:t>”</w:t>
      </w:r>
    </w:p>
    <w:p w14:paraId="28B8479B" w14:textId="77777777" w:rsidR="00CB5826" w:rsidRDefault="00B17149" w:rsidP="00695949">
      <w:r>
        <w:t>Indi</w:t>
      </w:r>
      <w:r w:rsidR="00C708D3">
        <w:t xml:space="preserve">a’s pace towards becoming an innovation hub </w:t>
      </w:r>
      <w:r w:rsidR="0053251D">
        <w:t xml:space="preserve">can be attributed to strategic partnerships with global entities across segments. </w:t>
      </w:r>
      <w:r w:rsidR="00A75AF1">
        <w:t>This has led</w:t>
      </w:r>
      <w:r w:rsidR="00A37D4A">
        <w:t xml:space="preserve"> to adoption of emerging and trending technologies </w:t>
      </w:r>
      <w:r w:rsidR="00931E55">
        <w:t xml:space="preserve">leading to continuous improvement and </w:t>
      </w:r>
      <w:r w:rsidR="00AD3B62">
        <w:t>inclusion</w:t>
      </w:r>
      <w:r w:rsidR="00931E55">
        <w:t xml:space="preserve"> of best practices. </w:t>
      </w:r>
    </w:p>
    <w:p w14:paraId="56AF1D1A" w14:textId="598E1CBE" w:rsidR="00CB5826" w:rsidRDefault="00743EEC" w:rsidP="00695949">
      <w:r>
        <w:t xml:space="preserve">What businesses need today is </w:t>
      </w:r>
      <w:r w:rsidR="001C4F7F">
        <w:t xml:space="preserve">building sustainable, high-impact, and innovation driven approach. </w:t>
      </w:r>
      <w:r w:rsidR="00842585">
        <w:t xml:space="preserve">With top-tier strategic partnerships and </w:t>
      </w:r>
      <w:r w:rsidR="00402875">
        <w:t xml:space="preserve">years of expertise, India is today looking at the big picture for the GCC industry. </w:t>
      </w:r>
    </w:p>
    <w:p w14:paraId="7F7AC25B" w14:textId="77777777" w:rsidR="009B5DA7" w:rsidRDefault="009B5DA7" w:rsidP="00695949"/>
    <w:p w14:paraId="5BCF44E6" w14:textId="77777777" w:rsidR="009B5DA7" w:rsidRDefault="009B5DA7" w:rsidP="00695949"/>
    <w:p w14:paraId="5BAF7DEB" w14:textId="77777777" w:rsidR="009B5DA7" w:rsidRDefault="009B5DA7" w:rsidP="00695949"/>
    <w:p w14:paraId="11FCB21F" w14:textId="4368079C" w:rsidR="009B5DA7" w:rsidRPr="009B5DA7" w:rsidRDefault="009B5DA7" w:rsidP="009B5DA7">
      <w:pPr>
        <w:rPr>
          <w:b/>
          <w:bCs/>
        </w:rPr>
      </w:pPr>
      <w:r w:rsidRPr="009B5DA7">
        <w:rPr>
          <w:b/>
          <w:bCs/>
        </w:rPr>
        <w:t>Talent ma</w:t>
      </w:r>
      <w:r w:rsidR="005478CA">
        <w:rPr>
          <w:b/>
          <w:bCs/>
        </w:rPr>
        <w:t>kes</w:t>
      </w:r>
      <w:r w:rsidRPr="009B5DA7">
        <w:rPr>
          <w:b/>
          <w:bCs/>
        </w:rPr>
        <w:t xml:space="preserve"> </w:t>
      </w:r>
      <w:r>
        <w:rPr>
          <w:b/>
          <w:bCs/>
        </w:rPr>
        <w:t xml:space="preserve">all </w:t>
      </w:r>
      <w:r w:rsidRPr="009B5DA7">
        <w:rPr>
          <w:b/>
          <w:bCs/>
        </w:rPr>
        <w:t>the difference</w:t>
      </w:r>
    </w:p>
    <w:p w14:paraId="4D81658A" w14:textId="77CEF3A9" w:rsidR="00142A95" w:rsidRDefault="00142A95" w:rsidP="009B5DA7">
      <w:r>
        <w:t>NASSCOM in its report has stated, “</w:t>
      </w:r>
      <w:r w:rsidRPr="00BC3F17">
        <w:rPr>
          <w:lang w:val="en-US"/>
        </w:rPr>
        <w:t>GCCs in India are increasingly focused on building AI capabilities and driving the AI transformation for their internal enterprise</w:t>
      </w:r>
      <w:r>
        <w:t xml:space="preserve">. </w:t>
      </w:r>
      <w:r w:rsidRPr="00BC3F17">
        <w:rPr>
          <w:lang w:val="en-US"/>
        </w:rPr>
        <w:t>A talent pool of over 120,000 AI / ML professionals and over 185 dedicated AI/ML COEs is helping build specific use cases and the more mature GCCs are further developing expertise in full-stack development</w:t>
      </w:r>
      <w:r>
        <w:t xml:space="preserve">.” </w:t>
      </w:r>
    </w:p>
    <w:p w14:paraId="2649FFAB" w14:textId="18D3924D" w:rsidR="009B5DA7" w:rsidRDefault="00241091" w:rsidP="009B5DA7">
      <w:r>
        <w:t>Hence proven;</w:t>
      </w:r>
      <w:r w:rsidR="00EE344F">
        <w:t xml:space="preserve"> a</w:t>
      </w:r>
      <w:r w:rsidR="008C78EB">
        <w:t xml:space="preserve"> comprehensive </w:t>
      </w:r>
      <w:r w:rsidR="00EE344F">
        <w:t>t</w:t>
      </w:r>
      <w:r w:rsidR="009B5DA7">
        <w:t>alent strategy, combined with market intelligence</w:t>
      </w:r>
      <w:r w:rsidR="0054175A">
        <w:t xml:space="preserve"> an</w:t>
      </w:r>
      <w:r w:rsidR="000B7EBB">
        <w:t xml:space="preserve">d latest </w:t>
      </w:r>
      <w:r w:rsidR="0054175A">
        <w:t>skills</w:t>
      </w:r>
      <w:r w:rsidR="008032AD">
        <w:t>,</w:t>
      </w:r>
      <w:r w:rsidR="00325C75">
        <w:t xml:space="preserve"> set</w:t>
      </w:r>
      <w:r w:rsidR="00F12A1E">
        <w:t>s</w:t>
      </w:r>
      <w:r w:rsidR="00325C75">
        <w:t xml:space="preserve"> </w:t>
      </w:r>
      <w:r w:rsidR="0054175A">
        <w:t>a</w:t>
      </w:r>
      <w:r w:rsidR="00325C75">
        <w:t xml:space="preserve"> win-win strategy</w:t>
      </w:r>
      <w:r w:rsidR="008C78EB">
        <w:t xml:space="preserve"> for GCCs. </w:t>
      </w:r>
    </w:p>
    <w:p w14:paraId="7FE203A1" w14:textId="727C24B9" w:rsidR="009B5DA7" w:rsidRPr="009B5DA7" w:rsidRDefault="009B5DA7" w:rsidP="009B5DA7">
      <w:r w:rsidRPr="009B5DA7">
        <w:t xml:space="preserve">GCCs </w:t>
      </w:r>
      <w:r w:rsidR="00615600">
        <w:t>set their foot</w:t>
      </w:r>
      <w:r w:rsidRPr="009B5DA7">
        <w:t xml:space="preserve"> in global talent hubs</w:t>
      </w:r>
      <w:r w:rsidR="00615600">
        <w:t>;</w:t>
      </w:r>
      <w:r w:rsidR="00F12A1E">
        <w:t xml:space="preserve"> </w:t>
      </w:r>
      <w:r w:rsidRPr="009B5DA7">
        <w:t>cities</w:t>
      </w:r>
      <w:r w:rsidR="00615600">
        <w:t xml:space="preserve"> that</w:t>
      </w:r>
      <w:r w:rsidRPr="009B5DA7">
        <w:t xml:space="preserve"> </w:t>
      </w:r>
      <w:r w:rsidR="00B53CA9">
        <w:t>are</w:t>
      </w:r>
      <w:r w:rsidRPr="009B5DA7">
        <w:t xml:space="preserve"> not just rich in technical skills</w:t>
      </w:r>
      <w:r w:rsidR="00F12A1E">
        <w:t xml:space="preserve">, but </w:t>
      </w:r>
      <w:r w:rsidRPr="009B5DA7">
        <w:t>f</w:t>
      </w:r>
      <w:r w:rsidR="007A4AED">
        <w:t>illed with</w:t>
      </w:r>
      <w:r w:rsidRPr="009B5DA7">
        <w:t xml:space="preserve"> people who are eager to learn, </w:t>
      </w:r>
      <w:r w:rsidR="007A4AED">
        <w:t xml:space="preserve">are </w:t>
      </w:r>
      <w:r w:rsidRPr="009B5DA7">
        <w:t>sol</w:t>
      </w:r>
      <w:r w:rsidR="00B65406">
        <w:t>ution-driven</w:t>
      </w:r>
      <w:r w:rsidRPr="009B5DA7">
        <w:t xml:space="preserve">, and </w:t>
      </w:r>
      <w:r w:rsidR="00B65406">
        <w:t>ready to take</w:t>
      </w:r>
      <w:r w:rsidRPr="009B5DA7">
        <w:t xml:space="preserve"> ownership. That combination of depth and drive change</w:t>
      </w:r>
      <w:r w:rsidR="00946303">
        <w:t>s</w:t>
      </w:r>
      <w:r w:rsidRPr="009B5DA7">
        <w:t xml:space="preserve"> the game.</w:t>
      </w:r>
    </w:p>
    <w:p w14:paraId="7E5118FA" w14:textId="644CB032" w:rsidR="009B5DA7" w:rsidRPr="009B5DA7" w:rsidRDefault="009B5DA7" w:rsidP="009B5DA7">
      <w:r w:rsidRPr="009B5DA7">
        <w:t xml:space="preserve">And that </w:t>
      </w:r>
      <w:r w:rsidR="006901AC">
        <w:t xml:space="preserve">change in </w:t>
      </w:r>
      <w:r w:rsidR="00C62F92">
        <w:t>thought</w:t>
      </w:r>
      <w:r w:rsidRPr="009B5DA7">
        <w:t xml:space="preserve"> spark</w:t>
      </w:r>
      <w:r w:rsidR="00CA4065">
        <w:t>s</w:t>
      </w:r>
      <w:r w:rsidRPr="009B5DA7">
        <w:t xml:space="preserve"> a new kind of talent strategy</w:t>
      </w:r>
      <w:r w:rsidR="00BF11A5">
        <w:t xml:space="preserve"> </w:t>
      </w:r>
      <w:r w:rsidRPr="009B5DA7">
        <w:t>that focuse</w:t>
      </w:r>
      <w:r w:rsidR="00CA4065">
        <w:t>s</w:t>
      </w:r>
      <w:r w:rsidRPr="009B5DA7">
        <w:t xml:space="preserve"> on building capability,</w:t>
      </w:r>
      <w:r w:rsidR="001A7616">
        <w:t xml:space="preserve"> training for the next tech move,</w:t>
      </w:r>
      <w:r w:rsidRPr="009B5DA7">
        <w:t xml:space="preserve"> encouraging leadership, and unlocking potential.</w:t>
      </w:r>
      <w:r w:rsidR="00DD3B27">
        <w:t xml:space="preserve"> </w:t>
      </w:r>
      <w:r w:rsidRPr="009B5DA7">
        <w:t>The approach to workforce management also change</w:t>
      </w:r>
      <w:r w:rsidR="003578AD">
        <w:t>s</w:t>
      </w:r>
      <w:r w:rsidRPr="009B5DA7">
        <w:t xml:space="preserve">. </w:t>
      </w:r>
    </w:p>
    <w:p w14:paraId="083817E0" w14:textId="1FCDC454" w:rsidR="009B5DA7" w:rsidRPr="009B5DA7" w:rsidRDefault="00F66C87" w:rsidP="009B5DA7">
      <w:r>
        <w:t xml:space="preserve">Today, businesses are looking at </w:t>
      </w:r>
      <w:r w:rsidR="009B5DA7" w:rsidRPr="009B5DA7">
        <w:t xml:space="preserve">GCCs </w:t>
      </w:r>
      <w:r>
        <w:t>to lead</w:t>
      </w:r>
      <w:r w:rsidR="009B5DA7" w:rsidRPr="009B5DA7">
        <w:t xml:space="preserve"> initiatives, launch pilots, and driv</w:t>
      </w:r>
      <w:r>
        <w:t>e</w:t>
      </w:r>
      <w:r w:rsidR="009B5DA7" w:rsidRPr="009B5DA7">
        <w:t xml:space="preserve"> innovation across functions. They </w:t>
      </w:r>
      <w:r w:rsidR="00CE0879">
        <w:t xml:space="preserve">are even </w:t>
      </w:r>
      <w:r w:rsidR="009B5DA7" w:rsidRPr="009B5DA7">
        <w:t>co-creating with global teams and influencing decisions at the highest levels. In many cases, talent practices developed within the GCC became models for the wider organization.</w:t>
      </w:r>
    </w:p>
    <w:p w14:paraId="662E4EAD" w14:textId="2AF9A021" w:rsidR="00695949" w:rsidRPr="0064276E" w:rsidRDefault="00100499" w:rsidP="00695949">
      <w:pPr>
        <w:rPr>
          <w:b/>
          <w:bCs/>
        </w:rPr>
      </w:pPr>
      <w:r w:rsidRPr="006C0F46">
        <w:rPr>
          <w:b/>
          <w:bCs/>
        </w:rPr>
        <w:t>What comes NXT</w:t>
      </w:r>
      <w:r w:rsidR="006C0F46" w:rsidRPr="006C0F46">
        <w:rPr>
          <w:b/>
          <w:bCs/>
        </w:rPr>
        <w:t>, is still in progress</w:t>
      </w:r>
    </w:p>
    <w:p w14:paraId="196A5074" w14:textId="6E482400" w:rsidR="00D94F90" w:rsidRPr="009A2919" w:rsidRDefault="009A2919" w:rsidP="00695949">
      <w:r w:rsidRPr="009A2919">
        <w:t>Steve Hall</w:t>
      </w:r>
      <w:r>
        <w:t xml:space="preserve">, </w:t>
      </w:r>
      <w:r w:rsidRPr="009A2919">
        <w:t>President, ISG EMEA, an</w:t>
      </w:r>
      <w:r w:rsidR="001D31B3" w:rsidRPr="0087688C">
        <w:t>d</w:t>
      </w:r>
      <w:r w:rsidRPr="009A2919">
        <w:t xml:space="preserve"> Chief AI Officer</w:t>
      </w:r>
      <w:r w:rsidRPr="0087688C">
        <w:t xml:space="preserve"> and </w:t>
      </w:r>
      <w:r w:rsidR="001D31B3" w:rsidRPr="0087688C">
        <w:t>Alex Bakker</w:t>
      </w:r>
      <w:r w:rsidR="001D31B3" w:rsidRPr="0087688C">
        <w:t xml:space="preserve">, </w:t>
      </w:r>
      <w:r w:rsidR="001D31B3" w:rsidRPr="001D31B3">
        <w:t>Distinguished Analyst</w:t>
      </w:r>
      <w:r w:rsidR="001D31B3" w:rsidRPr="0087688C">
        <w:t xml:space="preserve"> in their article ‘</w:t>
      </w:r>
      <w:r w:rsidR="0087688C" w:rsidRPr="0087688C">
        <w:t>What's Next for GCCs: Operating Model Challenges and GenAI Opportunities</w:t>
      </w:r>
      <w:r w:rsidR="0087688C" w:rsidRPr="0087688C">
        <w:t>’,</w:t>
      </w:r>
      <w:r w:rsidR="0087688C">
        <w:t xml:space="preserve"> </w:t>
      </w:r>
      <w:hyperlink r:id="rId6" w:history="1">
        <w:r w:rsidR="0087688C" w:rsidRPr="00CE0879">
          <w:rPr>
            <w:rStyle w:val="Hyperlink"/>
          </w:rPr>
          <w:t>share</w:t>
        </w:r>
      </w:hyperlink>
      <w:r w:rsidR="0087688C">
        <w:t xml:space="preserve"> an interesting </w:t>
      </w:r>
      <w:r w:rsidR="007F6449">
        <w:t>perspective, “</w:t>
      </w:r>
      <w:r w:rsidR="00D21B01" w:rsidRPr="00D21B01">
        <w:t xml:space="preserve">While the motivation to adopt a GCC tends to focus on </w:t>
      </w:r>
      <w:proofErr w:type="spellStart"/>
      <w:r w:rsidR="00D21B01" w:rsidRPr="00D21B01">
        <w:t>labor</w:t>
      </w:r>
      <w:proofErr w:type="spellEnd"/>
      <w:r w:rsidR="00D21B01" w:rsidRPr="00D21B01">
        <w:t>-rate savings, organizations view opportunities for AI on a more indirect basis. The idea that a GCC can provide both near-term financial relief and AI to ensure long-term efficiency, innovation and growth makes a particularly compelling strategy.</w:t>
      </w:r>
      <w:r w:rsidR="007F6449">
        <w:t>”</w:t>
      </w:r>
      <w:r w:rsidR="0087688C" w:rsidRPr="0087688C">
        <w:t xml:space="preserve"> </w:t>
      </w:r>
    </w:p>
    <w:p w14:paraId="1F67011B" w14:textId="5AA1888C" w:rsidR="00997632" w:rsidRDefault="00D42136" w:rsidP="00695949">
      <w:r>
        <w:t xml:space="preserve">Robust talent strategy, infrastructure growth, and swift technology adoption with agility </w:t>
      </w:r>
      <w:r w:rsidR="008279EA">
        <w:t xml:space="preserve">sets the game right for GCCs today. </w:t>
      </w:r>
    </w:p>
    <w:p w14:paraId="54C3C1C2" w14:textId="3F097CFC" w:rsidR="00AB1EB5" w:rsidRPr="006C0F46" w:rsidRDefault="00D95EEC" w:rsidP="00695949">
      <w:r w:rsidRPr="00D95EEC">
        <w:t>At Enablr, we build more than G</w:t>
      </w:r>
      <w:r>
        <w:t>CCs</w:t>
      </w:r>
      <w:r w:rsidRPr="00D95EEC">
        <w:t>, we build the high-</w:t>
      </w:r>
      <w:r>
        <w:t>impact</w:t>
      </w:r>
      <w:r w:rsidRPr="00D95EEC">
        <w:t xml:space="preserve"> teams that power them</w:t>
      </w:r>
      <w:r>
        <w:t xml:space="preserve"> and stay future-ready. </w:t>
      </w:r>
      <w:r w:rsidR="004C2D98">
        <w:t xml:space="preserve">What’s your next move on your GCC transformation agenda? Speak to our experts and get started today. </w:t>
      </w:r>
    </w:p>
    <w:p w14:paraId="5627D6E2" w14:textId="77777777" w:rsidR="007E5DAF" w:rsidRDefault="007E5DAF" w:rsidP="0064276E"/>
    <w:p w14:paraId="516B8560" w14:textId="77777777" w:rsidR="00AE3AF9" w:rsidRDefault="00AE3AF9"/>
    <w:sectPr w:rsidR="00AE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0253"/>
    <w:multiLevelType w:val="multilevel"/>
    <w:tmpl w:val="BDF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C5EA2"/>
    <w:multiLevelType w:val="multilevel"/>
    <w:tmpl w:val="812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9A2E8A"/>
    <w:multiLevelType w:val="multilevel"/>
    <w:tmpl w:val="49F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24614"/>
    <w:multiLevelType w:val="multilevel"/>
    <w:tmpl w:val="5AA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505812">
    <w:abstractNumId w:val="1"/>
  </w:num>
  <w:num w:numId="2" w16cid:durableId="1854341875">
    <w:abstractNumId w:val="0"/>
  </w:num>
  <w:num w:numId="3" w16cid:durableId="803081649">
    <w:abstractNumId w:val="3"/>
  </w:num>
  <w:num w:numId="4" w16cid:durableId="45529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E"/>
    <w:rsid w:val="000B7EBB"/>
    <w:rsid w:val="00100499"/>
    <w:rsid w:val="0012272A"/>
    <w:rsid w:val="00142A95"/>
    <w:rsid w:val="001A7616"/>
    <w:rsid w:val="001C4F7F"/>
    <w:rsid w:val="001D31B3"/>
    <w:rsid w:val="001E06D7"/>
    <w:rsid w:val="00202B78"/>
    <w:rsid w:val="00241091"/>
    <w:rsid w:val="00325C75"/>
    <w:rsid w:val="00347B2B"/>
    <w:rsid w:val="003578AD"/>
    <w:rsid w:val="00372153"/>
    <w:rsid w:val="00402875"/>
    <w:rsid w:val="00465611"/>
    <w:rsid w:val="00474AAF"/>
    <w:rsid w:val="00496E68"/>
    <w:rsid w:val="004C2D98"/>
    <w:rsid w:val="004F085A"/>
    <w:rsid w:val="00514A13"/>
    <w:rsid w:val="0053251D"/>
    <w:rsid w:val="005354ED"/>
    <w:rsid w:val="0054175A"/>
    <w:rsid w:val="005478CA"/>
    <w:rsid w:val="0057383E"/>
    <w:rsid w:val="00581A4A"/>
    <w:rsid w:val="005911C0"/>
    <w:rsid w:val="0060580D"/>
    <w:rsid w:val="00615600"/>
    <w:rsid w:val="00620DA1"/>
    <w:rsid w:val="0064276E"/>
    <w:rsid w:val="0066090E"/>
    <w:rsid w:val="006901AC"/>
    <w:rsid w:val="00695415"/>
    <w:rsid w:val="00695949"/>
    <w:rsid w:val="006A0FD0"/>
    <w:rsid w:val="006C0F46"/>
    <w:rsid w:val="006E1907"/>
    <w:rsid w:val="00743EEC"/>
    <w:rsid w:val="00782D7A"/>
    <w:rsid w:val="007A4AED"/>
    <w:rsid w:val="007E5DAF"/>
    <w:rsid w:val="007F6449"/>
    <w:rsid w:val="008032AD"/>
    <w:rsid w:val="008279EA"/>
    <w:rsid w:val="00842585"/>
    <w:rsid w:val="0087688C"/>
    <w:rsid w:val="008C78EB"/>
    <w:rsid w:val="00916E22"/>
    <w:rsid w:val="00931E55"/>
    <w:rsid w:val="0093349F"/>
    <w:rsid w:val="00946303"/>
    <w:rsid w:val="00984EEB"/>
    <w:rsid w:val="00997632"/>
    <w:rsid w:val="009A2919"/>
    <w:rsid w:val="009B5DA7"/>
    <w:rsid w:val="009D3B6E"/>
    <w:rsid w:val="009F7D51"/>
    <w:rsid w:val="00A166E8"/>
    <w:rsid w:val="00A37D4A"/>
    <w:rsid w:val="00A75AF1"/>
    <w:rsid w:val="00A92F65"/>
    <w:rsid w:val="00AB1EB5"/>
    <w:rsid w:val="00AB624C"/>
    <w:rsid w:val="00AD3B62"/>
    <w:rsid w:val="00AE3AF9"/>
    <w:rsid w:val="00B17149"/>
    <w:rsid w:val="00B3314B"/>
    <w:rsid w:val="00B53CA9"/>
    <w:rsid w:val="00B65406"/>
    <w:rsid w:val="00BB2F06"/>
    <w:rsid w:val="00BC3F17"/>
    <w:rsid w:val="00BF11A5"/>
    <w:rsid w:val="00C230BB"/>
    <w:rsid w:val="00C334C7"/>
    <w:rsid w:val="00C62F92"/>
    <w:rsid w:val="00C708D3"/>
    <w:rsid w:val="00CA4065"/>
    <w:rsid w:val="00CA4B51"/>
    <w:rsid w:val="00CA70E3"/>
    <w:rsid w:val="00CB5826"/>
    <w:rsid w:val="00CE0879"/>
    <w:rsid w:val="00D20B90"/>
    <w:rsid w:val="00D21B01"/>
    <w:rsid w:val="00D42136"/>
    <w:rsid w:val="00D92612"/>
    <w:rsid w:val="00D94F74"/>
    <w:rsid w:val="00D94F90"/>
    <w:rsid w:val="00D95EEC"/>
    <w:rsid w:val="00DC4DA2"/>
    <w:rsid w:val="00DD3278"/>
    <w:rsid w:val="00DD3B27"/>
    <w:rsid w:val="00DF083E"/>
    <w:rsid w:val="00EE344F"/>
    <w:rsid w:val="00EF39D2"/>
    <w:rsid w:val="00F12A1E"/>
    <w:rsid w:val="00F412AD"/>
    <w:rsid w:val="00F66C87"/>
    <w:rsid w:val="00F77A05"/>
    <w:rsid w:val="00FD2CB9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19EC"/>
  <w15:chartTrackingRefBased/>
  <w15:docId w15:val="{6FE9FD9E-C93F-4BCD-85D1-A9823000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g-one.com/articles/whats-next-for-gccs--operating-model-challenges-and-genai-opportunities?aliId=eyJpIjoiazVTN1ZMT21OMkppdzZhayIsInQiOiJqU0JJSDFBc2FkWmFTY1hMdmQ5M2JnPT0ifQ%253D%253D" TargetMode="External"/><Relationship Id="rId5" Type="http://schemas.openxmlformats.org/officeDocument/2006/relationships/hyperlink" Target="https://nasscom.in/knowledge-center/publications/india-gcc-landscape-report-5-year-journ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Lopez</dc:creator>
  <cp:keywords/>
  <dc:description/>
  <cp:lastModifiedBy>Komal Lopez</cp:lastModifiedBy>
  <cp:revision>94</cp:revision>
  <dcterms:created xsi:type="dcterms:W3CDTF">2025-04-25T04:17:00Z</dcterms:created>
  <dcterms:modified xsi:type="dcterms:W3CDTF">2025-04-25T09:29:00Z</dcterms:modified>
</cp:coreProperties>
</file>