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24"/>
          <w:szCs w:val="24"/>
          <w:lang w:val="en"/>
        </w:rPr>
        <w:t>BULLETED SUMMARY CHAPTER 08 (URBAN SYSTEM AND OTHER SETTLEMENTS)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What is new since Assessment Report (AR5)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Co-Benefits and trade-offs of urban mitigation strategies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Sustainable development, Economic development, competitiveness, and equity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Coupling mitigation and adaptation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Urban systems and GHG emission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 Trends in urban land use and the built environment, Informal urban            settlements, Trends in urban GHG emissions, Scenarios of future urbanization and GHG emissions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Urban mitigation options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  Avoiding carbon lock-in, Spatial planning, urban form, and infrastructure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  Electrification and switching to net zero emissions resources, Urban green and    blue infrastructure, Socio-behavioural aspects, Urban-rural linkages, Cross-sectoral integration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Governance, institutions, and finance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    Multi-level governance, Mitigation potential of urban subnational actor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             Urban climate networks and transnational governance, Financing urban                                                                                                                                        mitigation, Barriers and enablers for implementation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A roadmap for integrating mitigation strategies for different urbanization typologies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Mitigation opportunities for established cities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Mitigation opportunities for rapidly growing cities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Mitigation opportunities for new and emerging cities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knowledge Gaps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 COVID-19 and cities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Future urban emissions scenarios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Urban emissions data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 xml:space="preserve"> Frequently Asked Questions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9D7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2022-09-13T18:02:51Z</dcterms:created>
  <dc:creator>priti</dc:creator>
  <cp:lastModifiedBy>Priti Chahal</cp:lastModifiedBy>
  <dcterms:modified xsi:type="dcterms:W3CDTF">2022-09-13T18:05:12Z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C5275AED7E884B1AB4800E3530C14C5E</vt:lpwstr>
  </property>
</Properties>
</file>