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Minuta de Reunión de Directorio</w:t>
      </w:r>
    </w:p>
    <w:p>
      <w:r>
        <w:t>Fecha: 15 de Agosto de 2026</w:t>
      </w:r>
    </w:p>
    <w:p>
      <w:r>
        <w:t>Asistentes: Carlos Pérez, María González, Rodrigo Silva y Andrea Tap 凼职者.</w:t>
      </w:r>
    </w:p>
    <w:p>
      <w:pPr>
        <w:pStyle w:val="Heading2"/>
      </w:pPr>
      <w:r>
        <w:t>1. Revision Financiera Trimestral</w:t>
      </w:r>
    </w:p>
    <w:p>
      <w:r>
        <w:t>El director de finanzas presentó el estado de pérdidas y ganancias del segundo trimestre. Se observó un superávit operativo del 12%, atribuible a la reducción de costos de logística.</w:t>
      </w:r>
    </w:p>
    <w:p>
      <w:pPr>
        <w:pStyle w:val="Heading2"/>
      </w:pPr>
      <w:r>
        <w:t>2. Acuerdos Principales</w:t>
      </w:r>
    </w:p>
    <w:p>
      <w:pPr>
        <w:pStyle w:val="ListBullet"/>
      </w:pPr>
      <w:r>
        <w:t>Aprobar el presupuesto extraordinario para la renovación de infraestructura tecnológica.</w:t>
      </w:r>
    </w:p>
    <w:p>
      <w:pPr>
        <w:pStyle w:val="ListBullet"/>
      </w:pPr>
      <w:r>
        <w:t>Autorizar la contratación de dos desarrolladores senior para el proyecto de IA local.</w:t>
      </w:r>
    </w:p>
    <w:p>
      <w:pPr>
        <w:pStyle w:val="ListBullet"/>
      </w:pPr>
      <w:r>
        <w:t>Definir la fecha de la próxima asamblea extraordinaria para el día 28 de Septiembre.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