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DATAQUEST HACKATHON  ·  THEME: EDUCATION</w:t>
      </w:r>
    </w:p>
    <w:p>
      <w:pPr>
        <w:spacing w:after="100"/>
      </w:pPr>
      <w:r>
        <w:rPr>
          <w:b/>
          <w:bCs/>
          <w:color w:val="1F4E79"/>
          <w:sz w:val="40"/>
          <w:szCs w:val="40"/>
        </w:rPr>
        <w:t xml:space="preserve">Independent Track Brief</w:t>
      </w:r>
    </w:p>
    <w:p>
      <w:pPr>
        <w:spacing w:after="200"/>
      </w:pPr>
      <w:r>
        <w:rPr>
          <w:color w:val="595959"/>
          <w:sz w:val="24"/>
          <w:szCs w:val="24"/>
        </w:rPr>
        <w:t xml:space="preserve">Early Warning System for School Dropout — South Africa</w:t>
      </w:r>
    </w:p>
    <w:p>
      <w:pPr>
        <w:pBdr>
          <w:bottom w:val="single" w:color="D0D0D0" w:sz="6"/>
        </w:pBdr>
        <w:spacing w:after="160" w:before="160"/>
      </w:pPr>
    </w:p>
    <w:p>
      <w:pPr>
        <w:pStyle w:val="Heading1"/>
        <w:spacing w:after="140" w:before="320"/>
      </w:pPr>
      <w:r>
        <w:t xml:space="preserve">Why you are getting this</w:t>
      </w:r>
    </w:p>
    <w:p>
      <w:pPr>
        <w:spacing w:after="120" w:line="276"/>
      </w:pPr>
      <w:r>
        <w:t xml:space="preserve">You are being asked to solve this problem independently. Take the raw dataset, clean it your own way, frame the problem and the solution your own way, and build your own model.</w:t>
      </w:r>
    </w:p>
    <w:p>
      <w:pPr>
        <w:spacing w:after="120" w:line="276"/>
      </w:pPr>
      <w:r>
        <w:t xml:space="preserve">This is deliberate. Two teams working the same data separately will make different judgement calls. Where we independently reach the same conclusion, we can trust it. Where we differ, that disagreement is worth more than either answer alone — it tells us exactly which decisions actually change the result.</w:t>
      </w:r>
    </w:p>
    <w:tbl>
      <w:tblPr>
        <w:tblW w:type="dxa" w:w="9360"/>
        <w:tblBorders>
          <w:top w:val="single" w:color="BFD4E8" w:sz="2"/>
          <w:left w:val="single" w:color="1F4E79" w:sz="18"/>
          <w:bottom w:val="single" w:color="BFD4E8" w:sz="2"/>
          <w:right w:val="single" w:color="BFD4E8" w:sz="2"/>
          <w:insideH w:val="none"/>
          <w:insideV w:val="none"/>
        </w:tblBorders>
      </w:tblPr>
      <w:tblGrid>
        <w:gridCol w:w="9360"/>
      </w:tblGrid>
      <w:tr>
        <w:tc>
          <w:tcPr>
            <w:tcW w:type="dxa" w:w="9360"/>
            <w:shd w:fill="F2F7FC" w:val="clear"/>
            <w:tcMar>
              <w:top w:type="dxa" w:w="160"/>
              <w:left w:type="dxa" w:w="220"/>
              <w:bottom w:type="dxa" w:w="160"/>
              <w:right w:type="dxa" w:w="220"/>
            </w:tcMar>
          </w:tcPr>
          <w:p>
            <w:pPr>
              <w:spacing w:after="60"/>
            </w:pPr>
            <w:r>
              <w:rPr>
                <w:b/>
                <w:bCs/>
                <w:color w:val="1F4E79"/>
                <w:sz w:val="20"/>
                <w:szCs w:val="20"/>
              </w:rPr>
              <w:t xml:space="preserve">This brief is deliberately incomplete</w:t>
            </w:r>
          </w:p>
          <w:p>
            <w:pPr>
              <w:spacing w:line="276"/>
            </w:pPr>
            <w:r>
              <w:rPr>
                <w:sz w:val="20"/>
                <w:szCs w:val="20"/>
              </w:rPr>
              <w:t xml:space="preserve">It gives you the goal, the data and the kind of model we want. It does not tell you what we found in the data, what we chose to clean, or how we built our target variable. That is not an oversight. Being handed our conclusions would make your work a copy of ours, and the whole point is that it should not be.</w:t>
            </w:r>
          </w:p>
        </w:tc>
      </w:tr>
    </w:tbl>
    <w:p>
      <w:pPr>
        <w:pStyle w:val="Heading1"/>
        <w:spacing w:after="140" w:before="320"/>
      </w:pPr>
      <w:r>
        <w:t xml:space="preserve">The goal</w:t>
      </w:r>
    </w:p>
    <w:p>
      <w:pPr>
        <w:spacing w:after="120" w:line="276"/>
      </w:pPr>
      <w:r>
        <w:t xml:space="preserve">South Africa loses roughly 40 of every 100 learners between Grade 1 and matric. The number is published and widely quoted. What nobody has is a list of which schools.</w:t>
      </w:r>
    </w:p>
    <w:p>
      <w:pPr>
        <w:spacing w:after="120" w:line="276"/>
      </w:pPr>
      <w:r>
        <w:t xml:space="preserve">Support currently goes to schools that ask for it, or that someone already knows about. It does not reliably go to the schools losing the most learners, because no such ranking exists. You cannot send a teacher to a percentage.</w:t>
      </w:r>
    </w:p>
    <w:p>
      <w:pPr>
        <w:spacing w:after="120" w:line="276"/>
      </w:pPr>
      <w:r>
        <w:rPr>
          <w:b/>
          <w:bCs/>
        </w:rPr>
        <w:t xml:space="preserve">The goal is to turn that national number into something a province can act on: a ranked list of schools, worst first, with the reasons behind each score.</w:t>
      </w:r>
    </w:p>
    <w:p>
      <w:pPr>
        <w:spacing w:after="120" w:line="276"/>
      </w:pPr>
      <w:r>
        <w:t xml:space="preserve">How you frame that as a problem statement and a solution is yours to decide. The framing above is ours. Yours may be better, and if it is we will use it.</w:t>
      </w:r>
    </w:p>
    <w:p>
      <w:pPr>
        <w:pStyle w:val="Heading1"/>
        <w:spacing w:after="140" w:before="320"/>
      </w:pPr>
      <w:r>
        <w:t xml:space="preserve">Where the data is</w:t>
      </w:r>
    </w:p>
    <w:p>
      <w:pPr>
        <w:spacing w:after="120" w:line="276"/>
      </w:pPr>
      <w:r>
        <w:t xml:space="preserve">Everything is in the project repository:</w:t>
      </w:r>
    </w:p>
    <w:p>
      <w:pPr>
        <w:pStyle w:val="ListParagraph"/>
        <w:numPr>
          <w:ilvl w:val="0"/>
          <w:numId w:val="2"/>
        </w:numPr>
        <w:spacing w:after="80" w:line="276"/>
      </w:pPr>
      <w:r>
        <w:t xml:space="preserve">Repository: github.com/Mandla78/lp-dev-dataquest</w:t>
      </w:r>
    </w:p>
    <w:p>
      <w:pPr>
        <w:pStyle w:val="ListParagraph"/>
        <w:numPr>
          <w:ilvl w:val="0"/>
          <w:numId w:val="2"/>
        </w:numPr>
        <w:spacing w:after="80" w:line="276"/>
      </w:pPr>
      <w:r>
        <w:t xml:space="preserve">Main dataset: datasets/processed/school_year_panel.csv.gz</w:t>
      </w:r>
    </w:p>
    <w:p>
      <w:pPr>
        <w:pStyle w:val="ListParagraph"/>
        <w:numPr>
          <w:ilvl w:val="0"/>
          <w:numId w:val="2"/>
        </w:numPr>
        <w:spacing w:after="80" w:line="276"/>
      </w:pPr>
      <w:r>
        <w:t xml:space="preserve">Rebuild scripts: src/fetch/ and src/build/</w:t>
      </w:r>
    </w:p>
    <w:p>
      <w:pPr>
        <w:spacing w:after="100"/>
      </w:pPr>
    </w:p>
    <w:p>
      <w:pPr>
        <w:spacing w:after="120" w:line="276"/>
      </w:pPr>
      <w:r>
        <w:t xml:space="preserve">The dataset is one row per school per year, covering all nine provinces from 2007 to 2025. It was assembled from spreadsheets published by the Department of Basic Education, joined on the EMIS number, which is the national school identifier.</w:t>
      </w:r>
    </w:p>
    <w:p>
      <w:pPr>
        <w:spacing w:after="120" w:line="276"/>
      </w:pPr>
      <w:r>
        <w:t xml:space="preserve">It is raw. It is the data as government publishes it, with the inconsistencies that come with that. Making it usable is the work.</w:t>
      </w:r>
    </w:p>
    <w:tbl>
      <w:tblPr>
        <w:tblW w:type="dxa" w:w="9360"/>
        <w:tblBorders>
          <w:top w:val="single" w:color="BFD4E8" w:sz="2"/>
          <w:left w:val="single" w:color="1F4E79" w:sz="18"/>
          <w:bottom w:val="single" w:color="BFD4E8" w:sz="2"/>
          <w:right w:val="single" w:color="BFD4E8" w:sz="2"/>
          <w:insideH w:val="none"/>
          <w:insideV w:val="none"/>
        </w:tblBorders>
      </w:tblPr>
      <w:tblGrid>
        <w:gridCol w:w="9360"/>
      </w:tblGrid>
      <w:tr>
        <w:tc>
          <w:tcPr>
            <w:tcW w:type="dxa" w:w="9360"/>
            <w:shd w:fill="F2F7FC" w:val="clear"/>
            <w:tcMar>
              <w:top w:type="dxa" w:w="160"/>
              <w:left w:type="dxa" w:w="220"/>
              <w:bottom w:type="dxa" w:w="160"/>
              <w:right w:type="dxa" w:w="220"/>
            </w:tcMar>
          </w:tcPr>
          <w:p>
            <w:pPr>
              <w:spacing w:after="60"/>
            </w:pPr>
            <w:r>
              <w:rPr>
                <w:b/>
                <w:bCs/>
                <w:color w:val="1F4E79"/>
                <w:sz w:val="20"/>
                <w:szCs w:val="20"/>
              </w:rPr>
              <w:t xml:space="preserve">Read the data before you read anything else</w:t>
            </w:r>
          </w:p>
          <w:p>
            <w:pPr>
              <w:spacing w:line="276"/>
            </w:pPr>
            <w:r>
              <w:rPr>
                <w:sz w:val="20"/>
                <w:szCs w:val="20"/>
              </w:rPr>
              <w:t xml:space="preserve">Load it, look at every column, count the distinct values in each one, and decide for yourself what is wrong with it. Do this before you form a plan. What you find will change what you think the plan should be — and if you plan first, you will plan around problems that are not there and miss the ones that are.</w:t>
            </w:r>
          </w:p>
        </w:tc>
      </w:tr>
    </w:tbl>
    <w:p>
      <w:pPr>
        <w:pStyle w:val="Heading1"/>
        <w:spacing w:after="140" w:before="320"/>
      </w:pPr>
      <w:r>
        <w:t xml:space="preserve">What you need to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5" w:val="clear"/>
            <w:tcMar>
              <w:top w:type="dxa" w:w="90"/>
              <w:left w:type="dxa" w:w="140"/>
              <w:bottom w:type="dxa" w:w="90"/>
              <w:right w:type="dxa" w:w="140"/>
            </w:tcMar>
          </w:tcPr>
          <w:p>
            <w:r>
              <w:rPr>
                <w:b/>
                <w:bCs/>
                <w:sz w:val="20"/>
                <w:szCs w:val="20"/>
              </w:rPr>
              <w:t xml:space="preserve">Deliverable</w:t>
            </w:r>
          </w:p>
        </w:tc>
        <w:tc>
          <w:tcPr>
            <w:tcW w:type="dxa" w:w="6960"/>
            <w:shd w:fill="E8EEF5" w:val="clear"/>
            <w:tcMar>
              <w:top w:type="dxa" w:w="90"/>
              <w:left w:type="dxa" w:w="140"/>
              <w:bottom w:type="dxa" w:w="90"/>
              <w:right w:type="dxa" w:w="140"/>
            </w:tcMar>
          </w:tcPr>
          <w:p>
            <w:r>
              <w:rPr>
                <w:b/>
                <w:bCs/>
                <w:sz w:val="20"/>
                <w:szCs w:val="20"/>
              </w:rPr>
              <w:t xml:space="preserve">What it means</w:t>
            </w:r>
          </w:p>
        </w:tc>
      </w:tr>
      <w:tr>
        <w:tc>
          <w:tcPr>
            <w:tcW w:type="dxa" w:w="2400"/>
            <w:tcMar>
              <w:top w:type="dxa" w:w="90"/>
              <w:left w:type="dxa" w:w="140"/>
              <w:bottom w:type="dxa" w:w="90"/>
              <w:right w:type="dxa" w:w="140"/>
            </w:tcMar>
          </w:tcPr>
          <w:p>
            <w:r>
              <w:rPr>
                <w:b w:val="false"/>
                <w:bCs w:val="false"/>
                <w:sz w:val="20"/>
                <w:szCs w:val="20"/>
              </w:rPr>
              <w:t xml:space="preserve">Your cleaned dataset</w:t>
            </w:r>
          </w:p>
        </w:tc>
        <w:tc>
          <w:tcPr>
            <w:tcW w:type="dxa" w:w="6960"/>
            <w:tcMar>
              <w:top w:type="dxa" w:w="90"/>
              <w:left w:type="dxa" w:w="140"/>
              <w:bottom w:type="dxa" w:w="90"/>
              <w:right w:type="dxa" w:w="140"/>
            </w:tcMar>
          </w:tcPr>
          <w:p>
            <w:r>
              <w:rPr>
                <w:b w:val="false"/>
                <w:bCs w:val="false"/>
                <w:sz w:val="20"/>
                <w:szCs w:val="20"/>
              </w:rPr>
              <w:t xml:space="preserve">The data you would actually train on, plus a written record of every decision you made to get there and why</w:t>
            </w:r>
          </w:p>
        </w:tc>
      </w:tr>
      <w:tr>
        <w:tc>
          <w:tcPr>
            <w:tcW w:type="dxa" w:w="2400"/>
            <w:tcMar>
              <w:top w:type="dxa" w:w="90"/>
              <w:left w:type="dxa" w:w="140"/>
              <w:bottom w:type="dxa" w:w="90"/>
              <w:right w:type="dxa" w:w="140"/>
            </w:tcMar>
          </w:tcPr>
          <w:p>
            <w:r>
              <w:rPr>
                <w:b w:val="false"/>
                <w:bCs w:val="false"/>
                <w:sz w:val="20"/>
                <w:szCs w:val="20"/>
              </w:rPr>
              <w:t xml:space="preserve">Your problem and solution</w:t>
            </w:r>
          </w:p>
        </w:tc>
        <w:tc>
          <w:tcPr>
            <w:tcW w:type="dxa" w:w="6960"/>
            <w:tcMar>
              <w:top w:type="dxa" w:w="90"/>
              <w:left w:type="dxa" w:w="140"/>
              <w:bottom w:type="dxa" w:w="90"/>
              <w:right w:type="dxa" w:w="140"/>
            </w:tcMar>
          </w:tcPr>
          <w:p>
            <w:r>
              <w:rPr>
                <w:b w:val="false"/>
                <w:bCs w:val="false"/>
                <w:sz w:val="20"/>
                <w:szCs w:val="20"/>
              </w:rPr>
              <w:t xml:space="preserve">Framed in your own words. One paragraph each is enough if they are the right paragraphs</w:t>
            </w:r>
          </w:p>
        </w:tc>
      </w:tr>
      <w:tr>
        <w:tc>
          <w:tcPr>
            <w:tcW w:type="dxa" w:w="2400"/>
            <w:tcMar>
              <w:top w:type="dxa" w:w="90"/>
              <w:left w:type="dxa" w:w="140"/>
              <w:bottom w:type="dxa" w:w="90"/>
              <w:right w:type="dxa" w:w="140"/>
            </w:tcMar>
          </w:tcPr>
          <w:p>
            <w:r>
              <w:rPr>
                <w:b w:val="false"/>
                <w:bCs w:val="false"/>
                <w:sz w:val="20"/>
                <w:szCs w:val="20"/>
              </w:rPr>
              <w:t xml:space="preserve">Your EDA findings</w:t>
            </w:r>
          </w:p>
        </w:tc>
        <w:tc>
          <w:tcPr>
            <w:tcW w:type="dxa" w:w="6960"/>
            <w:tcMar>
              <w:top w:type="dxa" w:w="90"/>
              <w:left w:type="dxa" w:w="140"/>
              <w:bottom w:type="dxa" w:w="90"/>
              <w:right w:type="dxa" w:w="140"/>
            </w:tcMar>
          </w:tcPr>
          <w:p>
            <w:r>
              <w:rPr>
                <w:b w:val="false"/>
                <w:bCs w:val="false"/>
                <w:sz w:val="20"/>
                <w:szCs w:val="20"/>
              </w:rPr>
              <w:t xml:space="preserve">What you learned from the data that changed your approach. Patterns, relationships, surprises</w:t>
            </w:r>
          </w:p>
        </w:tc>
      </w:tr>
      <w:tr>
        <w:tc>
          <w:tcPr>
            <w:tcW w:type="dxa" w:w="2400"/>
            <w:tcMar>
              <w:top w:type="dxa" w:w="90"/>
              <w:left w:type="dxa" w:w="140"/>
              <w:bottom w:type="dxa" w:w="90"/>
              <w:right w:type="dxa" w:w="140"/>
            </w:tcMar>
          </w:tcPr>
          <w:p>
            <w:r>
              <w:rPr>
                <w:b w:val="false"/>
                <w:bCs w:val="false"/>
                <w:sz w:val="20"/>
                <w:szCs w:val="20"/>
              </w:rPr>
              <w:t xml:space="preserve">Your model</w:t>
            </w:r>
          </w:p>
        </w:tc>
        <w:tc>
          <w:tcPr>
            <w:tcW w:type="dxa" w:w="6960"/>
            <w:tcMar>
              <w:top w:type="dxa" w:w="90"/>
              <w:left w:type="dxa" w:w="140"/>
              <w:bottom w:type="dxa" w:w="90"/>
              <w:right w:type="dxa" w:w="140"/>
            </w:tcMar>
          </w:tcPr>
          <w:p>
            <w:r>
              <w:rPr>
                <w:b w:val="false"/>
                <w:bCs w:val="false"/>
                <w:sz w:val="20"/>
                <w:szCs w:val="20"/>
              </w:rPr>
              <w:t xml:space="preserve">Trained, evaluated, and able to explain why it scores a given school the way it does</w:t>
            </w:r>
          </w:p>
        </w:tc>
      </w:tr>
    </w:tbl>
    <w:p>
      <w:pPr>
        <w:spacing w:after="160"/>
      </w:pPr>
    </w:p>
    <w:p>
      <w:pPr>
        <w:pStyle w:val="Heading1"/>
        <w:spacing w:after="140" w:before="320"/>
      </w:pPr>
      <w:r>
        <w:t xml:space="preserve">The model we want</w:t>
      </w:r>
    </w:p>
    <w:p>
      <w:pPr>
        <w:spacing w:after="120" w:line="276"/>
      </w:pPr>
      <w:r>
        <w:t xml:space="preserve">Build an interpretable model. That constraint is not negotiable, and the reason matters:</w:t>
      </w:r>
    </w:p>
    <w:p>
      <w:pPr>
        <w:spacing w:after="120" w:line="276"/>
      </w:pPr>
      <w:r>
        <w:rPr>
          <w:i/>
          <w:iCs/>
        </w:rPr>
        <w:t xml:space="preserve">The output of this project is not a score. It is a decision about where to send limited public resources. An official who is told that a school is high-risk will ask why, and “the model said so” is not an answer that moves money. A model that cannot explain itself cannot be acted on, however accurate it is.</w:t>
      </w:r>
    </w:p>
    <w:p>
      <w:pPr>
        <w:spacing w:after="100"/>
      </w:pPr>
    </w:p>
    <w:p>
      <w:pPr>
        <w:spacing w:after="120" w:line="276"/>
      </w:pPr>
      <w:r>
        <w:t xml:space="preserve">In practice that points to:</w:t>
      </w:r>
    </w:p>
    <w:p>
      <w:pPr>
        <w:pStyle w:val="ListParagraph"/>
        <w:numPr>
          <w:ilvl w:val="0"/>
          <w:numId w:val="2"/>
        </w:numPr>
        <w:spacing w:after="80" w:line="276"/>
      </w:pPr>
      <w:r>
        <w:t xml:space="preserve">A scorecard approach — logistic regression over binned features, where each bin carries a visible weight</w:t>
      </w:r>
    </w:p>
    <w:p>
      <w:pPr>
        <w:pStyle w:val="ListParagraph"/>
        <w:numPr>
          <w:ilvl w:val="0"/>
          <w:numId w:val="2"/>
        </w:numPr>
        <w:spacing w:after="80" w:line="276"/>
      </w:pPr>
      <w:r>
        <w:t xml:space="preserve">Weight of Evidence (WoE) for encoding, Information Value (IV) for deciding which variables earn a place</w:t>
      </w:r>
    </w:p>
    <w:p>
      <w:pPr>
        <w:pStyle w:val="ListParagraph"/>
        <w:numPr>
          <w:ilvl w:val="0"/>
          <w:numId w:val="2"/>
        </w:numPr>
        <w:spacing w:after="80" w:line="276"/>
      </w:pPr>
      <w:r>
        <w:t xml:space="preserve">A tree ensemble alongside it, as a benchmark — if the interpretable model performs comparably, prefer the interpretable one</w:t>
      </w:r>
    </w:p>
    <w:p>
      <w:pPr>
        <w:spacing w:after="120"/>
      </w:pPr>
    </w:p>
    <w:p>
      <w:pPr>
        <w:spacing w:after="120" w:line="276"/>
      </w:pPr>
      <w:r>
        <w:t xml:space="preserve">Metrics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5" w:val="clear"/>
            <w:tcMar>
              <w:top w:type="dxa" w:w="90"/>
              <w:left w:type="dxa" w:w="140"/>
              <w:bottom w:type="dxa" w:w="90"/>
              <w:right w:type="dxa" w:w="140"/>
            </w:tcMar>
          </w:tcPr>
          <w:p>
            <w:r>
              <w:rPr>
                <w:b/>
                <w:bCs/>
                <w:sz w:val="20"/>
                <w:szCs w:val="20"/>
              </w:rPr>
              <w:t xml:space="preserve">Metric</w:t>
            </w:r>
          </w:p>
        </w:tc>
        <w:tc>
          <w:tcPr>
            <w:tcW w:type="dxa" w:w="6960"/>
            <w:shd w:fill="E8EEF5" w:val="clear"/>
            <w:tcMar>
              <w:top w:type="dxa" w:w="90"/>
              <w:left w:type="dxa" w:w="140"/>
              <w:bottom w:type="dxa" w:w="90"/>
              <w:right w:type="dxa" w:w="140"/>
            </w:tcMar>
          </w:tcPr>
          <w:p>
            <w:r>
              <w:rPr>
                <w:b/>
                <w:bCs/>
                <w:sz w:val="20"/>
                <w:szCs w:val="20"/>
              </w:rPr>
              <w:t xml:space="preserve">Why it is on the list</w:t>
            </w:r>
          </w:p>
        </w:tc>
      </w:tr>
      <w:tr>
        <w:tc>
          <w:tcPr>
            <w:tcW w:type="dxa" w:w="2400"/>
            <w:tcMar>
              <w:top w:type="dxa" w:w="90"/>
              <w:left w:type="dxa" w:w="140"/>
              <w:bottom w:type="dxa" w:w="90"/>
              <w:right w:type="dxa" w:w="140"/>
            </w:tcMar>
          </w:tcPr>
          <w:p>
            <w:r>
              <w:rPr>
                <w:b w:val="false"/>
                <w:bCs w:val="false"/>
                <w:sz w:val="20"/>
                <w:szCs w:val="20"/>
              </w:rPr>
              <w:t xml:space="preserve">AUC and Gini</w:t>
            </w:r>
          </w:p>
        </w:tc>
        <w:tc>
          <w:tcPr>
            <w:tcW w:type="dxa" w:w="6960"/>
            <w:tcMar>
              <w:top w:type="dxa" w:w="90"/>
              <w:left w:type="dxa" w:w="140"/>
              <w:bottom w:type="dxa" w:w="90"/>
              <w:right w:type="dxa" w:w="140"/>
            </w:tcMar>
          </w:tcPr>
          <w:p>
            <w:r>
              <w:rPr>
                <w:b w:val="false"/>
                <w:bCs w:val="false"/>
                <w:sz w:val="20"/>
                <w:szCs w:val="20"/>
              </w:rPr>
              <w:t xml:space="preserve">Ranking quality, which is what this problem actually is. Note that Gini = 2×AUC − 1</w:t>
            </w:r>
          </w:p>
        </w:tc>
      </w:tr>
      <w:tr>
        <w:tc>
          <w:tcPr>
            <w:tcW w:type="dxa" w:w="2400"/>
            <w:tcMar>
              <w:top w:type="dxa" w:w="90"/>
              <w:left w:type="dxa" w:w="140"/>
              <w:bottom w:type="dxa" w:w="90"/>
              <w:right w:type="dxa" w:w="140"/>
            </w:tcMar>
          </w:tcPr>
          <w:p>
            <w:r>
              <w:rPr>
                <w:b w:val="false"/>
                <w:bCs w:val="false"/>
                <w:sz w:val="20"/>
                <w:szCs w:val="20"/>
              </w:rPr>
              <w:t xml:space="preserve">Precision and Recall</w:t>
            </w:r>
          </w:p>
        </w:tc>
        <w:tc>
          <w:tcPr>
            <w:tcW w:type="dxa" w:w="6960"/>
            <w:tcMar>
              <w:top w:type="dxa" w:w="90"/>
              <w:left w:type="dxa" w:w="140"/>
              <w:bottom w:type="dxa" w:w="90"/>
              <w:right w:type="dxa" w:w="140"/>
            </w:tcMar>
          </w:tcPr>
          <w:p>
            <w:r>
              <w:rPr>
                <w:b w:val="false"/>
                <w:bCs w:val="false"/>
                <w:sz w:val="20"/>
                <w:szCs w:val="20"/>
              </w:rPr>
              <w:t xml:space="preserve">A missed at-risk school costs more than a false alarm. Say which you optimised for and why</w:t>
            </w:r>
          </w:p>
        </w:tc>
      </w:tr>
      <w:tr>
        <w:tc>
          <w:tcPr>
            <w:tcW w:type="dxa" w:w="2400"/>
            <w:tcMar>
              <w:top w:type="dxa" w:w="90"/>
              <w:left w:type="dxa" w:w="140"/>
              <w:bottom w:type="dxa" w:w="90"/>
              <w:right w:type="dxa" w:w="140"/>
            </w:tcMar>
          </w:tcPr>
          <w:p>
            <w:r>
              <w:rPr>
                <w:b w:val="false"/>
                <w:bCs w:val="false"/>
                <w:sz w:val="20"/>
                <w:szCs w:val="20"/>
              </w:rPr>
              <w:t xml:space="preserve">F1</w:t>
            </w:r>
          </w:p>
        </w:tc>
        <w:tc>
          <w:tcPr>
            <w:tcW w:type="dxa" w:w="6960"/>
            <w:tcMar>
              <w:top w:type="dxa" w:w="90"/>
              <w:left w:type="dxa" w:w="140"/>
              <w:bottom w:type="dxa" w:w="90"/>
              <w:right w:type="dxa" w:w="140"/>
            </w:tcMar>
          </w:tcPr>
          <w:p>
            <w:r>
              <w:rPr>
                <w:b w:val="false"/>
                <w:bCs w:val="false"/>
                <w:sz w:val="20"/>
                <w:szCs w:val="20"/>
              </w:rPr>
              <w:t xml:space="preserve">Where you need a single number balancing the two</w:t>
            </w:r>
          </w:p>
        </w:tc>
      </w:tr>
      <w:tr>
        <w:tc>
          <w:tcPr>
            <w:tcW w:type="dxa" w:w="2400"/>
            <w:tcMar>
              <w:top w:type="dxa" w:w="90"/>
              <w:left w:type="dxa" w:w="140"/>
              <w:bottom w:type="dxa" w:w="90"/>
              <w:right w:type="dxa" w:w="140"/>
            </w:tcMar>
          </w:tcPr>
          <w:p>
            <w:r>
              <w:rPr>
                <w:b w:val="false"/>
                <w:bCs w:val="false"/>
                <w:sz w:val="20"/>
                <w:szCs w:val="20"/>
              </w:rPr>
              <w:t xml:space="preserve">Accuracy</w:t>
            </w:r>
          </w:p>
        </w:tc>
        <w:tc>
          <w:tcPr>
            <w:tcW w:type="dxa" w:w="6960"/>
            <w:tcMar>
              <w:top w:type="dxa" w:w="90"/>
              <w:left w:type="dxa" w:w="140"/>
              <w:bottom w:type="dxa" w:w="90"/>
              <w:right w:type="dxa" w:w="140"/>
            </w:tcMar>
          </w:tcPr>
          <w:p>
            <w:r>
              <w:rPr>
                <w:b w:val="false"/>
                <w:bCs w:val="false"/>
                <w:sz w:val="20"/>
                <w:szCs w:val="20"/>
              </w:rPr>
              <w:t xml:space="preserve">Report it, but do not lead with it — on an imbalanced target it flatters a model that has learned nothing</w:t>
            </w:r>
          </w:p>
        </w:tc>
      </w:tr>
      <w:tr>
        <w:tc>
          <w:tcPr>
            <w:tcW w:type="dxa" w:w="2400"/>
            <w:tcMar>
              <w:top w:type="dxa" w:w="90"/>
              <w:left w:type="dxa" w:w="140"/>
              <w:bottom w:type="dxa" w:w="90"/>
              <w:right w:type="dxa" w:w="140"/>
            </w:tcMar>
          </w:tcPr>
          <w:p>
            <w:r>
              <w:rPr>
                <w:b w:val="false"/>
                <w:bCs w:val="false"/>
                <w:sz w:val="20"/>
                <w:szCs w:val="20"/>
              </w:rPr>
              <w:t xml:space="preserve">Information Value</w:t>
            </w:r>
          </w:p>
        </w:tc>
        <w:tc>
          <w:tcPr>
            <w:tcW w:type="dxa" w:w="6960"/>
            <w:tcMar>
              <w:top w:type="dxa" w:w="90"/>
              <w:left w:type="dxa" w:w="140"/>
              <w:bottom w:type="dxa" w:w="90"/>
              <w:right w:type="dxa" w:w="140"/>
            </w:tcMar>
          </w:tcPr>
          <w:p>
            <w:r>
              <w:rPr>
                <w:b w:val="false"/>
                <w:bCs w:val="false"/>
                <w:sz w:val="20"/>
                <w:szCs w:val="20"/>
              </w:rPr>
              <w:t xml:space="preserve">Per variable, before modelling, to justify what went into the model</w:t>
            </w:r>
          </w:p>
        </w:tc>
      </w:tr>
    </w:tbl>
    <w:p>
      <w:pPr>
        <w:spacing w:after="160"/>
      </w:pPr>
    </w:p>
    <w:p>
      <w:pPr>
        <w:pStyle w:val="Heading1"/>
        <w:spacing w:after="140" w:before="320"/>
      </w:pPr>
      <w:r>
        <w:t xml:space="preserve">Two mistakes that are easy to make here</w:t>
      </w:r>
    </w:p>
    <w:p>
      <w:pPr>
        <w:spacing w:after="120" w:line="276"/>
      </w:pPr>
      <w:r>
        <w:t xml:space="preserve">These are stated up front because both are silent. Nothing errors, the scores come back better than they should, and the problem only surfaces when someone asks.</w:t>
      </w:r>
    </w:p>
    <w:p>
      <w:pPr>
        <w:spacing w:after="60" w:before="80"/>
      </w:pPr>
      <w:r>
        <w:rPr>
          <w:b/>
          <w:bCs/>
          <w:sz w:val="22"/>
          <w:szCs w:val="22"/>
        </w:rPr>
        <w:t xml:space="preserve">1.  Splitting the data at random</w:t>
      </w:r>
    </w:p>
    <w:p>
      <w:pPr>
        <w:spacing w:after="120" w:line="276"/>
      </w:pPr>
      <w:r>
        <w:t xml:space="preserve">The same school appears in up to nineteen rows, one per year. A random split puts a school’s 2019 row in training and its 2021 row in testing, and the model scores well by recognising the school rather than learning anything that transfers. Split by year instead: train on earlier years, test on later ones. That is also what the model would face in reality.</w:t>
      </w:r>
    </w:p>
    <w:p>
      <w:pPr>
        <w:spacing w:after="60" w:before="120"/>
      </w:pPr>
      <w:r>
        <w:rPr>
          <w:b/>
          <w:bCs/>
          <w:sz w:val="22"/>
          <w:szCs w:val="22"/>
        </w:rPr>
        <w:t xml:space="preserve">2.  Fitting your bins on all the data</w:t>
      </w:r>
    </w:p>
    <w:p>
      <w:pPr>
        <w:spacing w:after="120" w:line="276"/>
      </w:pPr>
      <w:r>
        <w:t xml:space="preserve">If you compute WoE bins across the full dataset, every bin has already seen your test set. AUC comes back inflated and the model underperforms on anything new. Fit the bins on training data only, then apply those same bins to the test set. Never refit.</w:t>
      </w:r>
    </w:p>
    <w:p>
      <w:pPr>
        <w:pBdr>
          <w:bottom w:val="single" w:color="D0D0D0" w:sz="6"/>
        </w:pBdr>
        <w:spacing w:after="160" w:before="160"/>
      </w:pPr>
    </w:p>
    <w:p>
      <w:pPr>
        <w:pStyle w:val="Heading1"/>
        <w:spacing w:after="140" w:before="320"/>
      </w:pPr>
      <w:r>
        <w:t xml:space="preserve">What is out of scope</w:t>
      </w:r>
    </w:p>
    <w:p>
      <w:pPr>
        <w:pStyle w:val="ListParagraph"/>
        <w:numPr>
          <w:ilvl w:val="0"/>
          <w:numId w:val="2"/>
        </w:numPr>
        <w:spacing w:after="80" w:line="276"/>
      </w:pPr>
      <w:r>
        <w:t xml:space="preserve">Individual learners. Learner-level records are protected under POPIA and we have no access to them. This is a school-level problem</w:t>
      </w:r>
    </w:p>
    <w:p>
      <w:pPr>
        <w:pStyle w:val="ListParagraph"/>
        <w:numPr>
          <w:ilvl w:val="0"/>
          <w:numId w:val="2"/>
        </w:numPr>
        <w:spacing w:after="80" w:line="276"/>
      </w:pPr>
      <w:r>
        <w:t xml:space="preserve">Matric pass rates as the outcome. Pass rate measures how learners did in the exam. This project is about the learners who never reached it — a different question</w:t>
      </w:r>
    </w:p>
    <w:p>
      <w:pPr>
        <w:pStyle w:val="ListParagraph"/>
        <w:numPr>
          <w:ilvl w:val="0"/>
          <w:numId w:val="2"/>
        </w:numPr>
        <w:spacing w:after="80" w:line="276"/>
      </w:pPr>
      <w:r>
        <w:t xml:space="preserve">Anything requiring data behind a login. If it cannot be obtained openly, it cannot be part of the submission</w:t>
      </w:r>
    </w:p>
    <w:p>
      <w:pPr>
        <w:spacing w:after="140"/>
      </w:pPr>
    </w:p>
    <w:p>
      <w:pPr>
        <w:pStyle w:val="Heading1"/>
        <w:spacing w:after="140" w:before="320"/>
      </w:pPr>
      <w:r>
        <w:t xml:space="preserve">When you are done</w:t>
      </w:r>
    </w:p>
    <w:p>
      <w:pPr>
        <w:spacing w:after="120" w:line="276"/>
      </w:pPr>
      <w:r>
        <w:t xml:space="preserve">Bring your cleaned dataset, your decisions, your findings and your model. We will compare both tracks side by side and take the stronger of each part — which may well be a mix.</w:t>
      </w:r>
    </w:p>
    <w:p>
      <w:pPr>
        <w:spacing w:after="120" w:line="276"/>
      </w:pPr>
      <w:r>
        <w:rPr>
          <w:b/>
          <w:bCs/>
        </w:rPr>
        <w:t xml:space="preserve">Where our numbers disagree, that is the most useful conversation we will have. Come prepared to explain your choices rather than just your results.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2026-09-17T10:27:20.819Z</dcterms:created>
  <dcterms:modified xsi:type="dcterms:W3CDTF">2026-09-17T10:27:20.820Z</dcterms:modified>
</cp:coreProperties>
</file>

<file path=docProps/custom.xml><?xml version="1.0" encoding="utf-8"?>
<Properties xmlns="http://schemas.openxmlformats.org/officeDocument/2006/custom-properties" xmlns:vt="http://schemas.openxmlformats.org/officeDocument/2006/docPropsVTypes"/>
</file>