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5"/>
      </w:pPr>
      <w:r>
        <w:rPr>
          <w:b/>
          <w:bCs/>
          <w:color w:val="595959"/>
          <w:sz w:val="18"/>
          <w:szCs w:val="18"/>
        </w:rPr>
        <w:t xml:space="preserve">DATAQUEST HACKATHON  ·  THEME: EDUCATION</w:t>
      </w:r>
    </w:p>
    <w:p>
      <w:pPr>
        <w:spacing w:after="90"/>
      </w:pPr>
      <w:r>
        <w:rPr>
          <w:b/>
          <w:bCs/>
          <w:color w:val="1F4E79"/>
          <w:sz w:val="40"/>
          <w:szCs w:val="40"/>
        </w:rPr>
        <w:t xml:space="preserve">Merging the Two Tracks</w:t>
      </w:r>
    </w:p>
    <w:p>
      <w:pPr>
        <w:spacing w:after="220"/>
      </w:pPr>
      <w:r>
        <w:rPr>
          <w:color w:val="595959"/>
          <w:sz w:val="23"/>
          <w:szCs w:val="23"/>
        </w:rPr>
        <w:t xml:space="preserve">Why we merged, what each track contributed, and what the combined model can and cannot do</w:t>
      </w:r>
    </w:p>
    <w:p>
      <w:pPr>
        <w:pBdr>
          <w:bottom w:val="single" w:color="D0D0D0" w:sz="6"/>
        </w:pBdr>
        <w:spacing w:after="140" w:before="140"/>
      </w:pPr>
    </w:p>
    <w:p>
      <w:pPr>
        <w:pStyle w:val="Heading1"/>
        <w:spacing w:after="150" w:before="340"/>
      </w:pPr>
      <w:r>
        <w:t xml:space="preserve">Why we ran two tracks at all</w:t>
      </w:r>
    </w:p>
    <w:p>
      <w:pPr>
        <w:spacing w:after="120" w:line="276"/>
      </w:pPr>
      <w:r>
        <w:t xml:space="preserve">Two teams worked the same raw data without seeing each other's cleaning, target or model. That was deliberate. Where two independent attempts agree, the result can be trusted. Where they disagree, the disagreement identifies exactly which decisions change the answer — which is worth more than either attempt alone.</w:t>
      </w:r>
    </w:p>
    <w:p>
      <w:pPr>
        <w:spacing w:after="120" w:line="276"/>
      </w:pPr>
      <w:r>
        <w:t xml:space="preserve">They disagreed, and the disagreement was the most useful thing produced.</w:t>
      </w:r>
    </w:p>
    <w:p>
      <w:pPr>
        <w:pStyle w:val="Heading1"/>
        <w:spacing w:after="150" w:before="340"/>
      </w:pPr>
      <w:r>
        <w:t xml:space="preserve">What each track asked</w:t>
      </w:r>
    </w:p>
    <w:p>
      <w:pPr>
        <w:spacing w:after="120" w:line="276"/>
      </w:pPr>
      <w:r>
        <w:t xml:space="preserve">Both tracks began from the same question — which schools are losing learners — and made different judgement calls about how to measure it. That is what produced two different answers.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3700"/>
        <w:gridCol w:w="4100"/>
      </w:tblGrid>
      <w:tr>
        <w:trPr>
          <w:tblHeader/>
        </w:trPr>
        <w:tc>
          <w:tcPr>
            <w:tcW w:type="dxa" w:w="1560"/>
            <w:shd w:fill="E8EEF5" w:val="clear"/>
            <w:tcMar>
              <w:top w:type="dxa" w:w="80"/>
              <w:left w:type="dxa" w:w="130"/>
              <w:bottom w:type="dxa" w:w="80"/>
              <w:right w:type="dxa" w:w="130"/>
            </w:tcMar>
          </w:tcPr>
          <w:p>
            <w:r>
              <w:rPr>
                <w:b/>
                <w:bCs/>
                <w:sz w:val="18"/>
                <w:szCs w:val="18"/>
              </w:rPr>
              <w:t xml:space="preserve"/>
            </w:r>
          </w:p>
        </w:tc>
        <w:tc>
          <w:tcPr>
            <w:tcW w:type="dxa" w:w="3700"/>
            <w:shd w:fill="E8EEF5" w:val="clear"/>
            <w:tcMar>
              <w:top w:type="dxa" w:w="80"/>
              <w:left w:type="dxa" w:w="130"/>
              <w:bottom w:type="dxa" w:w="80"/>
              <w:right w:type="dxa" w:w="130"/>
            </w:tcMar>
          </w:tcPr>
          <w:p>
            <w:r>
              <w:rPr>
                <w:b/>
                <w:bCs/>
                <w:sz w:val="18"/>
                <w:szCs w:val="18"/>
              </w:rPr>
              <w:t xml:space="preserve">Primary track</w:t>
            </w:r>
          </w:p>
        </w:tc>
        <w:tc>
          <w:tcPr>
            <w:tcW w:type="dxa" w:w="4100"/>
            <w:shd w:fill="E8EEF5" w:val="clear"/>
            <w:tcMar>
              <w:top w:type="dxa" w:w="80"/>
              <w:left w:type="dxa" w:w="130"/>
              <w:bottom w:type="dxa" w:w="80"/>
              <w:right w:type="dxa" w:w="130"/>
            </w:tcMar>
          </w:tcPr>
          <w:p>
            <w:r>
              <w:rPr>
                <w:b/>
                <w:bCs/>
                <w:sz w:val="18"/>
                <w:szCs w:val="18"/>
              </w:rPr>
              <w:t xml:space="preserve">Independent track</w:t>
            </w:r>
          </w:p>
        </w:tc>
      </w:tr>
      <w:tr>
        <w:tc>
          <w:tcPr>
            <w:tcW w:type="dxa" w:w="1560"/>
            <w:tcMar>
              <w:top w:type="dxa" w:w="80"/>
              <w:left w:type="dxa" w:w="130"/>
              <w:bottom w:type="dxa" w:w="80"/>
              <w:right w:type="dxa" w:w="130"/>
            </w:tcMar>
          </w:tcPr>
          <w:p>
            <w:r>
              <w:rPr>
                <w:b w:val="false"/>
                <w:bCs w:val="false"/>
                <w:sz w:val="18"/>
                <w:szCs w:val="18"/>
              </w:rPr>
              <w:t xml:space="preserve">Question</w:t>
            </w:r>
          </w:p>
        </w:tc>
        <w:tc>
          <w:tcPr>
            <w:tcW w:type="dxa" w:w="3700"/>
            <w:tcMar>
              <w:top w:type="dxa" w:w="80"/>
              <w:left w:type="dxa" w:w="130"/>
              <w:bottom w:type="dxa" w:w="80"/>
              <w:right w:type="dxa" w:w="130"/>
            </w:tcMar>
          </w:tcPr>
          <w:p>
            <w:r>
              <w:rPr>
                <w:b w:val="false"/>
                <w:bCs w:val="false"/>
                <w:sz w:val="18"/>
                <w:szCs w:val="18"/>
              </w:rPr>
              <w:t xml:space="preserve">Do fewer of this school's learners reach matric than comparable schools?</w:t>
            </w:r>
          </w:p>
        </w:tc>
        <w:tc>
          <w:tcPr>
            <w:tcW w:type="dxa" w:w="4100"/>
            <w:tcMar>
              <w:top w:type="dxa" w:w="80"/>
              <w:left w:type="dxa" w:w="130"/>
              <w:bottom w:type="dxa" w:w="80"/>
              <w:right w:type="dxa" w:w="130"/>
            </w:tcMar>
          </w:tcPr>
          <w:p>
            <w:r>
              <w:rPr>
                <w:b w:val="false"/>
                <w:bCs w:val="false"/>
                <w:sz w:val="18"/>
                <w:szCs w:val="18"/>
              </w:rPr>
              <w:t xml:space="preserve">Is this school's enrolment falling faster than its province?</w:t>
            </w:r>
          </w:p>
        </w:tc>
      </w:tr>
      <w:tr>
        <w:tc>
          <w:tcPr>
            <w:tcW w:type="dxa" w:w="1560"/>
            <w:tcMar>
              <w:top w:type="dxa" w:w="80"/>
              <w:left w:type="dxa" w:w="130"/>
              <w:bottom w:type="dxa" w:w="80"/>
              <w:right w:type="dxa" w:w="130"/>
            </w:tcMar>
          </w:tcPr>
          <w:p>
            <w:r>
              <w:rPr>
                <w:b w:val="false"/>
                <w:bCs w:val="false"/>
                <w:sz w:val="18"/>
                <w:szCs w:val="18"/>
              </w:rPr>
              <w:t xml:space="preserve">Data</w:t>
            </w:r>
          </w:p>
        </w:tc>
        <w:tc>
          <w:tcPr>
            <w:tcW w:type="dxa" w:w="3700"/>
            <w:tcMar>
              <w:top w:type="dxa" w:w="80"/>
              <w:left w:type="dxa" w:w="130"/>
              <w:bottom w:type="dxa" w:w="80"/>
              <w:right w:type="dxa" w:w="130"/>
            </w:tcMar>
          </w:tcPr>
          <w:p>
            <w:r>
              <w:rPr>
                <w:b w:val="false"/>
                <w:bCs w:val="false"/>
                <w:sz w:val="18"/>
                <w:szCs w:val="18"/>
              </w:rPr>
              <w:t xml:space="preserve">Enrolment panel plus matric results extracted from the exam report PDFs</w:t>
            </w:r>
          </w:p>
        </w:tc>
        <w:tc>
          <w:tcPr>
            <w:tcW w:type="dxa" w:w="4100"/>
            <w:tcMar>
              <w:top w:type="dxa" w:w="80"/>
              <w:left w:type="dxa" w:w="130"/>
              <w:bottom w:type="dxa" w:w="80"/>
              <w:right w:type="dxa" w:w="130"/>
            </w:tcMar>
          </w:tcPr>
          <w:p>
            <w:r>
              <w:rPr>
                <w:b w:val="false"/>
                <w:bCs w:val="false"/>
                <w:sz w:val="18"/>
                <w:szCs w:val="18"/>
              </w:rPr>
              <w:t xml:space="preserve">Enrolment panel alone</w:t>
            </w:r>
          </w:p>
        </w:tc>
      </w:tr>
      <w:tr>
        <w:tc>
          <w:tcPr>
            <w:tcW w:type="dxa" w:w="1560"/>
            <w:tcMar>
              <w:top w:type="dxa" w:w="80"/>
              <w:left w:type="dxa" w:w="130"/>
              <w:bottom w:type="dxa" w:w="80"/>
              <w:right w:type="dxa" w:w="130"/>
            </w:tcMar>
          </w:tcPr>
          <w:p>
            <w:r>
              <w:rPr>
                <w:b w:val="false"/>
                <w:bCs w:val="false"/>
                <w:sz w:val="18"/>
                <w:szCs w:val="18"/>
              </w:rPr>
              <w:t xml:space="preserve">Test AUC</w:t>
            </w:r>
          </w:p>
        </w:tc>
        <w:tc>
          <w:tcPr>
            <w:tcW w:type="dxa" w:w="3700"/>
            <w:tcMar>
              <w:top w:type="dxa" w:w="80"/>
              <w:left w:type="dxa" w:w="130"/>
              <w:bottom w:type="dxa" w:w="80"/>
              <w:right w:type="dxa" w:w="130"/>
            </w:tcMar>
          </w:tcPr>
          <w:p>
            <w:r>
              <w:rPr>
                <w:b/>
                <w:bCs/>
                <w:color w:val="A33A3A"/>
                <w:sz w:val="18"/>
                <w:szCs w:val="18"/>
              </w:rPr>
              <w:t xml:space="preserve">0.539</w:t>
            </w:r>
          </w:p>
        </w:tc>
        <w:tc>
          <w:tcPr>
            <w:tcW w:type="dxa" w:w="4100"/>
            <w:tcMar>
              <w:top w:type="dxa" w:w="80"/>
              <w:left w:type="dxa" w:w="130"/>
              <w:bottom w:type="dxa" w:w="80"/>
              <w:right w:type="dxa" w:w="130"/>
            </w:tcMar>
          </w:tcPr>
          <w:p>
            <w:r>
              <w:rPr>
                <w:b/>
                <w:bCs/>
                <w:color w:val="1E7B4F"/>
                <w:sz w:val="18"/>
                <w:szCs w:val="18"/>
              </w:rPr>
              <w:t xml:space="preserve">0.654</w:t>
            </w:r>
          </w:p>
        </w:tc>
      </w:tr>
      <w:tr>
        <w:tc>
          <w:tcPr>
            <w:tcW w:type="dxa" w:w="1560"/>
            <w:tcMar>
              <w:top w:type="dxa" w:w="80"/>
              <w:left w:type="dxa" w:w="130"/>
              <w:bottom w:type="dxa" w:w="80"/>
              <w:right w:type="dxa" w:w="130"/>
            </w:tcMar>
          </w:tcPr>
          <w:p>
            <w:r>
              <w:rPr>
                <w:b w:val="false"/>
                <w:bCs w:val="false"/>
                <w:sz w:val="18"/>
                <w:szCs w:val="18"/>
              </w:rPr>
              <w:t xml:space="preserve">Verdict</w:t>
            </w:r>
          </w:p>
        </w:tc>
        <w:tc>
          <w:tcPr>
            <w:tcW w:type="dxa" w:w="3700"/>
            <w:tcMar>
              <w:top w:type="dxa" w:w="80"/>
              <w:left w:type="dxa" w:w="130"/>
              <w:bottom w:type="dxa" w:w="80"/>
              <w:right w:type="dxa" w:w="130"/>
            </w:tcMar>
          </w:tcPr>
          <w:p>
            <w:r>
              <w:rPr>
                <w:b w:val="false"/>
                <w:bCs w:val="false"/>
                <w:sz w:val="18"/>
                <w:szCs w:val="18"/>
              </w:rPr>
              <w:t xml:space="preserve">Barely above chance</w:t>
            </w:r>
          </w:p>
        </w:tc>
        <w:tc>
          <w:tcPr>
            <w:tcW w:type="dxa" w:w="4100"/>
            <w:tcMar>
              <w:top w:type="dxa" w:w="80"/>
              <w:left w:type="dxa" w:w="130"/>
              <w:bottom w:type="dxa" w:w="80"/>
              <w:right w:type="dxa" w:w="130"/>
            </w:tcMar>
          </w:tcPr>
          <w:p>
            <w:r>
              <w:rPr>
                <w:b w:val="false"/>
                <w:bCs w:val="false"/>
                <w:sz w:val="18"/>
                <w:szCs w:val="18"/>
              </w:rPr>
              <w:t xml:space="preserve">A working triage list</w:t>
            </w:r>
          </w:p>
        </w:tc>
      </w:tr>
    </w:tbl>
    <w:p>
      <w:pPr>
        <w:spacing w:after="140"/>
      </w:pPr>
    </w:p>
    <w:p>
      <w:pPr>
        <w:pStyle w:val="Heading2"/>
        <w:spacing w:after="110" w:before="250"/>
      </w:pPr>
      <w:r>
        <w:t xml:space="preserve">Why the primary track failed</w:t>
      </w:r>
    </w:p>
    <w:p>
      <w:pPr>
        <w:spacing w:after="120" w:line="276"/>
      </w:pPr>
      <w:r>
        <w:t xml:space="preserve">Its target was matric candidates divided by enrolment — so enrolment sat in the denominator, and anything built from enrolment predicted it </w:t>
      </w:r>
      <w:r>
        <w:rPr>
          <w:i/>
          <w:iCs/>
        </w:rPr>
        <w:t xml:space="preserve">by construction</w:t>
      </w:r>
      <w:r>
        <w:t xml:space="preserve">. One variable scored an information value of 0.497, inside the band our own tooling labels “check for leakage”. Raw enrolment correlated with the target at −0.43. The model had learned to flag large schools, because a large school mechanically has a smaller share of its learners in any single grade.</w:t>
      </w:r>
    </w:p>
    <w:p>
      <w:pPr>
        <w:spacing w:after="120" w:line="276"/>
      </w:pPr>
      <w:r>
        <w:t xml:space="preserve">Removing that shortcut dropped the score from 0.600 to 0.539. Two further target definitions were tried; both landed at 0.539 and 0.542. Three attempts, one answer.</w:t>
      </w:r>
    </w:p>
    <w:p>
      <w:pPr>
        <w:pStyle w:val="Heading2"/>
        <w:spacing w:after="110" w:before="250"/>
      </w:pPr>
      <w:r>
        <w:t xml:space="preserve">Why the independent track worked</w:t>
      </w:r>
    </w:p>
    <w:p>
      <w:pPr>
        <w:spacing w:after="120" w:line="276"/>
      </w:pPr>
      <w:r>
        <w:t xml:space="preserve">Its target was enrolment decline, and its predictors were enrolment history. A volatile school stays volatile and a shrinking school keeps shrinking, so there is genuine, learnable structure. It is an easier question — and an answerable one.</w:t>
      </w:r>
    </w:p>
    <w:tbl>
      <w:tblPr>
        <w:tblW w:type="dxa" w:w="9360"/>
        <w:tblBorders>
          <w:top w:val="single" w:color="DDDDDD" w:sz="2"/>
          <w:left w:val="single" w:color="1F4E79" w:sz="18"/>
          <w:bottom w:val="single" w:color="DDDDDD" w:sz="2"/>
          <w:right w:val="single" w:color="DDDDDD" w:sz="2"/>
          <w:insideH w:val="none"/>
          <w:insideV w:val="none"/>
        </w:tblBorders>
      </w:tblPr>
      <w:tblGrid>
        <w:gridCol w:w="9360"/>
      </w:tblGrid>
      <w:tr>
        <w:tc>
          <w:tcPr>
            <w:tcW w:type="dxa" w:w="9360"/>
            <w:shd w:fill="F2F7FC" w:val="clear"/>
            <w:tcMar>
              <w:top w:type="dxa" w:w="150"/>
              <w:left w:type="dxa" w:w="210"/>
              <w:bottom w:type="dxa" w:w="150"/>
              <w:right w:type="dxa" w:w="210"/>
            </w:tcMar>
          </w:tcPr>
          <w:p>
            <w:pPr>
              <w:spacing w:after="55"/>
            </w:pPr>
            <w:r>
              <w:rPr>
                <w:b/>
                <w:bCs/>
                <w:color w:val="1F4E79"/>
                <w:sz w:val="20"/>
                <w:szCs w:val="20"/>
              </w:rPr>
              <w:t xml:space="preserve">What the independent track cannot do, and says so</w:t>
            </w:r>
          </w:p>
          <w:p>
            <w:pPr>
              <w:spacing w:line="272"/>
            </w:pPr>
            <w:r>
              <w:rPr>
                <w:sz w:val="20"/>
                <w:szCs w:val="20"/>
              </w:rPr>
              <w:t xml:space="preserve">Enrolment decline cannot distinguish a learner who drops out from one who transfers to another school. Both look identical in a headcount. The track states this in its own report rather than leaving it to be found.</w:t>
            </w:r>
          </w:p>
        </w:tc>
      </w:tr>
    </w:tbl>
    <w:p>
      <w:pPr>
        <w:pStyle w:val="Heading1"/>
        <w:spacing w:after="150" w:before="340"/>
      </w:pPr>
      <w:r>
        <w:t xml:space="preserve">Two defects the independent track caught and we missed</w:t>
      </w:r>
    </w:p>
    <w:p>
      <w:pPr>
        <w:spacing w:after="120" w:line="276"/>
      </w:pPr>
      <w:r>
        <w:t xml:space="preserve">This alone justified running two tracks.</w:t>
      </w:r>
    </w:p>
    <w:p>
      <w:pPr>
        <w:pStyle w:val="Heading2"/>
        <w:spacing w:after="110" w:before="250"/>
      </w:pPr>
      <w:r>
        <w:t xml:space="preserve">1. One year of the national data is corrupt</w:t>
      </w:r>
    </w:p>
    <w:p>
      <w:pPr>
        <w:spacing w:after="120" w:line="276"/>
      </w:pPr>
      <w:r>
        <w:t xml:space="preserve">National enrolment falls by 1.44 million in 2017 and recovers by 1.31 million in 2018. South Africa did not lose eleven percent of its learners in a year and get them back. It is a publication artefact.</w:t>
      </w:r>
    </w:p>
    <w:p>
      <w:pPr>
        <w:spacing w:after="120" w:line="276"/>
      </w:pPr>
      <w:r>
        <w:rPr>
          <w:b/>
          <w:bCs/>
        </w:rPr>
        <w:t xml:space="preserve">A target built on enrolment decline would have labelled thousands of schools as losing learners they never lost. The independent track found it, dropped 2017 and annualised across the gap. We verified the anomaly in our own copy of the data afterwards, and it is real.</w:t>
      </w:r>
    </w:p>
    <w:p>
      <w:pPr>
        <w:pStyle w:val="Heading2"/>
        <w:spacing w:after="110" w:before="250"/>
      </w:pPr>
      <w:r>
        <w:t xml:space="preserve">2. School phase labels are not stable</w:t>
      </w:r>
    </w:p>
    <w:p>
      <w:pPr>
        <w:spacing w:after="120" w:line="276"/>
      </w:pPr>
      <w:r>
        <w:t xml:space="preserve">1,573 schools recorded as combined in 2016 are recorded as primary by 2023. Taken at face value, roughly 1,800 schools with no Grade 10–12 learners enter the population. Our track included combined schools without that check.</w:t>
      </w:r>
    </w:p>
    <w:p>
      <w:r>
        <w:br w:type="page"/>
      </w:r>
    </w:p>
    <w:p>
      <w:pPr>
        <w:pStyle w:val="Heading1"/>
        <w:spacing w:after="150" w:before="340"/>
      </w:pPr>
      <w:r>
        <w:t xml:space="preserve">Why merge, rather than pick one</w:t>
      </w:r>
    </w:p>
    <w:p>
      <w:pPr>
        <w:spacing w:after="120" w:line="276"/>
      </w:pPr>
      <w:r>
        <w:t xml:space="preserve">The primary track's question failed. The data it gathered to answer that question did not.</w:t>
      </w:r>
    </w:p>
    <w:p>
      <w:pPr>
        <w:spacing w:after="120" w:line="276"/>
      </w:pPr>
      <w:r>
        <w:t xml:space="preserve">Matric results say things a learner headcount cannot: how many learners actually reached the end of school, how many were advanced into matric without meeting the requirements, and whether either is getting worse. None of that is derivable from enrolment alone, and no competing team is likely to have it — it required parsing thirteen government report PDFs, no two of which share a column layout.</w:t>
      </w:r>
    </w:p>
    <w:p>
      <w:pPr>
        <w:spacing w:after="120" w:line="276"/>
      </w:pPr>
      <w:r>
        <w:t xml:space="preserve">So the merge keeps what worked and adds what was learned: the independent track's target and binning, plus the primary track's matric extraction as predictors. The question being tested is narrow and answerable — does knowing how a school's matric cohort behaved tell you anything about whether that school is about to start shedding learners?</w:t>
      </w:r>
    </w:p>
    <w:p>
      <w:pPr>
        <w:pStyle w:val="Heading2"/>
        <w:spacing w:after="110" w:before="250"/>
      </w:pPr>
      <w:r>
        <w:t xml:space="preserve">Reproducing the baseline before changing anything</w:t>
      </w:r>
    </w:p>
    <w:p>
      <w:pPr>
        <w:spacing w:after="120" w:line="276"/>
      </w:pPr>
      <w:r>
        <w:t xml:space="preserve">The merged model was built on the independent track's own binning and selection code, not a reimplementation. Its baseline reproduces at 0.6543 against the 0.654 reported.</w:t>
      </w:r>
    </w:p>
    <w:tbl>
      <w:tblPr>
        <w:tblW w:type="dxa" w:w="9360"/>
        <w:tblBorders>
          <w:top w:val="single" w:color="DDDDDD" w:sz="2"/>
          <w:left w:val="single" w:color="1F4E79" w:sz="18"/>
          <w:bottom w:val="single" w:color="DDDDDD" w:sz="2"/>
          <w:right w:val="single" w:color="DDDDDD" w:sz="2"/>
          <w:insideH w:val="none"/>
          <w:insideV w:val="none"/>
        </w:tblBorders>
      </w:tblPr>
      <w:tblGrid>
        <w:gridCol w:w="9360"/>
      </w:tblGrid>
      <w:tr>
        <w:tc>
          <w:tcPr>
            <w:tcW w:type="dxa" w:w="9360"/>
            <w:shd w:fill="F2F7FC" w:val="clear"/>
            <w:tcMar>
              <w:top w:type="dxa" w:w="150"/>
              <w:left w:type="dxa" w:w="210"/>
              <w:bottom w:type="dxa" w:w="150"/>
              <w:right w:type="dxa" w:w="210"/>
            </w:tcMar>
          </w:tcPr>
          <w:p>
            <w:pPr>
              <w:spacing w:after="55"/>
            </w:pPr>
            <w:r>
              <w:rPr>
                <w:b/>
                <w:bCs/>
                <w:color w:val="1F4E79"/>
                <w:sz w:val="20"/>
                <w:szCs w:val="20"/>
              </w:rPr>
              <w:t xml:space="preserve">A finding worth stating plainly</w:t>
            </w:r>
          </w:p>
          <w:p>
            <w:pPr>
              <w:spacing w:line="272"/>
            </w:pPr>
            <w:r>
              <w:rPr>
                <w:sz w:val="20"/>
                <w:szCs w:val="20"/>
              </w:rPr>
              <w:t xml:space="preserve">Running the same features through our binning instead of theirs scored 0.567, not 0.654. Their monotonic bin merging and their IV and correlation screening are worth roughly 0.09 AUC on their own — more than every feature we added combined. The modelling technique mattered more than the extra data did.</w:t>
            </w:r>
          </w:p>
        </w:tc>
      </w:tr>
    </w:tbl>
    <w:p>
      <w:pPr>
        <w:pStyle w:val="Heading1"/>
        <w:spacing w:after="150" w:before="340"/>
      </w:pPr>
      <w:r>
        <w:t xml:space="preserve">Results</w:t>
      </w:r>
    </w:p>
    <w:p>
      <w:pPr>
        <w:spacing w:after="120" w:line="276"/>
      </w:pPr>
      <w:r>
        <w:t xml:space="preserve">Tuned on validation. Test read once, at the end. Tuning against test is leakage by a slower route.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650"/>
        <w:gridCol w:w="1650"/>
        <w:gridCol w:w="3360"/>
      </w:tblGrid>
      <w:tr>
        <w:trPr>
          <w:tblHeader/>
        </w:trPr>
        <w:tc>
          <w:tcPr>
            <w:tcW w:type="dxa" w:w="2700"/>
            <w:shd w:fill="E8EEF5" w:val="clear"/>
            <w:tcMar>
              <w:top w:type="dxa" w:w="80"/>
              <w:left w:type="dxa" w:w="130"/>
              <w:bottom w:type="dxa" w:w="80"/>
              <w:right w:type="dxa" w:w="130"/>
            </w:tcMar>
          </w:tcPr>
          <w:p>
            <w:r>
              <w:rPr>
                <w:b/>
                <w:bCs/>
                <w:sz w:val="18"/>
                <w:szCs w:val="18"/>
              </w:rPr>
              <w:t xml:space="preserve">Metric</w:t>
            </w:r>
          </w:p>
        </w:tc>
        <w:tc>
          <w:tcPr>
            <w:tcW w:type="dxa" w:w="1650"/>
            <w:shd w:fill="E8EEF5" w:val="clear"/>
            <w:tcMar>
              <w:top w:type="dxa" w:w="80"/>
              <w:left w:type="dxa" w:w="130"/>
              <w:bottom w:type="dxa" w:w="80"/>
              <w:right w:type="dxa" w:w="130"/>
            </w:tcMar>
          </w:tcPr>
          <w:p>
            <w:r>
              <w:rPr>
                <w:b/>
                <w:bCs/>
                <w:sz w:val="18"/>
                <w:szCs w:val="18"/>
              </w:rPr>
              <w:t xml:space="preserve">Independent</w:t>
            </w:r>
          </w:p>
        </w:tc>
        <w:tc>
          <w:tcPr>
            <w:tcW w:type="dxa" w:w="1650"/>
            <w:shd w:fill="E8EEF5" w:val="clear"/>
            <w:tcMar>
              <w:top w:type="dxa" w:w="80"/>
              <w:left w:type="dxa" w:w="130"/>
              <w:bottom w:type="dxa" w:w="80"/>
              <w:right w:type="dxa" w:w="130"/>
            </w:tcMar>
          </w:tcPr>
          <w:p>
            <w:r>
              <w:rPr>
                <w:b/>
                <w:bCs/>
                <w:sz w:val="18"/>
                <w:szCs w:val="18"/>
              </w:rPr>
              <w:t xml:space="preserve">Merged</w:t>
            </w:r>
          </w:p>
        </w:tc>
        <w:tc>
          <w:tcPr>
            <w:tcW w:type="dxa" w:w="3360"/>
            <w:shd w:fill="E8EEF5" w:val="clear"/>
            <w:tcMar>
              <w:top w:type="dxa" w:w="80"/>
              <w:left w:type="dxa" w:w="130"/>
              <w:bottom w:type="dxa" w:w="80"/>
              <w:right w:type="dxa" w:w="130"/>
            </w:tcMar>
          </w:tcPr>
          <w:p>
            <w:r>
              <w:rPr>
                <w:b/>
                <w:bCs/>
                <w:sz w:val="18"/>
                <w:szCs w:val="18"/>
              </w:rPr>
              <w:t xml:space="preserve">What it means</w:t>
            </w:r>
          </w:p>
        </w:tc>
      </w:tr>
      <w:tr>
        <w:tc>
          <w:tcPr>
            <w:tcW w:type="dxa" w:w="2700"/>
            <w:tcMar>
              <w:top w:type="dxa" w:w="80"/>
              <w:left w:type="dxa" w:w="130"/>
              <w:bottom w:type="dxa" w:w="80"/>
              <w:right w:type="dxa" w:w="130"/>
            </w:tcMar>
          </w:tcPr>
          <w:p>
            <w:r>
              <w:rPr>
                <w:b w:val="false"/>
                <w:bCs w:val="false"/>
                <w:sz w:val="18"/>
                <w:szCs w:val="18"/>
              </w:rPr>
              <w:t xml:space="preserve">AUC</w:t>
            </w:r>
          </w:p>
        </w:tc>
        <w:tc>
          <w:tcPr>
            <w:tcW w:type="dxa" w:w="1650"/>
            <w:tcMar>
              <w:top w:type="dxa" w:w="80"/>
              <w:left w:type="dxa" w:w="130"/>
              <w:bottom w:type="dxa" w:w="80"/>
              <w:right w:type="dxa" w:w="130"/>
            </w:tcMar>
          </w:tcPr>
          <w:p>
            <w:r>
              <w:rPr>
                <w:b w:val="false"/>
                <w:bCs w:val="false"/>
                <w:sz w:val="18"/>
                <w:szCs w:val="18"/>
              </w:rPr>
              <w:t xml:space="preserve">0.6543</w:t>
            </w:r>
          </w:p>
        </w:tc>
        <w:tc>
          <w:tcPr>
            <w:tcW w:type="dxa" w:w="1650"/>
            <w:tcMar>
              <w:top w:type="dxa" w:w="80"/>
              <w:left w:type="dxa" w:w="130"/>
              <w:bottom w:type="dxa" w:w="80"/>
              <w:right w:type="dxa" w:w="130"/>
            </w:tcMar>
          </w:tcPr>
          <w:p>
            <w:r>
              <w:rPr>
                <w:b/>
                <w:bCs/>
                <w:sz w:val="18"/>
                <w:szCs w:val="18"/>
              </w:rPr>
              <w:t xml:space="preserve">0.6611</w:t>
            </w:r>
          </w:p>
        </w:tc>
        <w:tc>
          <w:tcPr>
            <w:tcW w:type="dxa" w:w="3360"/>
            <w:tcMar>
              <w:top w:type="dxa" w:w="80"/>
              <w:left w:type="dxa" w:w="130"/>
              <w:bottom w:type="dxa" w:w="80"/>
              <w:right w:type="dxa" w:w="130"/>
            </w:tcMar>
          </w:tcPr>
          <w:p>
            <w:r>
              <w:rPr>
                <w:b w:val="false"/>
                <w:bCs w:val="false"/>
                <w:sz w:val="18"/>
                <w:szCs w:val="18"/>
              </w:rPr>
              <w:t xml:space="preserve">Ranking quality overall</w:t>
            </w:r>
          </w:p>
        </w:tc>
      </w:tr>
      <w:tr>
        <w:tc>
          <w:tcPr>
            <w:tcW w:type="dxa" w:w="2700"/>
            <w:tcMar>
              <w:top w:type="dxa" w:w="80"/>
              <w:left w:type="dxa" w:w="130"/>
              <w:bottom w:type="dxa" w:w="80"/>
              <w:right w:type="dxa" w:w="130"/>
            </w:tcMar>
          </w:tcPr>
          <w:p>
            <w:r>
              <w:rPr>
                <w:b w:val="false"/>
                <w:bCs w:val="false"/>
                <w:sz w:val="18"/>
                <w:szCs w:val="18"/>
              </w:rPr>
              <w:t xml:space="preserve">Gini</w:t>
            </w:r>
          </w:p>
        </w:tc>
        <w:tc>
          <w:tcPr>
            <w:tcW w:type="dxa" w:w="1650"/>
            <w:tcMar>
              <w:top w:type="dxa" w:w="80"/>
              <w:left w:type="dxa" w:w="130"/>
              <w:bottom w:type="dxa" w:w="80"/>
              <w:right w:type="dxa" w:w="130"/>
            </w:tcMar>
          </w:tcPr>
          <w:p>
            <w:r>
              <w:rPr>
                <w:b w:val="false"/>
                <w:bCs w:val="false"/>
                <w:sz w:val="18"/>
                <w:szCs w:val="18"/>
              </w:rPr>
              <w:t xml:space="preserve">0.309</w:t>
            </w:r>
          </w:p>
        </w:tc>
        <w:tc>
          <w:tcPr>
            <w:tcW w:type="dxa" w:w="1650"/>
            <w:tcMar>
              <w:top w:type="dxa" w:w="80"/>
              <w:left w:type="dxa" w:w="130"/>
              <w:bottom w:type="dxa" w:w="80"/>
              <w:right w:type="dxa" w:w="130"/>
            </w:tcMar>
          </w:tcPr>
          <w:p>
            <w:r>
              <w:rPr>
                <w:b/>
                <w:bCs/>
                <w:sz w:val="18"/>
                <w:szCs w:val="18"/>
              </w:rPr>
              <w:t xml:space="preserve">0.322</w:t>
            </w:r>
          </w:p>
        </w:tc>
        <w:tc>
          <w:tcPr>
            <w:tcW w:type="dxa" w:w="3360"/>
            <w:tcMar>
              <w:top w:type="dxa" w:w="80"/>
              <w:left w:type="dxa" w:w="130"/>
              <w:bottom w:type="dxa" w:w="80"/>
              <w:right w:type="dxa" w:w="130"/>
            </w:tcMar>
          </w:tcPr>
          <w:p>
            <w:r>
              <w:rPr>
                <w:b w:val="false"/>
                <w:bCs w:val="false"/>
                <w:sz w:val="18"/>
                <w:szCs w:val="18"/>
              </w:rPr>
              <w:t xml:space="preserve">Same information, scorecard convention</w:t>
            </w:r>
          </w:p>
        </w:tc>
      </w:tr>
      <w:tr>
        <w:tc>
          <w:tcPr>
            <w:tcW w:type="dxa" w:w="2700"/>
            <w:tcMar>
              <w:top w:type="dxa" w:w="80"/>
              <w:left w:type="dxa" w:w="130"/>
              <w:bottom w:type="dxa" w:w="80"/>
              <w:right w:type="dxa" w:w="130"/>
            </w:tcMar>
          </w:tcPr>
          <w:p>
            <w:r>
              <w:rPr>
                <w:b w:val="false"/>
                <w:bCs w:val="false"/>
                <w:sz w:val="18"/>
                <w:szCs w:val="18"/>
              </w:rPr>
              <w:t xml:space="preserve">KS</w:t>
            </w:r>
          </w:p>
        </w:tc>
        <w:tc>
          <w:tcPr>
            <w:tcW w:type="dxa" w:w="1650"/>
            <w:tcMar>
              <w:top w:type="dxa" w:w="80"/>
              <w:left w:type="dxa" w:w="130"/>
              <w:bottom w:type="dxa" w:w="80"/>
              <w:right w:type="dxa" w:w="130"/>
            </w:tcMar>
          </w:tcPr>
          <w:p>
            <w:r>
              <w:rPr>
                <w:b w:val="false"/>
                <w:bCs w:val="false"/>
                <w:sz w:val="18"/>
                <w:szCs w:val="18"/>
              </w:rPr>
              <w:t xml:space="preserve">0.225</w:t>
            </w:r>
          </w:p>
        </w:tc>
        <w:tc>
          <w:tcPr>
            <w:tcW w:type="dxa" w:w="1650"/>
            <w:tcMar>
              <w:top w:type="dxa" w:w="80"/>
              <w:left w:type="dxa" w:w="130"/>
              <w:bottom w:type="dxa" w:w="80"/>
              <w:right w:type="dxa" w:w="130"/>
            </w:tcMar>
          </w:tcPr>
          <w:p>
            <w:r>
              <w:rPr>
                <w:b/>
                <w:bCs/>
                <w:sz w:val="18"/>
                <w:szCs w:val="18"/>
              </w:rPr>
              <w:t xml:space="preserve">0.240</w:t>
            </w:r>
          </w:p>
        </w:tc>
        <w:tc>
          <w:tcPr>
            <w:tcW w:type="dxa" w:w="3360"/>
            <w:tcMar>
              <w:top w:type="dxa" w:w="80"/>
              <w:left w:type="dxa" w:w="130"/>
              <w:bottom w:type="dxa" w:w="80"/>
              <w:right w:type="dxa" w:w="130"/>
            </w:tcMar>
          </w:tcPr>
          <w:p>
            <w:r>
              <w:rPr>
                <w:b w:val="false"/>
                <w:bCs w:val="false"/>
                <w:sz w:val="18"/>
                <w:szCs w:val="18"/>
              </w:rPr>
              <w:t xml:space="preserve">Best separation between the two score distributions</w:t>
            </w:r>
          </w:p>
        </w:tc>
      </w:tr>
      <w:tr>
        <w:tc>
          <w:tcPr>
            <w:tcW w:type="dxa" w:w="2700"/>
            <w:tcMar>
              <w:top w:type="dxa" w:w="80"/>
              <w:left w:type="dxa" w:w="130"/>
              <w:bottom w:type="dxa" w:w="80"/>
              <w:right w:type="dxa" w:w="130"/>
            </w:tcMar>
          </w:tcPr>
          <w:p>
            <w:r>
              <w:rPr>
                <w:b w:val="false"/>
                <w:bCs w:val="false"/>
                <w:sz w:val="18"/>
                <w:szCs w:val="18"/>
              </w:rPr>
              <w:t xml:space="preserve">Recall</w:t>
            </w:r>
          </w:p>
        </w:tc>
        <w:tc>
          <w:tcPr>
            <w:tcW w:type="dxa" w:w="1650"/>
            <w:tcMar>
              <w:top w:type="dxa" w:w="80"/>
              <w:left w:type="dxa" w:w="130"/>
              <w:bottom w:type="dxa" w:w="80"/>
              <w:right w:type="dxa" w:w="130"/>
            </w:tcMar>
          </w:tcPr>
          <w:p>
            <w:r>
              <w:rPr>
                <w:b w:val="false"/>
                <w:bCs w:val="false"/>
                <w:sz w:val="18"/>
                <w:szCs w:val="18"/>
              </w:rPr>
              <w:t xml:space="preserve">0.576</w:t>
            </w:r>
          </w:p>
        </w:tc>
        <w:tc>
          <w:tcPr>
            <w:tcW w:type="dxa" w:w="1650"/>
            <w:tcMar>
              <w:top w:type="dxa" w:w="80"/>
              <w:left w:type="dxa" w:w="130"/>
              <w:bottom w:type="dxa" w:w="80"/>
              <w:right w:type="dxa" w:w="130"/>
            </w:tcMar>
          </w:tcPr>
          <w:p>
            <w:r>
              <w:rPr>
                <w:b/>
                <w:bCs/>
                <w:sz w:val="18"/>
                <w:szCs w:val="18"/>
              </w:rPr>
              <w:t xml:space="preserve">0.628</w:t>
            </w:r>
          </w:p>
        </w:tc>
        <w:tc>
          <w:tcPr>
            <w:tcW w:type="dxa" w:w="3360"/>
            <w:tcMar>
              <w:top w:type="dxa" w:w="80"/>
              <w:left w:type="dxa" w:w="130"/>
              <w:bottom w:type="dxa" w:w="80"/>
              <w:right w:type="dxa" w:w="130"/>
            </w:tcMar>
          </w:tcPr>
          <w:p>
            <w:r>
              <w:rPr>
                <w:b w:val="false"/>
                <w:bCs w:val="false"/>
                <w:sz w:val="18"/>
                <w:szCs w:val="18"/>
              </w:rPr>
              <w:t xml:space="preserve">Of schools that really lost learners, how many were caught</w:t>
            </w:r>
          </w:p>
        </w:tc>
      </w:tr>
      <w:tr>
        <w:tc>
          <w:tcPr>
            <w:tcW w:type="dxa" w:w="2700"/>
            <w:tcMar>
              <w:top w:type="dxa" w:w="80"/>
              <w:left w:type="dxa" w:w="130"/>
              <w:bottom w:type="dxa" w:w="80"/>
              <w:right w:type="dxa" w:w="130"/>
            </w:tcMar>
          </w:tcPr>
          <w:p>
            <w:r>
              <w:rPr>
                <w:b w:val="false"/>
                <w:bCs w:val="false"/>
                <w:sz w:val="18"/>
                <w:szCs w:val="18"/>
              </w:rPr>
              <w:t xml:space="preserve">Precision</w:t>
            </w:r>
          </w:p>
        </w:tc>
        <w:tc>
          <w:tcPr>
            <w:tcW w:type="dxa" w:w="1650"/>
            <w:tcMar>
              <w:top w:type="dxa" w:w="80"/>
              <w:left w:type="dxa" w:w="130"/>
              <w:bottom w:type="dxa" w:w="80"/>
              <w:right w:type="dxa" w:w="130"/>
            </w:tcMar>
          </w:tcPr>
          <w:p>
            <w:r>
              <w:rPr>
                <w:b w:val="false"/>
                <w:bCs w:val="false"/>
                <w:sz w:val="18"/>
                <w:szCs w:val="18"/>
              </w:rPr>
              <w:t xml:space="preserve">0.180</w:t>
            </w:r>
          </w:p>
        </w:tc>
        <w:tc>
          <w:tcPr>
            <w:tcW w:type="dxa" w:w="1650"/>
            <w:tcMar>
              <w:top w:type="dxa" w:w="80"/>
              <w:left w:type="dxa" w:w="130"/>
              <w:bottom w:type="dxa" w:w="80"/>
              <w:right w:type="dxa" w:w="130"/>
            </w:tcMar>
          </w:tcPr>
          <w:p>
            <w:r>
              <w:rPr>
                <w:b w:val="false"/>
                <w:bCs w:val="false"/>
                <w:sz w:val="18"/>
                <w:szCs w:val="18"/>
              </w:rPr>
              <w:t xml:space="preserve">0.181</w:t>
            </w:r>
          </w:p>
        </w:tc>
        <w:tc>
          <w:tcPr>
            <w:tcW w:type="dxa" w:w="3360"/>
            <w:tcMar>
              <w:top w:type="dxa" w:w="80"/>
              <w:left w:type="dxa" w:w="130"/>
              <w:bottom w:type="dxa" w:w="80"/>
              <w:right w:type="dxa" w:w="130"/>
            </w:tcMar>
          </w:tcPr>
          <w:p>
            <w:r>
              <w:rPr>
                <w:b w:val="false"/>
                <w:bCs w:val="false"/>
                <w:sz w:val="18"/>
                <w:szCs w:val="18"/>
              </w:rPr>
              <w:t xml:space="preserve">Of schools flagged, how many really lost</w:t>
            </w:r>
          </w:p>
        </w:tc>
      </w:tr>
      <w:tr>
        <w:tc>
          <w:tcPr>
            <w:tcW w:type="dxa" w:w="2700"/>
            <w:tcMar>
              <w:top w:type="dxa" w:w="80"/>
              <w:left w:type="dxa" w:w="130"/>
              <w:bottom w:type="dxa" w:w="80"/>
              <w:right w:type="dxa" w:w="130"/>
            </w:tcMar>
          </w:tcPr>
          <w:p>
            <w:r>
              <w:rPr>
                <w:b w:val="false"/>
                <w:bCs w:val="false"/>
                <w:sz w:val="18"/>
                <w:szCs w:val="18"/>
              </w:rPr>
              <w:t xml:space="preserve">Loss rate, worst tenth</w:t>
            </w:r>
          </w:p>
        </w:tc>
        <w:tc>
          <w:tcPr>
            <w:tcW w:type="dxa" w:w="1650"/>
            <w:tcMar>
              <w:top w:type="dxa" w:w="80"/>
              <w:left w:type="dxa" w:w="130"/>
              <w:bottom w:type="dxa" w:w="80"/>
              <w:right w:type="dxa" w:w="130"/>
            </w:tcMar>
          </w:tcPr>
          <w:p>
            <w:r>
              <w:rPr>
                <w:b w:val="false"/>
                <w:bCs w:val="false"/>
                <w:sz w:val="18"/>
                <w:szCs w:val="18"/>
              </w:rPr>
              <w:t xml:space="preserve">21.7%</w:t>
            </w:r>
          </w:p>
        </w:tc>
        <w:tc>
          <w:tcPr>
            <w:tcW w:type="dxa" w:w="1650"/>
            <w:tcMar>
              <w:top w:type="dxa" w:w="80"/>
              <w:left w:type="dxa" w:w="130"/>
              <w:bottom w:type="dxa" w:w="80"/>
              <w:right w:type="dxa" w:w="130"/>
            </w:tcMar>
          </w:tcPr>
          <w:p>
            <w:r>
              <w:rPr>
                <w:b/>
                <w:bCs/>
                <w:sz w:val="18"/>
                <w:szCs w:val="18"/>
              </w:rPr>
              <w:t xml:space="preserve">22.6%</w:t>
            </w:r>
          </w:p>
        </w:tc>
        <w:tc>
          <w:tcPr>
            <w:tcW w:type="dxa" w:w="3360"/>
            <w:tcMar>
              <w:top w:type="dxa" w:w="80"/>
              <w:left w:type="dxa" w:w="130"/>
              <w:bottom w:type="dxa" w:w="80"/>
              <w:right w:type="dxa" w:w="130"/>
            </w:tcMar>
          </w:tcPr>
          <w:p>
            <w:r>
              <w:rPr>
                <w:b w:val="false"/>
                <w:bCs w:val="false"/>
                <w:sz w:val="18"/>
                <w:szCs w:val="18"/>
              </w:rPr>
              <w:t xml:space="preserve">How often the worst-scored schools really lose</w:t>
            </w:r>
          </w:p>
        </w:tc>
      </w:tr>
      <w:tr>
        <w:tc>
          <w:tcPr>
            <w:tcW w:type="dxa" w:w="2700"/>
            <w:tcMar>
              <w:top w:type="dxa" w:w="80"/>
              <w:left w:type="dxa" w:w="130"/>
              <w:bottom w:type="dxa" w:w="80"/>
              <w:right w:type="dxa" w:w="130"/>
            </w:tcMar>
          </w:tcPr>
          <w:p>
            <w:r>
              <w:rPr>
                <w:b w:val="false"/>
                <w:bCs w:val="false"/>
                <w:sz w:val="18"/>
                <w:szCs w:val="18"/>
              </w:rPr>
              <w:t xml:space="preserve">Loss rate, best tenth</w:t>
            </w:r>
          </w:p>
        </w:tc>
        <w:tc>
          <w:tcPr>
            <w:tcW w:type="dxa" w:w="1650"/>
            <w:tcMar>
              <w:top w:type="dxa" w:w="80"/>
              <w:left w:type="dxa" w:w="130"/>
              <w:bottom w:type="dxa" w:w="80"/>
              <w:right w:type="dxa" w:w="130"/>
            </w:tcMar>
          </w:tcPr>
          <w:p>
            <w:r>
              <w:rPr>
                <w:b w:val="false"/>
                <w:bCs w:val="false"/>
                <w:sz w:val="18"/>
                <w:szCs w:val="18"/>
              </w:rPr>
              <w:t xml:space="preserve">2.6%</w:t>
            </w:r>
          </w:p>
        </w:tc>
        <w:tc>
          <w:tcPr>
            <w:tcW w:type="dxa" w:w="1650"/>
            <w:tcMar>
              <w:top w:type="dxa" w:w="80"/>
              <w:left w:type="dxa" w:w="130"/>
              <w:bottom w:type="dxa" w:w="80"/>
              <w:right w:type="dxa" w:w="130"/>
            </w:tcMar>
          </w:tcPr>
          <w:p>
            <w:r>
              <w:rPr>
                <w:b/>
                <w:bCs/>
                <w:sz w:val="18"/>
                <w:szCs w:val="18"/>
              </w:rPr>
              <w:t xml:space="preserve">2.3%</w:t>
            </w:r>
          </w:p>
        </w:tc>
        <w:tc>
          <w:tcPr>
            <w:tcW w:type="dxa" w:w="3360"/>
            <w:tcMar>
              <w:top w:type="dxa" w:w="80"/>
              <w:left w:type="dxa" w:w="130"/>
              <w:bottom w:type="dxa" w:w="80"/>
              <w:right w:type="dxa" w:w="130"/>
            </w:tcMar>
          </w:tcPr>
          <w:p>
            <w:r>
              <w:rPr>
                <w:b w:val="false"/>
                <w:bCs w:val="false"/>
                <w:sz w:val="18"/>
                <w:szCs w:val="18"/>
              </w:rPr>
              <w:t xml:space="preserve">How often the best-scored schools lose</w:t>
            </w:r>
          </w:p>
        </w:tc>
      </w:tr>
      <w:tr>
        <w:tc>
          <w:tcPr>
            <w:tcW w:type="dxa" w:w="2700"/>
            <w:tcMar>
              <w:top w:type="dxa" w:w="80"/>
              <w:left w:type="dxa" w:w="130"/>
              <w:bottom w:type="dxa" w:w="80"/>
              <w:right w:type="dxa" w:w="130"/>
            </w:tcMar>
          </w:tcPr>
          <w:p>
            <w:r>
              <w:rPr>
                <w:b w:val="false"/>
                <w:bCs w:val="false"/>
                <w:sz w:val="18"/>
                <w:szCs w:val="18"/>
              </w:rPr>
              <w:t xml:space="preserve">Lift, worst tenth</w:t>
            </w:r>
          </w:p>
        </w:tc>
        <w:tc>
          <w:tcPr>
            <w:tcW w:type="dxa" w:w="1650"/>
            <w:tcMar>
              <w:top w:type="dxa" w:w="80"/>
              <w:left w:type="dxa" w:w="130"/>
              <w:bottom w:type="dxa" w:w="80"/>
              <w:right w:type="dxa" w:w="130"/>
            </w:tcMar>
          </w:tcPr>
          <w:p>
            <w:r>
              <w:rPr>
                <w:b w:val="false"/>
                <w:bCs w:val="false"/>
                <w:sz w:val="18"/>
                <w:szCs w:val="18"/>
              </w:rPr>
              <w:t xml:space="preserve">1.78×</w:t>
            </w:r>
          </w:p>
        </w:tc>
        <w:tc>
          <w:tcPr>
            <w:tcW w:type="dxa" w:w="1650"/>
            <w:tcMar>
              <w:top w:type="dxa" w:w="80"/>
              <w:left w:type="dxa" w:w="130"/>
              <w:bottom w:type="dxa" w:w="80"/>
              <w:right w:type="dxa" w:w="130"/>
            </w:tcMar>
          </w:tcPr>
          <w:p>
            <w:r>
              <w:rPr>
                <w:b/>
                <w:bCs/>
                <w:sz w:val="18"/>
                <w:szCs w:val="18"/>
              </w:rPr>
              <w:t xml:space="preserve">1.86×</w:t>
            </w:r>
          </w:p>
        </w:tc>
        <w:tc>
          <w:tcPr>
            <w:tcW w:type="dxa" w:w="3360"/>
            <w:tcMar>
              <w:top w:type="dxa" w:w="80"/>
              <w:left w:type="dxa" w:w="130"/>
              <w:bottom w:type="dxa" w:w="80"/>
              <w:right w:type="dxa" w:w="130"/>
            </w:tcMar>
          </w:tcPr>
          <w:p>
            <w:r>
              <w:rPr>
                <w:b w:val="false"/>
                <w:bCs w:val="false"/>
                <w:sz w:val="18"/>
                <w:szCs w:val="18"/>
              </w:rPr>
              <w:t xml:space="preserve">Against the 12.2% base rate</w:t>
            </w:r>
          </w:p>
        </w:tc>
      </w:tr>
    </w:tbl>
    <w:p>
      <w:pPr>
        <w:spacing w:after="140"/>
      </w:pPr>
    </w:p>
    <w:p>
      <w:pPr>
        <w:spacing w:after="120" w:line="276"/>
      </w:pPr>
      <w:r>
        <w:rPr>
          <w:b/>
          <w:bCs/>
        </w:rPr>
        <w:t xml:space="preserve">The separation is the number that matters. </w:t>
      </w:r>
      <w:r>
        <w:t xml:space="preserve">The worst-scored tenth of schools loses learners roughly ten times as often as the best-scored tenth — 22.6% against 2.3%. A planner working the top of that list is right about one time in four, against one in eight working at random.</w:t>
      </w:r>
    </w:p>
    <w:p>
      <w:pPr>
        <w:pStyle w:val="Heading2"/>
        <w:spacing w:after="110" w:before="250"/>
      </w:pPr>
      <w:r>
        <w:t xml:space="preserve">Which merged variables earned a place</w:t>
      </w:r>
    </w:p>
    <w:p>
      <w:pPr>
        <w:spacing w:after="120" w:line="276"/>
      </w:pPr>
      <w:r>
        <w:t xml:space="preserve">Six survived selection, out of eighteen offered: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shd w:fill="E8EEF5" w:val="clear"/>
            <w:tcMar>
              <w:top w:type="dxa" w:w="80"/>
              <w:left w:type="dxa" w:w="130"/>
              <w:bottom w:type="dxa" w:w="80"/>
              <w:right w:type="dxa" w:w="130"/>
            </w:tcMar>
          </w:tcPr>
          <w:p>
            <w:r>
              <w:rPr>
                <w:b/>
                <w:bCs/>
                <w:sz w:val="18"/>
                <w:szCs w:val="18"/>
              </w:rPr>
              <w:t xml:space="preserve">Variable</w:t>
            </w:r>
          </w:p>
        </w:tc>
        <w:tc>
          <w:tcPr>
            <w:tcW w:type="dxa" w:w="6760"/>
            <w:shd w:fill="E8EEF5" w:val="clear"/>
            <w:tcMar>
              <w:top w:type="dxa" w:w="80"/>
              <w:left w:type="dxa" w:w="130"/>
              <w:bottom w:type="dxa" w:w="80"/>
              <w:right w:type="dxa" w:w="130"/>
            </w:tcMar>
          </w:tcPr>
          <w:p>
            <w:r>
              <w:rPr>
                <w:b/>
                <w:bCs/>
                <w:sz w:val="18"/>
                <w:szCs w:val="18"/>
              </w:rPr>
              <w:t xml:space="preserve">What it carries</w:t>
            </w:r>
          </w:p>
        </w:tc>
      </w:tr>
      <w:tr>
        <w:tc>
          <w:tcPr>
            <w:tcW w:type="dxa" w:w="2600"/>
            <w:tcMar>
              <w:top w:type="dxa" w:w="80"/>
              <w:left w:type="dxa" w:w="130"/>
              <w:bottom w:type="dxa" w:w="80"/>
              <w:right w:type="dxa" w:w="130"/>
            </w:tcMar>
          </w:tcPr>
          <w:p>
            <w:r>
              <w:rPr>
                <w:b w:val="false"/>
                <w:bCs w:val="false"/>
                <w:sz w:val="18"/>
                <w:szCs w:val="18"/>
              </w:rPr>
              <w:t xml:space="preserve">throughput</w:t>
            </w:r>
          </w:p>
        </w:tc>
        <w:tc>
          <w:tcPr>
            <w:tcW w:type="dxa" w:w="6760"/>
            <w:tcMar>
              <w:top w:type="dxa" w:w="80"/>
              <w:left w:type="dxa" w:w="130"/>
              <w:bottom w:type="dxa" w:w="80"/>
              <w:right w:type="dxa" w:w="130"/>
            </w:tcMar>
          </w:tcPr>
          <w:p>
            <w:r>
              <w:rPr>
                <w:b w:val="false"/>
                <w:bCs w:val="false"/>
                <w:sz w:val="18"/>
                <w:szCs w:val="18"/>
              </w:rPr>
              <w:t xml:space="preserve">Matric candidates as a share of the school. A school where few learners reach the end.</w:t>
            </w:r>
          </w:p>
        </w:tc>
      </w:tr>
      <w:tr>
        <w:tc>
          <w:tcPr>
            <w:tcW w:type="dxa" w:w="2600"/>
            <w:tcMar>
              <w:top w:type="dxa" w:w="80"/>
              <w:left w:type="dxa" w:w="130"/>
              <w:bottom w:type="dxa" w:w="80"/>
              <w:right w:type="dxa" w:w="130"/>
            </w:tcMar>
          </w:tcPr>
          <w:p>
            <w:r>
              <w:rPr>
                <w:b w:val="false"/>
                <w:bCs w:val="false"/>
                <w:sz w:val="18"/>
                <w:szCs w:val="18"/>
              </w:rPr>
              <w:t xml:space="preserve">wrote_chg1</w:t>
            </w:r>
          </w:p>
        </w:tc>
        <w:tc>
          <w:tcPr>
            <w:tcW w:type="dxa" w:w="6760"/>
            <w:tcMar>
              <w:top w:type="dxa" w:w="80"/>
              <w:left w:type="dxa" w:w="130"/>
              <w:bottom w:type="dxa" w:w="80"/>
              <w:right w:type="dxa" w:w="130"/>
            </w:tcMar>
          </w:tcPr>
          <w:p>
            <w:r>
              <w:rPr>
                <w:b w:val="false"/>
                <w:bCs w:val="false"/>
                <w:sz w:val="18"/>
                <w:szCs w:val="18"/>
              </w:rPr>
              <w:t xml:space="preserve">Change in the size of the matric cohort year on year.</w:t>
            </w:r>
          </w:p>
        </w:tc>
      </w:tr>
      <w:tr>
        <w:tc>
          <w:tcPr>
            <w:tcW w:type="dxa" w:w="2600"/>
            <w:tcMar>
              <w:top w:type="dxa" w:w="80"/>
              <w:left w:type="dxa" w:w="130"/>
              <w:bottom w:type="dxa" w:w="80"/>
              <w:right w:type="dxa" w:w="130"/>
            </w:tcMar>
          </w:tcPr>
          <w:p>
            <w:r>
              <w:rPr>
                <w:b w:val="false"/>
                <w:bCs w:val="false"/>
                <w:sz w:val="18"/>
                <w:szCs w:val="18"/>
              </w:rPr>
              <w:t xml:space="preserve">dist_wrote_chg</w:t>
            </w:r>
          </w:p>
        </w:tc>
        <w:tc>
          <w:tcPr>
            <w:tcW w:type="dxa" w:w="6760"/>
            <w:tcMar>
              <w:top w:type="dxa" w:w="80"/>
              <w:left w:type="dxa" w:w="130"/>
              <w:bottom w:type="dxa" w:w="80"/>
              <w:right w:type="dxa" w:w="130"/>
            </w:tcMar>
          </w:tcPr>
          <w:p>
            <w:r>
              <w:rPr>
                <w:b w:val="false"/>
                <w:bCs w:val="false"/>
                <w:sz w:val="18"/>
                <w:szCs w:val="18"/>
              </w:rPr>
              <w:t xml:space="preserve">The same, across the school's district — context the enrolment panel cannot see.</w:t>
            </w:r>
          </w:p>
        </w:tc>
      </w:tr>
      <w:tr>
        <w:tc>
          <w:tcPr>
            <w:tcW w:type="dxa" w:w="2600"/>
            <w:tcMar>
              <w:top w:type="dxa" w:w="80"/>
              <w:left w:type="dxa" w:w="130"/>
              <w:bottom w:type="dxa" w:w="80"/>
              <w:right w:type="dxa" w:w="130"/>
            </w:tcMar>
          </w:tcPr>
          <w:p>
            <w:r>
              <w:rPr>
                <w:b w:val="false"/>
                <w:bCs w:val="false"/>
                <w:sz w:val="18"/>
                <w:szCs w:val="18"/>
              </w:rPr>
              <w:t xml:space="preserve">prior_loss</w:t>
            </w:r>
          </w:p>
        </w:tc>
        <w:tc>
          <w:tcPr>
            <w:tcW w:type="dxa" w:w="6760"/>
            <w:tcMar>
              <w:top w:type="dxa" w:w="80"/>
              <w:left w:type="dxa" w:w="130"/>
              <w:bottom w:type="dxa" w:w="80"/>
              <w:right w:type="dxa" w:w="130"/>
            </w:tcMar>
          </w:tcPr>
          <w:p>
            <w:r>
              <w:rPr>
                <w:b w:val="false"/>
                <w:bCs w:val="false"/>
                <w:sz w:val="18"/>
                <w:szCs w:val="18"/>
              </w:rPr>
              <w:t xml:space="preserve">Whether the school already lost learners in the last observable window.</w:t>
            </w:r>
          </w:p>
        </w:tc>
      </w:tr>
      <w:tr>
        <w:tc>
          <w:tcPr>
            <w:tcW w:type="dxa" w:w="2600"/>
            <w:tcMar>
              <w:top w:type="dxa" w:w="80"/>
              <w:left w:type="dxa" w:w="130"/>
              <w:bottom w:type="dxa" w:w="80"/>
              <w:right w:type="dxa" w:w="130"/>
            </w:tcMar>
          </w:tcPr>
          <w:p>
            <w:r>
              <w:rPr>
                <w:b w:val="false"/>
                <w:bCs w:val="false"/>
                <w:sz w:val="18"/>
                <w:szCs w:val="18"/>
              </w:rPr>
              <w:t xml:space="preserve">ler_vol</w:t>
            </w:r>
          </w:p>
        </w:tc>
        <w:tc>
          <w:tcPr>
            <w:tcW w:type="dxa" w:w="6760"/>
            <w:tcMar>
              <w:top w:type="dxa" w:w="80"/>
              <w:left w:type="dxa" w:w="130"/>
              <w:bottom w:type="dxa" w:w="80"/>
              <w:right w:type="dxa" w:w="130"/>
            </w:tcMar>
          </w:tcPr>
          <w:p>
            <w:r>
              <w:rPr>
                <w:b w:val="false"/>
                <w:bCs w:val="false"/>
                <w:sz w:val="18"/>
                <w:szCs w:val="18"/>
              </w:rPr>
              <w:t xml:space="preserve">Instability in the learner-to-educator ratio over five years.</w:t>
            </w:r>
          </w:p>
        </w:tc>
      </w:tr>
      <w:tr>
        <w:tc>
          <w:tcPr>
            <w:tcW w:type="dxa" w:w="2600"/>
            <w:tcMar>
              <w:top w:type="dxa" w:w="80"/>
              <w:left w:type="dxa" w:w="130"/>
              <w:bottom w:type="dxa" w:w="80"/>
              <w:right w:type="dxa" w:w="130"/>
            </w:tcMar>
          </w:tcPr>
          <w:p>
            <w:r>
              <w:rPr>
                <w:b w:val="false"/>
                <w:bCs w:val="false"/>
                <w:sz w:val="18"/>
                <w:szCs w:val="18"/>
              </w:rPr>
              <w:t xml:space="preserve">small_and_volatile</w:t>
            </w:r>
          </w:p>
        </w:tc>
        <w:tc>
          <w:tcPr>
            <w:tcW w:type="dxa" w:w="6760"/>
            <w:tcMar>
              <w:top w:type="dxa" w:w="80"/>
              <w:left w:type="dxa" w:w="130"/>
              <w:bottom w:type="dxa" w:w="80"/>
              <w:right w:type="dxa" w:w="130"/>
            </w:tcMar>
          </w:tcPr>
          <w:p>
            <w:r>
              <w:rPr>
                <w:b w:val="false"/>
                <w:bCs w:val="false"/>
                <w:sz w:val="18"/>
                <w:szCs w:val="18"/>
              </w:rPr>
              <w:t xml:space="preserve">Size and instability together, which a linear model cannot express alone.</w:t>
            </w:r>
          </w:p>
        </w:tc>
      </w:tr>
    </w:tbl>
    <w:p>
      <w:r>
        <w:br w:type="page"/>
      </w:r>
    </w:p>
    <w:p>
      <w:pPr>
        <w:pStyle w:val="Heading1"/>
        <w:spacing w:after="150" w:before="340"/>
      </w:pPr>
      <w:r>
        <w:t xml:space="preserve">What did not work, and is recorded anyway</w:t>
      </w:r>
    </w:p>
    <w:p>
      <w:pPr>
        <w:spacing w:after="120" w:line="276"/>
      </w:pPr>
      <w:r>
        <w:t xml:space="preserve">Both cost time, and both are the sort of thing that gets quietly dropped from a write-up.</w:t>
      </w:r>
    </w:p>
    <w:p>
      <w:pPr>
        <w:pStyle w:val="ListParagraph"/>
        <w:numPr>
          <w:ilvl w:val="0"/>
          <w:numId w:val="2"/>
        </w:numPr>
        <w:spacing w:after="70" w:line="272"/>
      </w:pPr>
      <w:r>
        <w:t xml:space="preserve">A school's own prior loss shows the doubling the independent track measured — 12.7% of schools without a prior loss go on to lose, against 20.7% of those with one. Added to the model it changes nothing, because volatility and trend already carry that information. The effect is real and the variable is redundant.</w:t>
      </w:r>
    </w:p>
    <w:p>
      <w:pPr>
        <w:pStyle w:val="ListParagraph"/>
        <w:numPr>
          <w:ilvl w:val="0"/>
          <w:numId w:val="2"/>
        </w:numPr>
        <w:spacing w:after="70" w:line="272"/>
      </w:pPr>
      <w:r>
        <w:t xml:space="preserve">Progressed share and pass rate both score information value near zero against this target. How well a school's matric class performs says almost nothing about whether the school is about to shrink.</w:t>
      </w:r>
    </w:p>
    <w:p>
      <w:pPr>
        <w:spacing w:after="130"/>
      </w:pPr>
    </w:p>
    <w:p>
      <w:pPr>
        <w:pStyle w:val="Heading1"/>
        <w:spacing w:after="150" w:before="340"/>
      </w:pPr>
      <w:r>
        <w:t xml:space="preserve">On the target of 0.70 AUC</w:t>
      </w:r>
    </w:p>
    <w:p>
      <w:pPr>
        <w:spacing w:after="120" w:line="276"/>
      </w:pPr>
      <w:r>
        <w:rPr>
          <w:b/>
          <w:bCs/>
        </w:rPr>
        <w:t xml:space="preserve">We did not reach it. The best honest figure is 0.670, from the gradient-boosted benchmark; the scorecard reaches 0.661.</w:t>
      </w:r>
    </w:p>
    <w:p>
      <w:pPr>
        <w:spacing w:after="120" w:line="276"/>
      </w:pPr>
      <w:r>
        <w:t xml:space="preserve">The evidence says this is close to the ceiling for this data rather than a failure of effort:</w:t>
      </w:r>
    </w:p>
    <w:p>
      <w:pPr>
        <w:pStyle w:val="ListParagraph"/>
        <w:numPr>
          <w:ilvl w:val="0"/>
          <w:numId w:val="2"/>
        </w:numPr>
        <w:spacing w:after="70" w:line="272"/>
      </w:pPr>
      <w:r>
        <w:t xml:space="preserve">The tree trains to 0.82 and tests at 0.67. It is memorising schools, not finding transferable structure — and when a flexible model cannot meaningfully beat a linear one, the features are exhausted.</w:t>
      </w:r>
    </w:p>
    <w:p>
      <w:pPr>
        <w:pStyle w:val="ListParagraph"/>
        <w:numPr>
          <w:ilvl w:val="0"/>
          <w:numId w:val="2"/>
        </w:numPr>
        <w:spacing w:after="70" w:line="272"/>
      </w:pPr>
      <w:r>
        <w:t xml:space="preserve">Three independent families of new variables — matric outcomes, district context, prior outcomes — each added between 0.004 and 0.010. They do not compound.</w:t>
      </w:r>
    </w:p>
    <w:p>
      <w:pPr>
        <w:pStyle w:val="ListParagraph"/>
        <w:numPr>
          <w:ilvl w:val="0"/>
          <w:numId w:val="2"/>
        </w:numPr>
        <w:spacing w:after="70" w:line="272"/>
      </w:pPr>
      <w:r>
        <w:t xml:space="preserve">The remaining variation is likely irreducible from open data. Whether a particular school starts losing learners depends on leadership, local economy and events no published spreadsheet records.</w:t>
      </w:r>
    </w:p>
    <w:p>
      <w:pPr>
        <w:spacing w:after="130"/>
      </w:pPr>
    </w:p>
    <w:tbl>
      <w:tblPr>
        <w:tblW w:type="dxa" w:w="9360"/>
        <w:tblBorders>
          <w:top w:val="single" w:color="DDDDDD" w:sz="2"/>
          <w:left w:val="single" w:color="1F4E79" w:sz="18"/>
          <w:bottom w:val="single" w:color="DDDDDD" w:sz="2"/>
          <w:right w:val="single" w:color="DDDDDD" w:sz="2"/>
          <w:insideH w:val="none"/>
          <w:insideV w:val="none"/>
        </w:tblBorders>
      </w:tblPr>
      <w:tblGrid>
        <w:gridCol w:w="9360"/>
      </w:tblGrid>
      <w:tr>
        <w:tc>
          <w:tcPr>
            <w:tcW w:type="dxa" w:w="9360"/>
            <w:shd w:fill="F2F7FC" w:val="clear"/>
            <w:tcMar>
              <w:top w:type="dxa" w:w="150"/>
              <w:left w:type="dxa" w:w="210"/>
              <w:bottom w:type="dxa" w:w="150"/>
              <w:right w:type="dxa" w:w="210"/>
            </w:tcMar>
          </w:tcPr>
          <w:p>
            <w:pPr>
              <w:spacing w:after="55"/>
            </w:pPr>
            <w:r>
              <w:rPr>
                <w:b/>
                <w:bCs/>
                <w:color w:val="1F4E79"/>
                <w:sz w:val="20"/>
                <w:szCs w:val="20"/>
              </w:rPr>
              <w:t xml:space="preserve">What would actually move it</w:t>
            </w:r>
          </w:p>
          <w:p>
            <w:pPr>
              <w:spacing w:line="272"/>
            </w:pPr>
            <w:r>
              <w:rPr>
                <w:sz w:val="20"/>
                <w:szCs w:val="20"/>
              </w:rPr>
              <w:t xml:space="preserve">Per-grade enrolment, which is held under separate permission. Every measure here divides by a whole-school roll that mixes all grades together, so real attrition and an ordinary change in intake look the same. This is no longer a wish — it is the measured conclusion of two independent attempts that both hit the same ceiling.</w:t>
            </w:r>
          </w:p>
        </w:tc>
      </w:tr>
    </w:tbl>
    <w:p>
      <w:pPr>
        <w:pStyle w:val="Heading1"/>
        <w:spacing w:after="150" w:before="340"/>
      </w:pPr>
      <w:r>
        <w:t xml:space="preserve">What we are claiming</w:t>
      </w:r>
    </w:p>
    <w:p>
      <w:pPr>
        <w:spacing w:after="120" w:line="276"/>
      </w:pPr>
      <w:r>
        <w:t xml:space="preserve">The merged model is a triage list, not a verdict. At 0.66 AUC it ranks well enough to be worth working from the top of, and not well enough to be believed about any single school without a visit.</w:t>
      </w:r>
    </w:p>
    <w:p>
      <w:pPr>
        <w:spacing w:after="120" w:line="276"/>
      </w:pPr>
      <w:r>
        <w:t xml:space="preserve">Reported honestly, that is a defensible tool. Reported as a prediction engine, it would not survive the first serious question.</w:t>
      </w:r>
    </w:p>
    <w:sectPr>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b/>
      <w:bCs/>
      <w:color w:val="1F4E79"/>
      <w:sz w:val="30"/>
      <w:szCs w:val="30"/>
    </w:rPr>
  </w:style>
  <w:style w:type="paragraph" w:styleId="Heading2">
    <w:name w:val="Heading 2"/>
    <w:basedOn w:val="Normal"/>
    <w:next w:val="Normal"/>
    <w:qFormat/>
    <w:rPr>
      <w:rFonts w:ascii="Calibri" w:cs="Calibri" w:eastAsia="Calibri" w:hAnsi="Calibri"/>
      <w:b/>
      <w:bCs/>
      <w:color w:val="2E2E2E"/>
      <w:sz w:val="24"/>
      <w:szCs w:val="24"/>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2026-09-17T15:47:50.206Z</dcterms:created>
  <dcterms:modified xsi:type="dcterms:W3CDTF">2026-09-17T15:47:50.252Z</dcterms:modified>
</cp:coreProperties>
</file>

<file path=docProps/custom.xml><?xml version="1.0" encoding="utf-8"?>
<Properties xmlns="http://schemas.openxmlformats.org/officeDocument/2006/custom-properties" xmlns:vt="http://schemas.openxmlformats.org/officeDocument/2006/docPropsVTypes"/>
</file>