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5"/>
      </w:pPr>
      <w:r>
        <w:rPr>
          <w:b/>
          <w:bCs/>
          <w:color w:val="595959"/>
          <w:sz w:val="18"/>
          <w:szCs w:val="18"/>
        </w:rPr>
        <w:t xml:space="preserve">DATAQUEST HACKATHON  ·  THEME: EDUCATION</w:t>
      </w:r>
    </w:p>
    <w:p>
      <w:pPr>
        <w:spacing w:after="90"/>
      </w:pPr>
      <w:r>
        <w:rPr>
          <w:b/>
          <w:bCs/>
          <w:color w:val="1F4E79"/>
          <w:sz w:val="44"/>
          <w:szCs w:val="44"/>
        </w:rPr>
        <w:t xml:space="preserve">The Missing List</w:t>
      </w:r>
    </w:p>
    <w:p>
      <w:pPr>
        <w:spacing w:after="220"/>
      </w:pPr>
      <w:r>
        <w:rPr>
          <w:color w:val="595959"/>
          <w:sz w:val="24"/>
          <w:szCs w:val="24"/>
        </w:rPr>
        <w:t xml:space="preserve">A school-level dropout risk register for South Africa</w:t>
      </w:r>
    </w:p>
    <w:p>
      <w:pPr>
        <w:pBdr>
          <w:bottom w:val="single" w:color="D0D0D0" w:sz="6"/>
        </w:pBdr>
        <w:spacing w:after="140" w:before="140"/>
      </w:pPr>
    </w:p>
    <w:p>
      <w:pPr>
        <w:pStyle w:val="Heading1"/>
        <w:spacing w:after="150" w:before="340"/>
      </w:pPr>
      <w:r>
        <w:t xml:space="preserve">The Problem</w:t>
      </w:r>
    </w:p>
    <w:p>
      <w:pPr>
        <w:spacing w:after="120" w:line="276"/>
      </w:pPr>
      <w:r>
        <w:rPr>
          <w:b/>
          <w:bCs/>
        </w:rPr>
        <w:t xml:space="preserve">More than 40% of South African learners who start Grade 1 never finish matric.</w:t>
      </w:r>
    </w:p>
    <w:p>
      <w:pPr>
        <w:spacing w:after="120" w:line="276"/>
      </w:pPr>
      <w:r>
        <w:t xml:space="preserve">Put plainly: </w:t>
      </w:r>
      <w:r>
        <w:rPr>
          <w:b/>
          <w:bCs/>
        </w:rPr>
        <w:t xml:space="preserve">40 of every 100 children</w:t>
      </w:r>
      <w:r>
        <w:t xml:space="preserve"> who walk into a Grade 1 classroom will not walk out of a Grade 12 one. That figure is published, widely quoted, and not in dispute.</w:t>
      </w:r>
    </w:p>
    <w:p>
      <w:pPr>
        <w:spacing w:after="120" w:line="276"/>
      </w:pPr>
      <w:r>
        <w:rPr>
          <w:b/>
          <w:bCs/>
        </w:rPr>
        <w:t xml:space="preserve">So the obvious question is: how do we save those learners?</w:t>
      </w:r>
    </w:p>
    <w:p>
      <w:pPr>
        <w:spacing w:after="120" w:line="276"/>
      </w:pPr>
      <w:r>
        <w:t xml:space="preserve">To answer that, four smaller questions have to be answered first:</w:t>
      </w:r>
    </w:p>
    <w:p>
      <w:pPr>
        <w:pStyle w:val="ListParagraph"/>
        <w:numPr>
          <w:ilvl w:val="0"/>
          <w:numId w:val="2"/>
        </w:numPr>
        <w:spacing w:after="70" w:line="272"/>
      </w:pPr>
      <w:r>
        <w:t xml:space="preserve">Which provinces are losing the most?</w:t>
      </w:r>
    </w:p>
    <w:p>
      <w:pPr>
        <w:pStyle w:val="ListParagraph"/>
        <w:numPr>
          <w:ilvl w:val="0"/>
          <w:numId w:val="2"/>
        </w:numPr>
        <w:spacing w:after="70" w:line="272"/>
      </w:pPr>
      <w:r>
        <w:t xml:space="preserve">Which districts inside those provinces?</w:t>
      </w:r>
    </w:p>
    <w:p>
      <w:pPr>
        <w:pStyle w:val="ListParagraph"/>
        <w:numPr>
          <w:ilvl w:val="0"/>
          <w:numId w:val="2"/>
        </w:numPr>
        <w:spacing w:after="70" w:line="272"/>
      </w:pPr>
      <w:r>
        <w:t xml:space="preserve">Which schools inside those districts?</w:t>
      </w:r>
    </w:p>
    <w:p>
      <w:pPr>
        <w:pStyle w:val="ListParagraph"/>
        <w:numPr>
          <w:ilvl w:val="0"/>
          <w:numId w:val="2"/>
        </w:numPr>
        <w:spacing w:after="70" w:line="272"/>
      </w:pPr>
      <w:r>
        <w:t xml:space="preserve">Which grades inside those schools?</w:t>
      </w:r>
    </w:p>
    <w:p>
      <w:pPr>
        <w:spacing w:after="90"/>
      </w:pPr>
    </w:p>
    <w:p>
      <w:pPr>
        <w:spacing w:after="120" w:line="276"/>
      </w:pPr>
      <w:r>
        <w:rPr>
          <w:b/>
          <w:bCs/>
        </w:rPr>
        <w:t xml:space="preserve">None of these questions currently has an answer.</w:t>
      </w:r>
      <w:r>
        <w:t xml:space="preserve"> The 40% exists only as a national total. There is no province ranking, no district ranking, and no school-level figure anywhere in the public record.</w:t>
      </w:r>
    </w:p>
    <w:p>
      <w:pPr>
        <w:spacing w:after="120" w:line="276"/>
      </w:pPr>
      <w:r>
        <w:t xml:space="preserve">That is the real problem. Not that the number is unknown — it is well known — but that it cannot be pointed at anything. Nobody can deploy a teacher to a percentage. An organisation with one retention programme and funding for twelve schools cannot use a national average to choose the twelve. Learners are counted after they are gone, in aggregate, once a year.</w:t>
      </w:r>
    </w:p>
    <w:p>
      <w:pPr>
        <w:spacing w:after="120" w:line="276"/>
      </w:pPr>
      <w:r>
        <w:t xml:space="preserve">Every year that list does not exist, help goes somewhere — just not necessarily where the loss is worst.</w:t>
      </w:r>
    </w:p>
    <w:p>
      <w:pPr>
        <w:pStyle w:val="Heading1"/>
        <w:spacing w:after="150" w:before="340"/>
      </w:pPr>
      <w:r>
        <w:t xml:space="preserve">The Solution</w:t>
      </w:r>
    </w:p>
    <w:p>
      <w:pPr>
        <w:spacing w:after="120" w:line="276"/>
      </w:pPr>
      <w:r>
        <w:rPr>
          <w:b/>
          <w:bCs/>
        </w:rPr>
        <w:t xml:space="preserve">We build the missing list.</w:t>
      </w:r>
    </w:p>
    <w:p>
      <w:pPr>
        <w:spacing w:after="120" w:line="276"/>
      </w:pPr>
      <w:r>
        <w:t xml:space="preserve">Using 19 years of open government data covering every school in all nine provinces, we score each secondary school on its risk of losing learners before matric, then rank them worst first, with the reasons attached.</w:t>
      </w:r>
    </w:p>
    <w:p>
      <w:pPr>
        <w:spacing w:after="120" w:line="276"/>
      </w:pPr>
      <w:r>
        <w:t xml:space="preserve">That answers three of the four questions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5" w:val="clear"/>
            <w:tcMar>
              <w:top w:type="dxa" w:w="80"/>
              <w:left w:type="dxa" w:w="120"/>
              <w:bottom w:type="dxa" w:w="80"/>
              <w:right w:type="dxa" w:w="120"/>
            </w:tcMar>
          </w:tcPr>
          <w:p>
            <w:r>
              <w:rPr>
                <w:b/>
                <w:bCs/>
                <w:sz w:val="18"/>
                <w:szCs w:val="18"/>
              </w:rPr>
              <w:t xml:space="preserve">Question</w:t>
            </w:r>
          </w:p>
        </w:tc>
        <w:tc>
          <w:tcPr>
            <w:tcW w:type="dxa" w:w="7160"/>
            <w:shd w:fill="E8EEF5" w:val="clear"/>
            <w:tcMar>
              <w:top w:type="dxa" w:w="80"/>
              <w:left w:type="dxa" w:w="120"/>
              <w:bottom w:type="dxa" w:w="80"/>
              <w:right w:type="dxa" w:w="120"/>
            </w:tcMar>
          </w:tcPr>
          <w:p>
            <w:r>
              <w:rPr>
                <w:b/>
                <w:bCs/>
                <w:sz w:val="18"/>
                <w:szCs w:val="18"/>
              </w:rPr>
              <w:t xml:space="preserve">What the register delivers</w:t>
            </w:r>
          </w:p>
        </w:tc>
      </w:tr>
      <w:tr>
        <w:tc>
          <w:tcPr>
            <w:tcW w:type="dxa" w:w="2200"/>
            <w:tcMar>
              <w:top w:type="dxa" w:w="80"/>
              <w:left w:type="dxa" w:w="120"/>
              <w:bottom w:type="dxa" w:w="80"/>
              <w:right w:type="dxa" w:w="120"/>
            </w:tcMar>
          </w:tcPr>
          <w:p>
            <w:r>
              <w:rPr>
                <w:b w:val="false"/>
                <w:bCs w:val="false"/>
                <w:sz w:val="18"/>
                <w:szCs w:val="18"/>
              </w:rPr>
              <w:t xml:space="preserve">Which province?</w:t>
            </w:r>
          </w:p>
        </w:tc>
        <w:tc>
          <w:tcPr>
            <w:tcW w:type="dxa" w:w="7160"/>
            <w:tcMar>
              <w:top w:type="dxa" w:w="80"/>
              <w:left w:type="dxa" w:w="120"/>
              <w:bottom w:type="dxa" w:w="80"/>
              <w:right w:type="dxa" w:w="120"/>
            </w:tcMar>
          </w:tcPr>
          <w:p>
            <w:r>
              <w:rPr>
                <w:b w:val="false"/>
                <w:bCs w:val="false"/>
                <w:sz w:val="18"/>
                <w:szCs w:val="18"/>
              </w:rPr>
              <w:t xml:space="preserve">All 9, ranked by measured risk rather than estimate</w:t>
            </w:r>
          </w:p>
        </w:tc>
      </w:tr>
      <w:tr>
        <w:tc>
          <w:tcPr>
            <w:tcW w:type="dxa" w:w="2200"/>
            <w:tcMar>
              <w:top w:type="dxa" w:w="80"/>
              <w:left w:type="dxa" w:w="120"/>
              <w:bottom w:type="dxa" w:w="80"/>
              <w:right w:type="dxa" w:w="120"/>
            </w:tcMar>
          </w:tcPr>
          <w:p>
            <w:r>
              <w:rPr>
                <w:b w:val="false"/>
                <w:bCs w:val="false"/>
                <w:sz w:val="18"/>
                <w:szCs w:val="18"/>
              </w:rPr>
              <w:t xml:space="preserve">Which district?</w:t>
            </w:r>
          </w:p>
        </w:tc>
        <w:tc>
          <w:tcPr>
            <w:tcW w:type="dxa" w:w="7160"/>
            <w:tcMar>
              <w:top w:type="dxa" w:w="80"/>
              <w:left w:type="dxa" w:w="120"/>
              <w:bottom w:type="dxa" w:w="80"/>
              <w:right w:type="dxa" w:w="120"/>
            </w:tcMar>
          </w:tcPr>
          <w:p>
            <w:r>
              <w:rPr>
                <w:b w:val="false"/>
                <w:bCs w:val="false"/>
                <w:sz w:val="18"/>
                <w:szCs w:val="18"/>
              </w:rPr>
              <w:t xml:space="preserve">All 196, ranked within their province</w:t>
            </w:r>
          </w:p>
        </w:tc>
      </w:tr>
      <w:tr>
        <w:tc>
          <w:tcPr>
            <w:tcW w:type="dxa" w:w="2200"/>
            <w:tcMar>
              <w:top w:type="dxa" w:w="80"/>
              <w:left w:type="dxa" w:w="120"/>
              <w:bottom w:type="dxa" w:w="80"/>
              <w:right w:type="dxa" w:w="120"/>
            </w:tcMar>
          </w:tcPr>
          <w:p>
            <w:r>
              <w:rPr>
                <w:b w:val="false"/>
                <w:bCs w:val="false"/>
                <w:sz w:val="18"/>
                <w:szCs w:val="18"/>
              </w:rPr>
              <w:t xml:space="preserve">Which school?</w:t>
            </w:r>
          </w:p>
        </w:tc>
        <w:tc>
          <w:tcPr>
            <w:tcW w:type="dxa" w:w="7160"/>
            <w:tcMar>
              <w:top w:type="dxa" w:w="80"/>
              <w:left w:type="dxa" w:w="120"/>
              <w:bottom w:type="dxa" w:w="80"/>
              <w:right w:type="dxa" w:w="120"/>
            </w:tcMar>
          </w:tcPr>
          <w:p>
            <w:r>
              <w:rPr>
                <w:b w:val="false"/>
                <w:bCs w:val="false"/>
                <w:sz w:val="18"/>
                <w:szCs w:val="18"/>
              </w:rPr>
              <w:t xml:space="preserve">All 8,711 secondary schools scored and ranked individually</w:t>
            </w:r>
          </w:p>
        </w:tc>
      </w:tr>
      <w:tr>
        <w:tc>
          <w:tcPr>
            <w:tcW w:type="dxa" w:w="2200"/>
            <w:tcMar>
              <w:top w:type="dxa" w:w="80"/>
              <w:left w:type="dxa" w:w="120"/>
              <w:bottom w:type="dxa" w:w="80"/>
              <w:right w:type="dxa" w:w="120"/>
            </w:tcMar>
          </w:tcPr>
          <w:p>
            <w:r>
              <w:rPr>
                <w:b w:val="false"/>
                <w:bCs w:val="false"/>
                <w:sz w:val="18"/>
                <w:szCs w:val="18"/>
              </w:rPr>
              <w:t xml:space="preserve">Which grade?</w:t>
            </w:r>
          </w:p>
        </w:tc>
        <w:tc>
          <w:tcPr>
            <w:tcW w:type="dxa" w:w="7160"/>
            <w:tcMar>
              <w:top w:type="dxa" w:w="80"/>
              <w:left w:type="dxa" w:w="120"/>
              <w:bottom w:type="dxa" w:w="80"/>
              <w:right w:type="dxa" w:w="120"/>
            </w:tcMar>
          </w:tcPr>
          <w:p>
            <w:r>
              <w:rPr>
                <w:b w:val="false"/>
                <w:bCs w:val="false"/>
                <w:sz w:val="18"/>
                <w:szCs w:val="18"/>
              </w:rPr>
              <w:t xml:space="preserve">Not yet — requires per-grade enrolment data held under separate permission</w:t>
            </w:r>
          </w:p>
        </w:tc>
      </w:tr>
    </w:tbl>
    <w:p>
      <w:pPr>
        <w:spacing w:after="150"/>
      </w:pPr>
    </w:p>
    <w:p>
      <w:pPr>
        <w:spacing w:after="120" w:line="276"/>
      </w:pPr>
      <w:r>
        <w:t xml:space="preserve">It also adds what a ranking alone does not give you: </w:t>
      </w:r>
      <w:r>
        <w:rPr>
          <w:b/>
          <w:bCs/>
          <w:i/>
          <w:iCs/>
        </w:rPr>
        <w:t xml:space="preserve">why</w:t>
      </w:r>
      <w:r>
        <w:t xml:space="preserve">. Each score breaks into the factors that produced it — funding tier, staffing levels, enrolment trend, matric throughput. A school flagged for a funding reason needs different help from one flagged for a staffing reason. Without that, a list says where to go but not what to bring.</w:t>
      </w:r>
    </w:p>
    <w:p>
      <w:pPr>
        <w:spacing w:after="120" w:line="276"/>
      </w:pPr>
      <w:r>
        <w:rPr>
          <w:b/>
          <w:bCs/>
        </w:rPr>
        <w:t xml:space="preserve">What a user does with it. </w:t>
      </w:r>
      <w:r>
        <w:t xml:space="preserve">A planner opens the register, filters to their province, and sees the 50 schools to act on first — each with a score, a rank, and its three driving factors. That is a morning’s decision instead of a year’s guesswork.</w:t>
      </w:r>
    </w:p>
    <w:p>
      <w:pPr>
        <w:spacing w:after="120" w:line="276"/>
      </w:pPr>
      <w:r>
        <w:rPr>
          <w:b/>
          <w:bCs/>
        </w:rPr>
        <w:t xml:space="preserve">Why it can be trusted. </w:t>
      </w:r>
      <w:r>
        <w:t xml:space="preserve">The model is a scorecard, not a black box. Every score decomposes into visible, auditable weights, so whoever must justify the spend can explain the decision line by line.</w:t>
      </w:r>
    </w:p>
    <w:tbl>
      <w:tblPr>
        <w:tblW w:type="dxa" w:w="9360"/>
        <w:tblBorders>
          <w:top w:val="single" w:color="BFD4E8" w:sz="2"/>
          <w:left w:val="single" w:color="1F4E79" w:sz="18"/>
          <w:bottom w:val="single" w:color="BFD4E8" w:sz="2"/>
          <w:right w:val="single" w:color="BFD4E8" w:sz="2"/>
          <w:insideH w:val="none"/>
          <w:insideV w:val="none"/>
        </w:tblBorders>
      </w:tblPr>
      <w:tblGrid>
        <w:gridCol w:w="9360"/>
      </w:tblGrid>
      <w:tr>
        <w:tc>
          <w:tcPr>
            <w:tcW w:type="dxa" w:w="9360"/>
            <w:shd w:fill="F2F7FC" w:val="clear"/>
            <w:tcMar>
              <w:top w:type="dxa" w:w="150"/>
              <w:left w:type="dxa" w:w="210"/>
              <w:bottom w:type="dxa" w:w="150"/>
              <w:right w:type="dxa" w:w="210"/>
            </w:tcMar>
          </w:tcPr>
          <w:p>
            <w:pPr>
              <w:spacing w:after="55"/>
            </w:pPr>
            <w:r>
              <w:rPr>
                <w:b/>
                <w:bCs/>
                <w:color w:val="1F4E79"/>
                <w:sz w:val="20"/>
                <w:szCs w:val="20"/>
              </w:rPr>
              <w:t xml:space="preserve">On the fourth question, we are deliberate</w:t>
            </w:r>
          </w:p>
          <w:p>
            <w:pPr>
              <w:spacing w:line="272"/>
            </w:pPr>
            <w:r>
              <w:rPr>
                <w:sz w:val="20"/>
                <w:szCs w:val="20"/>
              </w:rPr>
              <w:t xml:space="preserve">Answering “which grade” requires per-grade enrolment counts, which sit in a dataset held under separate permission we have not been granted. We can say a school is losing its Grade 8–12 pipeline. We cannot yet say whether the loss concentrates in Grade 10 or Grade 11. That permission is a form, not a rebuild — the same pipeline answers the fourth question the moment it arrives.</w:t>
            </w:r>
          </w:p>
        </w:tc>
      </w:tr>
    </w:tbl>
    <w:p>
      <w:r>
        <w:br w:type="page"/>
      </w:r>
    </w:p>
    <w:p>
      <w:pPr>
        <w:pStyle w:val="Heading1"/>
        <w:spacing w:after="150" w:before="340"/>
      </w:pPr>
      <w:r>
        <w:t xml:space="preserve">The Data</w:t>
      </w:r>
    </w:p>
    <w:p>
      <w:pPr>
        <w:spacing w:after="120" w:line="276"/>
      </w:pPr>
      <w:r>
        <w:t xml:space="preserve">Every source is public and none required a login. School spreadsheets published per province per quarter were combined into a single table, joined on the EMIS number — the national school identifier — producing: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E8EEF5" w:val="clear"/>
            <w:tcMar>
              <w:top w:type="dxa" w:w="80"/>
              <w:left w:type="dxa" w:w="120"/>
              <w:bottom w:type="dxa" w:w="80"/>
              <w:right w:type="dxa" w:w="120"/>
            </w:tcMar>
          </w:tcPr>
          <w:p>
            <w:r>
              <w:rPr>
                <w:b/>
                <w:bCs/>
                <w:sz w:val="18"/>
                <w:szCs w:val="18"/>
              </w:rPr>
              <w:t xml:space="preserve">Measure</w:t>
            </w:r>
          </w:p>
        </w:tc>
        <w:tc>
          <w:tcPr>
            <w:tcW w:type="dxa" w:w="6260"/>
            <w:shd w:fill="E8EEF5" w:val="clear"/>
            <w:tcMar>
              <w:top w:type="dxa" w:w="80"/>
              <w:left w:type="dxa" w:w="120"/>
              <w:bottom w:type="dxa" w:w="80"/>
              <w:right w:type="dxa" w:w="120"/>
            </w:tcMar>
          </w:tcPr>
          <w:p>
            <w:r>
              <w:rPr>
                <w:b/>
                <w:bCs/>
                <w:sz w:val="18"/>
                <w:szCs w:val="18"/>
              </w:rPr>
              <w:t xml:space="preserve">Value</w:t>
            </w:r>
          </w:p>
        </w:tc>
      </w:tr>
      <w:tr>
        <w:tc>
          <w:tcPr>
            <w:tcW w:type="dxa" w:w="3100"/>
            <w:tcMar>
              <w:top w:type="dxa" w:w="80"/>
              <w:left w:type="dxa" w:w="120"/>
              <w:bottom w:type="dxa" w:w="80"/>
              <w:right w:type="dxa" w:w="120"/>
            </w:tcMar>
          </w:tcPr>
          <w:p>
            <w:r>
              <w:rPr>
                <w:b w:val="false"/>
                <w:bCs w:val="false"/>
                <w:sz w:val="18"/>
                <w:szCs w:val="18"/>
              </w:rPr>
              <w:t xml:space="preserve">School-year records</w:t>
            </w:r>
          </w:p>
        </w:tc>
        <w:tc>
          <w:tcPr>
            <w:tcW w:type="dxa" w:w="6260"/>
            <w:tcMar>
              <w:top w:type="dxa" w:w="80"/>
              <w:left w:type="dxa" w:w="120"/>
              <w:bottom w:type="dxa" w:w="80"/>
              <w:right w:type="dxa" w:w="120"/>
            </w:tcMar>
          </w:tcPr>
          <w:p>
            <w:r>
              <w:rPr>
                <w:b w:val="false"/>
                <w:bCs w:val="false"/>
                <w:sz w:val="18"/>
                <w:szCs w:val="18"/>
              </w:rPr>
              <w:t xml:space="preserve">478,761</w:t>
            </w:r>
          </w:p>
        </w:tc>
      </w:tr>
      <w:tr>
        <w:tc>
          <w:tcPr>
            <w:tcW w:type="dxa" w:w="3100"/>
            <w:tcMar>
              <w:top w:type="dxa" w:w="80"/>
              <w:left w:type="dxa" w:w="120"/>
              <w:bottom w:type="dxa" w:w="80"/>
              <w:right w:type="dxa" w:w="120"/>
            </w:tcMar>
          </w:tcPr>
          <w:p>
            <w:r>
              <w:rPr>
                <w:b w:val="false"/>
                <w:bCs w:val="false"/>
                <w:sz w:val="18"/>
                <w:szCs w:val="18"/>
              </w:rPr>
              <w:t xml:space="preserve">Years covered</w:t>
            </w:r>
          </w:p>
        </w:tc>
        <w:tc>
          <w:tcPr>
            <w:tcW w:type="dxa" w:w="6260"/>
            <w:tcMar>
              <w:top w:type="dxa" w:w="80"/>
              <w:left w:type="dxa" w:w="120"/>
              <w:bottom w:type="dxa" w:w="80"/>
              <w:right w:type="dxa" w:w="120"/>
            </w:tcMar>
          </w:tcPr>
          <w:p>
            <w:r>
              <w:rPr>
                <w:b w:val="false"/>
                <w:bCs w:val="false"/>
                <w:sz w:val="18"/>
                <w:szCs w:val="18"/>
              </w:rPr>
              <w:t xml:space="preserve">19 consecutive, 2007–2025</w:t>
            </w:r>
          </w:p>
        </w:tc>
      </w:tr>
      <w:tr>
        <w:tc>
          <w:tcPr>
            <w:tcW w:type="dxa" w:w="3100"/>
            <w:tcMar>
              <w:top w:type="dxa" w:w="80"/>
              <w:left w:type="dxa" w:w="120"/>
              <w:bottom w:type="dxa" w:w="80"/>
              <w:right w:type="dxa" w:w="120"/>
            </w:tcMar>
          </w:tcPr>
          <w:p>
            <w:r>
              <w:rPr>
                <w:b w:val="false"/>
                <w:bCs w:val="false"/>
                <w:sz w:val="18"/>
                <w:szCs w:val="18"/>
              </w:rPr>
              <w:t xml:space="preserve">Provinces</w:t>
            </w:r>
          </w:p>
        </w:tc>
        <w:tc>
          <w:tcPr>
            <w:tcW w:type="dxa" w:w="6260"/>
            <w:tcMar>
              <w:top w:type="dxa" w:w="80"/>
              <w:left w:type="dxa" w:w="120"/>
              <w:bottom w:type="dxa" w:w="80"/>
              <w:right w:type="dxa" w:w="120"/>
            </w:tcMar>
          </w:tcPr>
          <w:p>
            <w:r>
              <w:rPr>
                <w:b w:val="false"/>
                <w:bCs w:val="false"/>
                <w:sz w:val="18"/>
                <w:szCs w:val="18"/>
              </w:rPr>
              <w:t xml:space="preserve">All 9</w:t>
            </w:r>
          </w:p>
        </w:tc>
      </w:tr>
      <w:tr>
        <w:tc>
          <w:tcPr>
            <w:tcW w:type="dxa" w:w="3100"/>
            <w:tcMar>
              <w:top w:type="dxa" w:w="80"/>
              <w:left w:type="dxa" w:w="120"/>
              <w:bottom w:type="dxa" w:w="80"/>
              <w:right w:type="dxa" w:w="120"/>
            </w:tcMar>
          </w:tcPr>
          <w:p>
            <w:r>
              <w:rPr>
                <w:b w:val="false"/>
                <w:bCs w:val="false"/>
                <w:sz w:val="18"/>
                <w:szCs w:val="18"/>
              </w:rPr>
              <w:t xml:space="preserve">Schools of every type</w:t>
            </w:r>
          </w:p>
        </w:tc>
        <w:tc>
          <w:tcPr>
            <w:tcW w:type="dxa" w:w="6260"/>
            <w:tcMar>
              <w:top w:type="dxa" w:w="80"/>
              <w:left w:type="dxa" w:w="120"/>
              <w:bottom w:type="dxa" w:w="80"/>
              <w:right w:type="dxa" w:w="120"/>
            </w:tcMar>
          </w:tcPr>
          <w:p>
            <w:r>
              <w:rPr>
                <w:b w:val="false"/>
                <w:bCs w:val="false"/>
                <w:sz w:val="18"/>
                <w:szCs w:val="18"/>
              </w:rPr>
              <w:t xml:space="preserve">29,655</w:t>
            </w:r>
          </w:p>
        </w:tc>
      </w:tr>
      <w:tr>
        <w:tc>
          <w:tcPr>
            <w:tcW w:type="dxa" w:w="3100"/>
            <w:tcMar>
              <w:top w:type="dxa" w:w="80"/>
              <w:left w:type="dxa" w:w="120"/>
              <w:bottom w:type="dxa" w:w="80"/>
              <w:right w:type="dxa" w:w="120"/>
            </w:tcMar>
          </w:tcPr>
          <w:p>
            <w:r>
              <w:rPr>
                <w:b w:val="false"/>
                <w:bCs w:val="false"/>
                <w:sz w:val="18"/>
                <w:szCs w:val="18"/>
              </w:rPr>
              <w:t xml:space="preserve">Secondary and combined schools</w:t>
            </w:r>
          </w:p>
        </w:tc>
        <w:tc>
          <w:tcPr>
            <w:tcW w:type="dxa" w:w="6260"/>
            <w:tcMar>
              <w:top w:type="dxa" w:w="80"/>
              <w:left w:type="dxa" w:w="120"/>
              <w:bottom w:type="dxa" w:w="80"/>
              <w:right w:type="dxa" w:w="120"/>
            </w:tcMar>
          </w:tcPr>
          <w:p>
            <w:r>
              <w:rPr>
                <w:b w:val="false"/>
                <w:bCs w:val="false"/>
                <w:sz w:val="18"/>
                <w:szCs w:val="18"/>
              </w:rPr>
              <w:t xml:space="preserve">12,443 (the modelling population)</w:t>
            </w:r>
          </w:p>
        </w:tc>
      </w:tr>
      <w:tr>
        <w:tc>
          <w:tcPr>
            <w:tcW w:type="dxa" w:w="3100"/>
            <w:tcMar>
              <w:top w:type="dxa" w:w="80"/>
              <w:left w:type="dxa" w:w="120"/>
              <w:bottom w:type="dxa" w:w="80"/>
              <w:right w:type="dxa" w:w="120"/>
            </w:tcMar>
          </w:tcPr>
          <w:p>
            <w:r>
              <w:rPr>
                <w:b w:val="false"/>
                <w:bCs w:val="false"/>
                <w:sz w:val="18"/>
                <w:szCs w:val="18"/>
              </w:rPr>
              <w:t xml:space="preserve">Districts</w:t>
            </w:r>
          </w:p>
        </w:tc>
        <w:tc>
          <w:tcPr>
            <w:tcW w:type="dxa" w:w="6260"/>
            <w:tcMar>
              <w:top w:type="dxa" w:w="80"/>
              <w:left w:type="dxa" w:w="120"/>
              <w:bottom w:type="dxa" w:w="80"/>
              <w:right w:type="dxa" w:w="120"/>
            </w:tcMar>
          </w:tcPr>
          <w:p>
            <w:r>
              <w:rPr>
                <w:b w:val="false"/>
                <w:bCs w:val="false"/>
                <w:sz w:val="18"/>
                <w:szCs w:val="18"/>
              </w:rPr>
              <w:t xml:space="preserve">196</w:t>
            </w:r>
          </w:p>
        </w:tc>
      </w:tr>
    </w:tbl>
    <w:p>
      <w:pPr>
        <w:spacing w:after="130"/>
      </w:pPr>
    </w:p>
    <w:p>
      <w:pPr>
        <w:spacing w:after="120" w:line="276"/>
      </w:pPr>
      <w:r>
        <w:t xml:space="preserve">One row is one school in one year. The modelling population is restricted to secondary and combined schools, because a primary school has no matric cohort and so cannot contribute an observation to this question.</w:t>
      </w:r>
    </w:p>
    <w:p>
      <w:pPr>
        <w:pStyle w:val="Heading1"/>
        <w:spacing w:after="150" w:before="340"/>
      </w:pPr>
      <w:r>
        <w:t xml:space="preserve">The Variables</w:t>
      </w:r>
    </w:p>
    <w:p>
      <w:pPr>
        <w:spacing w:after="120" w:line="276"/>
      </w:pPr>
      <w:r>
        <w:t xml:space="preserve">Every column, what it means, its condition in the raw data, and how it is treated. Fill rates are measured against the 184,675 secondary and combined school-year records.</w:t>
      </w:r>
    </w:p>
    <w:p>
      <w:pPr>
        <w:pStyle w:val="Heading2"/>
        <w:spacing w:after="110" w:before="260"/>
      </w:pPr>
      <w:r>
        <w:t xml:space="preserve">Identity 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rPr>
          <w:tblHeader/>
        </w:trPr>
        <w:tc>
          <w:tcPr>
            <w:tcW w:type="dxa" w:w="1500"/>
            <w:shd w:fill="E8EEF5" w:val="clear"/>
            <w:tcMar>
              <w:top w:type="dxa" w:w="80"/>
              <w:left w:type="dxa" w:w="120"/>
              <w:bottom w:type="dxa" w:w="80"/>
              <w:right w:type="dxa" w:w="120"/>
            </w:tcMar>
          </w:tcPr>
          <w:p>
            <w:r>
              <w:rPr>
                <w:b/>
                <w:bCs/>
                <w:sz w:val="18"/>
                <w:szCs w:val="18"/>
              </w:rPr>
              <w:t xml:space="preserve">Variable</w:t>
            </w:r>
          </w:p>
        </w:tc>
        <w:tc>
          <w:tcPr>
            <w:tcW w:type="dxa" w:w="2500"/>
            <w:shd w:fill="E8EEF5" w:val="clear"/>
            <w:tcMar>
              <w:top w:type="dxa" w:w="80"/>
              <w:left w:type="dxa" w:w="120"/>
              <w:bottom w:type="dxa" w:w="80"/>
              <w:right w:type="dxa" w:w="120"/>
            </w:tcMar>
          </w:tcPr>
          <w:p>
            <w:r>
              <w:rPr>
                <w:b/>
                <w:bCs/>
                <w:sz w:val="18"/>
                <w:szCs w:val="18"/>
              </w:rPr>
              <w:t xml:space="preserve">Meaning</w:t>
            </w:r>
          </w:p>
        </w:tc>
        <w:tc>
          <w:tcPr>
            <w:tcW w:type="dxa" w:w="900"/>
            <w:shd w:fill="E8EEF5" w:val="clear"/>
            <w:tcMar>
              <w:top w:type="dxa" w:w="80"/>
              <w:left w:type="dxa" w:w="120"/>
              <w:bottom w:type="dxa" w:w="80"/>
              <w:right w:type="dxa" w:w="120"/>
            </w:tcMar>
          </w:tcPr>
          <w:p>
            <w:r>
              <w:rPr>
                <w:b/>
                <w:bCs/>
                <w:sz w:val="18"/>
                <w:szCs w:val="18"/>
              </w:rPr>
              <w:t xml:space="preserve">Filled</w:t>
            </w:r>
          </w:p>
        </w:tc>
        <w:tc>
          <w:tcPr>
            <w:tcW w:type="dxa" w:w="4460"/>
            <w:shd w:fill="E8EEF5" w:val="clear"/>
            <w:tcMar>
              <w:top w:type="dxa" w:w="80"/>
              <w:left w:type="dxa" w:w="120"/>
              <w:bottom w:type="dxa" w:w="80"/>
              <w:right w:type="dxa" w:w="120"/>
            </w:tcMar>
          </w:tcPr>
          <w:p>
            <w:r>
              <w:rPr>
                <w:b/>
                <w:bCs/>
                <w:sz w:val="18"/>
                <w:szCs w:val="18"/>
              </w:rPr>
              <w:t xml:space="preserve">Condition and treatment</w:t>
            </w:r>
          </w:p>
        </w:tc>
      </w:tr>
      <w:tr>
        <w:tc>
          <w:tcPr>
            <w:tcW w:type="dxa" w:w="1500"/>
            <w:tcMar>
              <w:top w:type="dxa" w:w="80"/>
              <w:left w:type="dxa" w:w="120"/>
              <w:bottom w:type="dxa" w:w="80"/>
              <w:right w:type="dxa" w:w="120"/>
            </w:tcMar>
          </w:tcPr>
          <w:p>
            <w:r>
              <w:rPr>
                <w:b w:val="false"/>
                <w:bCs w:val="false"/>
                <w:sz w:val="18"/>
                <w:szCs w:val="18"/>
              </w:rPr>
              <w:t xml:space="preserve">emis</w:t>
            </w:r>
          </w:p>
        </w:tc>
        <w:tc>
          <w:tcPr>
            <w:tcW w:type="dxa" w:w="2500"/>
            <w:tcMar>
              <w:top w:type="dxa" w:w="80"/>
              <w:left w:type="dxa" w:w="120"/>
              <w:bottom w:type="dxa" w:w="80"/>
              <w:right w:type="dxa" w:w="120"/>
            </w:tcMar>
          </w:tcPr>
          <w:p>
            <w:r>
              <w:rPr>
                <w:b w:val="false"/>
                <w:bCs w:val="false"/>
                <w:sz w:val="18"/>
                <w:szCs w:val="18"/>
              </w:rPr>
              <w:t xml:space="preserve">National school identifier</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The join key for every source. Published with and without a leading zero, so it is normalised to bare digits before any join.</w:t>
            </w:r>
          </w:p>
        </w:tc>
      </w:tr>
      <w:tr>
        <w:tc>
          <w:tcPr>
            <w:tcW w:type="dxa" w:w="1500"/>
            <w:tcMar>
              <w:top w:type="dxa" w:w="80"/>
              <w:left w:type="dxa" w:w="120"/>
              <w:bottom w:type="dxa" w:w="80"/>
              <w:right w:type="dxa" w:w="120"/>
            </w:tcMar>
          </w:tcPr>
          <w:p>
            <w:r>
              <w:rPr>
                <w:b w:val="false"/>
                <w:bCs w:val="false"/>
                <w:sz w:val="18"/>
                <w:szCs w:val="18"/>
              </w:rPr>
              <w:t xml:space="preserve">year</w:t>
            </w:r>
          </w:p>
        </w:tc>
        <w:tc>
          <w:tcPr>
            <w:tcW w:type="dxa" w:w="2500"/>
            <w:tcMar>
              <w:top w:type="dxa" w:w="80"/>
              <w:left w:type="dxa" w:w="120"/>
              <w:bottom w:type="dxa" w:w="80"/>
              <w:right w:type="dxa" w:w="120"/>
            </w:tcMar>
          </w:tcPr>
          <w:p>
            <w:r>
              <w:rPr>
                <w:b w:val="false"/>
                <w:bCs w:val="false"/>
                <w:sz w:val="18"/>
                <w:szCs w:val="18"/>
              </w:rPr>
              <w:t xml:space="preserve">Data year</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19 values, 2007–2025. Used for the train/test split, never as a predictor.</w:t>
            </w:r>
          </w:p>
        </w:tc>
      </w:tr>
      <w:tr>
        <w:tc>
          <w:tcPr>
            <w:tcW w:type="dxa" w:w="1500"/>
            <w:tcMar>
              <w:top w:type="dxa" w:w="80"/>
              <w:left w:type="dxa" w:w="120"/>
              <w:bottom w:type="dxa" w:w="80"/>
              <w:right w:type="dxa" w:w="120"/>
            </w:tcMar>
          </w:tcPr>
          <w:p>
            <w:r>
              <w:rPr>
                <w:b w:val="false"/>
                <w:bCs w:val="false"/>
                <w:sz w:val="18"/>
                <w:szCs w:val="18"/>
              </w:rPr>
              <w:t xml:space="preserve">school</w:t>
            </w:r>
          </w:p>
        </w:tc>
        <w:tc>
          <w:tcPr>
            <w:tcW w:type="dxa" w:w="2500"/>
            <w:tcMar>
              <w:top w:type="dxa" w:w="80"/>
              <w:left w:type="dxa" w:w="120"/>
              <w:bottom w:type="dxa" w:w="80"/>
              <w:right w:type="dxa" w:w="120"/>
            </w:tcMar>
          </w:tcPr>
          <w:p>
            <w:r>
              <w:rPr>
                <w:b w:val="false"/>
                <w:bCs w:val="false"/>
                <w:sz w:val="18"/>
                <w:szCs w:val="18"/>
              </w:rPr>
              <w:t xml:space="preserve">School name</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Not used for modelling. Kept so a ranked result is readable by a human.</w:t>
            </w:r>
          </w:p>
        </w:tc>
      </w:tr>
      <w:tr>
        <w:tc>
          <w:tcPr>
            <w:tcW w:type="dxa" w:w="1500"/>
            <w:tcMar>
              <w:top w:type="dxa" w:w="80"/>
              <w:left w:type="dxa" w:w="120"/>
              <w:bottom w:type="dxa" w:w="80"/>
              <w:right w:type="dxa" w:w="120"/>
            </w:tcMar>
          </w:tcPr>
          <w:p>
            <w:r>
              <w:rPr>
                <w:b w:val="false"/>
                <w:bCs w:val="false"/>
                <w:sz w:val="18"/>
                <w:szCs w:val="18"/>
              </w:rPr>
              <w:t xml:space="preserve">province</w:t>
            </w:r>
          </w:p>
        </w:tc>
        <w:tc>
          <w:tcPr>
            <w:tcW w:type="dxa" w:w="2500"/>
            <w:tcMar>
              <w:top w:type="dxa" w:w="80"/>
              <w:left w:type="dxa" w:w="120"/>
              <w:bottom w:type="dxa" w:w="80"/>
              <w:right w:type="dxa" w:w="120"/>
            </w:tcMar>
          </w:tcPr>
          <w:p>
            <w:r>
              <w:rPr>
                <w:b w:val="false"/>
                <w:bCs w:val="false"/>
                <w:sz w:val="18"/>
                <w:szCs w:val="18"/>
              </w:rPr>
              <w:t xml:space="preserve">Province</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Stable after normalisation. Used as a categorical predictor.</w:t>
            </w:r>
          </w:p>
        </w:tc>
      </w:tr>
      <w:tr>
        <w:tc>
          <w:tcPr>
            <w:tcW w:type="dxa" w:w="1500"/>
            <w:tcMar>
              <w:top w:type="dxa" w:w="80"/>
              <w:left w:type="dxa" w:w="120"/>
              <w:bottom w:type="dxa" w:w="80"/>
              <w:right w:type="dxa" w:w="120"/>
            </w:tcMar>
          </w:tcPr>
          <w:p>
            <w:r>
              <w:rPr>
                <w:b w:val="false"/>
                <w:bCs w:val="false"/>
                <w:sz w:val="18"/>
                <w:szCs w:val="18"/>
              </w:rPr>
              <w:t xml:space="preserve">district</w:t>
            </w:r>
          </w:p>
        </w:tc>
        <w:tc>
          <w:tcPr>
            <w:tcW w:type="dxa" w:w="2500"/>
            <w:tcMar>
              <w:top w:type="dxa" w:w="80"/>
              <w:left w:type="dxa" w:w="120"/>
              <w:bottom w:type="dxa" w:w="80"/>
              <w:right w:type="dxa" w:w="120"/>
            </w:tcMar>
          </w:tcPr>
          <w:p>
            <w:r>
              <w:rPr>
                <w:b w:val="false"/>
                <w:bCs w:val="false"/>
                <w:sz w:val="18"/>
                <w:szCs w:val="18"/>
              </w:rPr>
              <w:t xml:space="preserve">Education district</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195 values. High cardinality, so encoded by weight of evidence rather than one column per district.</w:t>
            </w:r>
          </w:p>
        </w:tc>
      </w:tr>
      <w:tr>
        <w:tc>
          <w:tcPr>
            <w:tcW w:type="dxa" w:w="1500"/>
            <w:tcMar>
              <w:top w:type="dxa" w:w="80"/>
              <w:left w:type="dxa" w:w="120"/>
              <w:bottom w:type="dxa" w:w="80"/>
              <w:right w:type="dxa" w:w="120"/>
            </w:tcMar>
          </w:tcPr>
          <w:p>
            <w:r>
              <w:rPr>
                <w:b w:val="false"/>
                <w:bCs w:val="false"/>
                <w:sz w:val="18"/>
                <w:szCs w:val="18"/>
              </w:rPr>
              <w:t xml:space="preserve">circuit</w:t>
            </w:r>
          </w:p>
        </w:tc>
        <w:tc>
          <w:tcPr>
            <w:tcW w:type="dxa" w:w="2500"/>
            <w:tcMar>
              <w:top w:type="dxa" w:w="80"/>
              <w:left w:type="dxa" w:w="120"/>
              <w:bottom w:type="dxa" w:w="80"/>
              <w:right w:type="dxa" w:w="120"/>
            </w:tcMar>
          </w:tcPr>
          <w:p>
            <w:r>
              <w:rPr>
                <w:b w:val="false"/>
                <w:bCs w:val="false"/>
                <w:sz w:val="18"/>
                <w:szCs w:val="18"/>
              </w:rPr>
              <w:t xml:space="preserve">Circuit within district</w:t>
            </w:r>
          </w:p>
        </w:tc>
        <w:tc>
          <w:tcPr>
            <w:tcW w:type="dxa" w:w="900"/>
            <w:tcMar>
              <w:top w:type="dxa" w:w="80"/>
              <w:left w:type="dxa" w:w="120"/>
              <w:bottom w:type="dxa" w:w="80"/>
              <w:right w:type="dxa" w:w="120"/>
            </w:tcMar>
          </w:tcPr>
          <w:p>
            <w:r>
              <w:rPr>
                <w:b w:val="false"/>
                <w:bCs w:val="false"/>
                <w:sz w:val="18"/>
                <w:szCs w:val="18"/>
              </w:rPr>
              <w:t xml:space="preserve">84.2%</w:t>
            </w:r>
          </w:p>
        </w:tc>
        <w:tc>
          <w:tcPr>
            <w:tcW w:type="dxa" w:w="4460"/>
            <w:tcMar>
              <w:top w:type="dxa" w:w="80"/>
              <w:left w:type="dxa" w:w="120"/>
              <w:bottom w:type="dxa" w:w="80"/>
              <w:right w:type="dxa" w:w="120"/>
            </w:tcMar>
          </w:tcPr>
          <w:p>
            <w:r>
              <w:rPr>
                <w:b w:val="false"/>
                <w:bCs w:val="false"/>
                <w:sz w:val="18"/>
                <w:szCs w:val="18"/>
              </w:rPr>
              <w:t xml:space="preserve">1,607 values and 16% missing. Too sparse to be reliable; excluded from the model.</w:t>
            </w:r>
          </w:p>
        </w:tc>
      </w:tr>
    </w:tbl>
    <w:p>
      <w:pPr>
        <w:pStyle w:val="Heading2"/>
        <w:spacing w:after="110" w:before="260"/>
      </w:pPr>
      <w: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rPr>
          <w:tblHeader/>
        </w:trPr>
        <w:tc>
          <w:tcPr>
            <w:tcW w:type="dxa" w:w="1500"/>
            <w:shd w:fill="E8EEF5" w:val="clear"/>
            <w:tcMar>
              <w:top w:type="dxa" w:w="80"/>
              <w:left w:type="dxa" w:w="120"/>
              <w:bottom w:type="dxa" w:w="80"/>
              <w:right w:type="dxa" w:w="120"/>
            </w:tcMar>
          </w:tcPr>
          <w:p>
            <w:r>
              <w:rPr>
                <w:b/>
                <w:bCs/>
                <w:sz w:val="18"/>
                <w:szCs w:val="18"/>
              </w:rPr>
              <w:t xml:space="preserve">Variable</w:t>
            </w:r>
          </w:p>
        </w:tc>
        <w:tc>
          <w:tcPr>
            <w:tcW w:type="dxa" w:w="2500"/>
            <w:shd w:fill="E8EEF5" w:val="clear"/>
            <w:tcMar>
              <w:top w:type="dxa" w:w="80"/>
              <w:left w:type="dxa" w:w="120"/>
              <w:bottom w:type="dxa" w:w="80"/>
              <w:right w:type="dxa" w:w="120"/>
            </w:tcMar>
          </w:tcPr>
          <w:p>
            <w:r>
              <w:rPr>
                <w:b/>
                <w:bCs/>
                <w:sz w:val="18"/>
                <w:szCs w:val="18"/>
              </w:rPr>
              <w:t xml:space="preserve">Meaning</w:t>
            </w:r>
          </w:p>
        </w:tc>
        <w:tc>
          <w:tcPr>
            <w:tcW w:type="dxa" w:w="900"/>
            <w:shd w:fill="E8EEF5" w:val="clear"/>
            <w:tcMar>
              <w:top w:type="dxa" w:w="80"/>
              <w:left w:type="dxa" w:w="120"/>
              <w:bottom w:type="dxa" w:w="80"/>
              <w:right w:type="dxa" w:w="120"/>
            </w:tcMar>
          </w:tcPr>
          <w:p>
            <w:r>
              <w:rPr>
                <w:b/>
                <w:bCs/>
                <w:sz w:val="18"/>
                <w:szCs w:val="18"/>
              </w:rPr>
              <w:t xml:space="preserve">Filled</w:t>
            </w:r>
          </w:p>
        </w:tc>
        <w:tc>
          <w:tcPr>
            <w:tcW w:type="dxa" w:w="4460"/>
            <w:shd w:fill="E8EEF5" w:val="clear"/>
            <w:tcMar>
              <w:top w:type="dxa" w:w="80"/>
              <w:left w:type="dxa" w:w="120"/>
              <w:bottom w:type="dxa" w:w="80"/>
              <w:right w:type="dxa" w:w="120"/>
            </w:tcMar>
          </w:tcPr>
          <w:p>
            <w:r>
              <w:rPr>
                <w:b/>
                <w:bCs/>
                <w:sz w:val="18"/>
                <w:szCs w:val="18"/>
              </w:rPr>
              <w:t xml:space="preserve">Condition and treatment</w:t>
            </w:r>
          </w:p>
        </w:tc>
      </w:tr>
      <w:tr>
        <w:tc>
          <w:tcPr>
            <w:tcW w:type="dxa" w:w="1500"/>
            <w:tcMar>
              <w:top w:type="dxa" w:w="80"/>
              <w:left w:type="dxa" w:w="120"/>
              <w:bottom w:type="dxa" w:w="80"/>
              <w:right w:type="dxa" w:w="120"/>
            </w:tcMar>
          </w:tcPr>
          <w:p>
            <w:r>
              <w:rPr>
                <w:b w:val="false"/>
                <w:bCs w:val="false"/>
                <w:sz w:val="18"/>
                <w:szCs w:val="18"/>
              </w:rPr>
              <w:t xml:space="preserve">phase</w:t>
            </w:r>
          </w:p>
        </w:tc>
        <w:tc>
          <w:tcPr>
            <w:tcW w:type="dxa" w:w="2500"/>
            <w:tcMar>
              <w:top w:type="dxa" w:w="80"/>
              <w:left w:type="dxa" w:w="120"/>
              <w:bottom w:type="dxa" w:w="80"/>
              <w:right w:type="dxa" w:w="120"/>
            </w:tcMar>
          </w:tcPr>
          <w:p>
            <w:r>
              <w:rPr>
                <w:b w:val="false"/>
                <w:bCs w:val="false"/>
                <w:sz w:val="18"/>
                <w:szCs w:val="18"/>
              </w:rPr>
              <w:t xml:space="preserve">Grade range the school covers</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Appears in 22 spellings across years. Normalised to 6 values. This is how the modelling population is identified, so it must be right.</w:t>
            </w:r>
          </w:p>
        </w:tc>
      </w:tr>
      <w:tr>
        <w:tc>
          <w:tcPr>
            <w:tcW w:type="dxa" w:w="1500"/>
            <w:tcMar>
              <w:top w:type="dxa" w:w="80"/>
              <w:left w:type="dxa" w:w="120"/>
              <w:bottom w:type="dxa" w:w="80"/>
              <w:right w:type="dxa" w:w="120"/>
            </w:tcMar>
          </w:tcPr>
          <w:p>
            <w:r>
              <w:rPr>
                <w:b w:val="false"/>
                <w:bCs w:val="false"/>
                <w:sz w:val="18"/>
                <w:szCs w:val="18"/>
              </w:rPr>
              <w:t xml:space="preserve">sector</w:t>
            </w:r>
          </w:p>
        </w:tc>
        <w:tc>
          <w:tcPr>
            <w:tcW w:type="dxa" w:w="2500"/>
            <w:tcMar>
              <w:top w:type="dxa" w:w="80"/>
              <w:left w:type="dxa" w:w="120"/>
              <w:bottom w:type="dxa" w:w="80"/>
              <w:right w:type="dxa" w:w="120"/>
            </w:tcMar>
          </w:tcPr>
          <w:p>
            <w:r>
              <w:rPr>
                <w:b w:val="false"/>
                <w:bCs w:val="false"/>
                <w:sz w:val="18"/>
                <w:szCs w:val="18"/>
              </w:rPr>
              <w:t xml:space="preserve">Public or independent</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Six raw values including one that is a school type rather than a sector. Normalised to two, plus unknown.</w:t>
            </w:r>
          </w:p>
        </w:tc>
      </w:tr>
      <w:tr>
        <w:tc>
          <w:tcPr>
            <w:tcW w:type="dxa" w:w="1500"/>
            <w:tcMar>
              <w:top w:type="dxa" w:w="80"/>
              <w:left w:type="dxa" w:w="120"/>
              <w:bottom w:type="dxa" w:w="80"/>
              <w:right w:type="dxa" w:w="120"/>
            </w:tcMar>
          </w:tcPr>
          <w:p>
            <w:r>
              <w:rPr>
                <w:b w:val="false"/>
                <w:bCs w:val="false"/>
                <w:sz w:val="18"/>
                <w:szCs w:val="18"/>
              </w:rPr>
              <w:t xml:space="preserve">type</w:t>
            </w:r>
          </w:p>
        </w:tc>
        <w:tc>
          <w:tcPr>
            <w:tcW w:type="dxa" w:w="2500"/>
            <w:tcMar>
              <w:top w:type="dxa" w:w="80"/>
              <w:left w:type="dxa" w:w="120"/>
              <w:bottom w:type="dxa" w:w="80"/>
              <w:right w:type="dxa" w:w="120"/>
            </w:tcMar>
          </w:tcPr>
          <w:p>
            <w:r>
              <w:rPr>
                <w:b w:val="false"/>
                <w:bCs w:val="false"/>
                <w:sz w:val="18"/>
                <w:szCs w:val="18"/>
              </w:rPr>
              <w:t xml:space="preserve">Institution type</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Almost entirely one value once normalised. No variance, so no predictive use.</w:t>
            </w:r>
          </w:p>
        </w:tc>
      </w:tr>
      <w:tr>
        <w:tc>
          <w:tcPr>
            <w:tcW w:type="dxa" w:w="1500"/>
            <w:tcMar>
              <w:top w:type="dxa" w:w="80"/>
              <w:left w:type="dxa" w:w="120"/>
              <w:bottom w:type="dxa" w:w="80"/>
              <w:right w:type="dxa" w:w="120"/>
            </w:tcMar>
          </w:tcPr>
          <w:p>
            <w:r>
              <w:rPr>
                <w:b w:val="false"/>
                <w:bCs w:val="false"/>
                <w:sz w:val="18"/>
                <w:szCs w:val="18"/>
              </w:rPr>
              <w:t xml:space="preserve">status</w:t>
            </w:r>
          </w:p>
        </w:tc>
        <w:tc>
          <w:tcPr>
            <w:tcW w:type="dxa" w:w="2500"/>
            <w:tcMar>
              <w:top w:type="dxa" w:w="80"/>
              <w:left w:type="dxa" w:w="120"/>
              <w:bottom w:type="dxa" w:w="80"/>
              <w:right w:type="dxa" w:w="120"/>
            </w:tcMar>
          </w:tcPr>
          <w:p>
            <w:r>
              <w:rPr>
                <w:b w:val="false"/>
                <w:bCs w:val="false"/>
                <w:sz w:val="18"/>
                <w:szCs w:val="18"/>
              </w:rPr>
              <w:t xml:space="preserve">Open, closing or closed</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Eight raw values collapsing to open and closing. Used to decide whether a school losing learners is closing rather than failing.</w:t>
            </w:r>
          </w:p>
        </w:tc>
      </w:tr>
    </w:tbl>
    <w:p>
      <w:pPr>
        <w:pStyle w:val="Heading2"/>
        <w:spacing w:after="110" w:before="260"/>
      </w:pPr>
      <w:r>
        <w:t xml:space="preserve">Funding and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rPr>
          <w:tblHeader/>
        </w:trPr>
        <w:tc>
          <w:tcPr>
            <w:tcW w:type="dxa" w:w="1500"/>
            <w:shd w:fill="E8EEF5" w:val="clear"/>
            <w:tcMar>
              <w:top w:type="dxa" w:w="80"/>
              <w:left w:type="dxa" w:w="120"/>
              <w:bottom w:type="dxa" w:w="80"/>
              <w:right w:type="dxa" w:w="120"/>
            </w:tcMar>
          </w:tcPr>
          <w:p>
            <w:r>
              <w:rPr>
                <w:b/>
                <w:bCs/>
                <w:sz w:val="18"/>
                <w:szCs w:val="18"/>
              </w:rPr>
              <w:t xml:space="preserve">Variable</w:t>
            </w:r>
          </w:p>
        </w:tc>
        <w:tc>
          <w:tcPr>
            <w:tcW w:type="dxa" w:w="2500"/>
            <w:shd w:fill="E8EEF5" w:val="clear"/>
            <w:tcMar>
              <w:top w:type="dxa" w:w="80"/>
              <w:left w:type="dxa" w:w="120"/>
              <w:bottom w:type="dxa" w:w="80"/>
              <w:right w:type="dxa" w:w="120"/>
            </w:tcMar>
          </w:tcPr>
          <w:p>
            <w:r>
              <w:rPr>
                <w:b/>
                <w:bCs/>
                <w:sz w:val="18"/>
                <w:szCs w:val="18"/>
              </w:rPr>
              <w:t xml:space="preserve">Meaning</w:t>
            </w:r>
          </w:p>
        </w:tc>
        <w:tc>
          <w:tcPr>
            <w:tcW w:type="dxa" w:w="900"/>
            <w:shd w:fill="E8EEF5" w:val="clear"/>
            <w:tcMar>
              <w:top w:type="dxa" w:w="80"/>
              <w:left w:type="dxa" w:w="120"/>
              <w:bottom w:type="dxa" w:w="80"/>
              <w:right w:type="dxa" w:w="120"/>
            </w:tcMar>
          </w:tcPr>
          <w:p>
            <w:r>
              <w:rPr>
                <w:b/>
                <w:bCs/>
                <w:sz w:val="18"/>
                <w:szCs w:val="18"/>
              </w:rPr>
              <w:t xml:space="preserve">Filled</w:t>
            </w:r>
          </w:p>
        </w:tc>
        <w:tc>
          <w:tcPr>
            <w:tcW w:type="dxa" w:w="4460"/>
            <w:shd w:fill="E8EEF5" w:val="clear"/>
            <w:tcMar>
              <w:top w:type="dxa" w:w="80"/>
              <w:left w:type="dxa" w:w="120"/>
              <w:bottom w:type="dxa" w:w="80"/>
              <w:right w:type="dxa" w:w="120"/>
            </w:tcMar>
          </w:tcPr>
          <w:p>
            <w:r>
              <w:rPr>
                <w:b/>
                <w:bCs/>
                <w:sz w:val="18"/>
                <w:szCs w:val="18"/>
              </w:rPr>
              <w:t xml:space="preserve">Condition and treatment</w:t>
            </w:r>
          </w:p>
        </w:tc>
      </w:tr>
      <w:tr>
        <w:tc>
          <w:tcPr>
            <w:tcW w:type="dxa" w:w="1500"/>
            <w:tcMar>
              <w:top w:type="dxa" w:w="80"/>
              <w:left w:type="dxa" w:w="120"/>
              <w:bottom w:type="dxa" w:w="80"/>
              <w:right w:type="dxa" w:w="120"/>
            </w:tcMar>
          </w:tcPr>
          <w:p>
            <w:r>
              <w:rPr>
                <w:b w:val="false"/>
                <w:bCs w:val="false"/>
                <w:sz w:val="18"/>
                <w:szCs w:val="18"/>
              </w:rPr>
              <w:t xml:space="preserve">quintile</w:t>
            </w:r>
          </w:p>
        </w:tc>
        <w:tc>
          <w:tcPr>
            <w:tcW w:type="dxa" w:w="2500"/>
            <w:tcMar>
              <w:top w:type="dxa" w:w="80"/>
              <w:left w:type="dxa" w:w="120"/>
              <w:bottom w:type="dxa" w:w="80"/>
              <w:right w:type="dxa" w:w="120"/>
            </w:tcMar>
          </w:tcPr>
          <w:p>
            <w:r>
              <w:rPr>
                <w:b w:val="false"/>
                <w:bCs w:val="false"/>
                <w:sz w:val="18"/>
                <w:szCs w:val="18"/>
              </w:rPr>
              <w:t xml:space="preserve">Funding band, 1 poorest to 5 wealthiest</w:t>
            </w:r>
          </w:p>
        </w:tc>
        <w:tc>
          <w:tcPr>
            <w:tcW w:type="dxa" w:w="900"/>
            <w:tcMar>
              <w:top w:type="dxa" w:w="80"/>
              <w:left w:type="dxa" w:w="120"/>
              <w:bottom w:type="dxa" w:w="80"/>
              <w:right w:type="dxa" w:w="120"/>
            </w:tcMar>
          </w:tcPr>
          <w:p>
            <w:r>
              <w:rPr>
                <w:b w:val="false"/>
                <w:bCs w:val="false"/>
                <w:sz w:val="18"/>
                <w:szCs w:val="18"/>
              </w:rPr>
              <w:t xml:space="preserve">96.2%</w:t>
            </w:r>
          </w:p>
        </w:tc>
        <w:tc>
          <w:tcPr>
            <w:tcW w:type="dxa" w:w="4460"/>
            <w:tcMar>
              <w:top w:type="dxa" w:w="80"/>
              <w:left w:type="dxa" w:w="120"/>
              <w:bottom w:type="dxa" w:w="80"/>
              <w:right w:type="dxa" w:w="120"/>
            </w:tcMar>
          </w:tcPr>
          <w:p>
            <w:r>
              <w:rPr>
                <w:b w:val="false"/>
                <w:bCs w:val="false"/>
                <w:sz w:val="18"/>
                <w:szCs w:val="18"/>
              </w:rPr>
              <w:t xml:space="preserve">15 raw values — the same band written three ways, plus placeholders. Normalised to 1–5 plus unknown. Expected to be the strongest single predictor.</w:t>
            </w:r>
          </w:p>
        </w:tc>
      </w:tr>
      <w:tr>
        <w:tc>
          <w:tcPr>
            <w:tcW w:type="dxa" w:w="1500"/>
            <w:tcMar>
              <w:top w:type="dxa" w:w="80"/>
              <w:left w:type="dxa" w:w="120"/>
              <w:bottom w:type="dxa" w:w="80"/>
              <w:right w:type="dxa" w:w="120"/>
            </w:tcMar>
          </w:tcPr>
          <w:p>
            <w:r>
              <w:rPr>
                <w:b w:val="false"/>
                <w:bCs w:val="false"/>
                <w:sz w:val="18"/>
                <w:szCs w:val="18"/>
              </w:rPr>
              <w:t xml:space="preserve">nofee</w:t>
            </w:r>
          </w:p>
        </w:tc>
        <w:tc>
          <w:tcPr>
            <w:tcW w:type="dxa" w:w="2500"/>
            <w:tcMar>
              <w:top w:type="dxa" w:w="80"/>
              <w:left w:type="dxa" w:w="120"/>
              <w:bottom w:type="dxa" w:w="80"/>
              <w:right w:type="dxa" w:w="120"/>
            </w:tcMar>
          </w:tcPr>
          <w:p>
            <w:r>
              <w:rPr>
                <w:b w:val="false"/>
                <w:bCs w:val="false"/>
                <w:sz w:val="18"/>
                <w:szCs w:val="18"/>
              </w:rPr>
              <w:t xml:space="preserve">Whether the school charges fees</w:t>
            </w:r>
          </w:p>
        </w:tc>
        <w:tc>
          <w:tcPr>
            <w:tcW w:type="dxa" w:w="900"/>
            <w:tcMar>
              <w:top w:type="dxa" w:w="80"/>
              <w:left w:type="dxa" w:w="120"/>
              <w:bottom w:type="dxa" w:w="80"/>
              <w:right w:type="dxa" w:w="120"/>
            </w:tcMar>
          </w:tcPr>
          <w:p>
            <w:r>
              <w:rPr>
                <w:b w:val="false"/>
                <w:bCs w:val="false"/>
                <w:sz w:val="18"/>
                <w:szCs w:val="18"/>
              </w:rPr>
              <w:t xml:space="preserve">89.4%</w:t>
            </w:r>
          </w:p>
        </w:tc>
        <w:tc>
          <w:tcPr>
            <w:tcW w:type="dxa" w:w="4460"/>
            <w:tcMar>
              <w:top w:type="dxa" w:w="80"/>
              <w:left w:type="dxa" w:w="120"/>
              <w:bottom w:type="dxa" w:w="80"/>
              <w:right w:type="dxa" w:w="120"/>
            </w:tcMar>
          </w:tcPr>
          <w:p>
            <w:r>
              <w:rPr>
                <w:b w:val="false"/>
                <w:bCs w:val="false"/>
                <w:sz w:val="18"/>
                <w:szCs w:val="18"/>
              </w:rPr>
              <w:t xml:space="preserve">10 raw values including a spelling error at source. Normalised to two plus unknown. Closely related to quintile, so both are checked for redundancy before use.</w:t>
            </w:r>
          </w:p>
        </w:tc>
      </w:tr>
      <w:tr>
        <w:tc>
          <w:tcPr>
            <w:tcW w:type="dxa" w:w="1500"/>
            <w:tcMar>
              <w:top w:type="dxa" w:w="80"/>
              <w:left w:type="dxa" w:w="120"/>
              <w:bottom w:type="dxa" w:w="80"/>
              <w:right w:type="dxa" w:w="120"/>
            </w:tcMar>
          </w:tcPr>
          <w:p>
            <w:r>
              <w:rPr>
                <w:b w:val="false"/>
                <w:bCs w:val="false"/>
                <w:sz w:val="18"/>
                <w:szCs w:val="18"/>
              </w:rPr>
              <w:t xml:space="preserve">urbanrural</w:t>
            </w:r>
          </w:p>
        </w:tc>
        <w:tc>
          <w:tcPr>
            <w:tcW w:type="dxa" w:w="2500"/>
            <w:tcMar>
              <w:top w:type="dxa" w:w="80"/>
              <w:left w:type="dxa" w:w="120"/>
              <w:bottom w:type="dxa" w:w="80"/>
              <w:right w:type="dxa" w:w="120"/>
            </w:tcMar>
          </w:tcPr>
          <w:p>
            <w:r>
              <w:rPr>
                <w:b w:val="false"/>
                <w:bCs w:val="false"/>
                <w:sz w:val="18"/>
                <w:szCs w:val="18"/>
              </w:rPr>
              <w:t xml:space="preserve">Settlement type</w:t>
            </w:r>
          </w:p>
        </w:tc>
        <w:tc>
          <w:tcPr>
            <w:tcW w:type="dxa" w:w="900"/>
            <w:tcMar>
              <w:top w:type="dxa" w:w="80"/>
              <w:left w:type="dxa" w:w="120"/>
              <w:bottom w:type="dxa" w:w="80"/>
              <w:right w:type="dxa" w:w="120"/>
            </w:tcMar>
          </w:tcPr>
          <w:p>
            <w:r>
              <w:rPr>
                <w:b w:val="false"/>
                <w:bCs w:val="false"/>
                <w:sz w:val="18"/>
                <w:szCs w:val="18"/>
              </w:rPr>
              <w:t xml:space="preserve">99.7%</w:t>
            </w:r>
          </w:p>
        </w:tc>
        <w:tc>
          <w:tcPr>
            <w:tcW w:type="dxa" w:w="4460"/>
            <w:tcMar>
              <w:top w:type="dxa" w:w="80"/>
              <w:left w:type="dxa" w:w="120"/>
              <w:bottom w:type="dxa" w:w="80"/>
              <w:right w:type="dxa" w:w="120"/>
            </w:tcMar>
          </w:tcPr>
          <w:p>
            <w:r>
              <w:rPr>
                <w:b w:val="false"/>
                <w:bCs w:val="false"/>
                <w:sz w:val="18"/>
                <w:szCs w:val="18"/>
              </w:rPr>
              <w:t xml:space="preserve">10 raw values. Normalised, with deep rural kept separate from rural since the source distinguishes them deliberately.</w:t>
            </w:r>
          </w:p>
        </w:tc>
      </w:tr>
      <w:tr>
        <w:tc>
          <w:tcPr>
            <w:tcW w:type="dxa" w:w="1500"/>
            <w:tcMar>
              <w:top w:type="dxa" w:w="80"/>
              <w:left w:type="dxa" w:w="120"/>
              <w:bottom w:type="dxa" w:w="80"/>
              <w:right w:type="dxa" w:w="120"/>
            </w:tcMar>
          </w:tcPr>
          <w:p>
            <w:r>
              <w:rPr>
                <w:b w:val="false"/>
                <w:bCs w:val="false"/>
                <w:sz w:val="18"/>
                <w:szCs w:val="18"/>
              </w:rPr>
              <w:t xml:space="preserve">lat, lon</w:t>
            </w:r>
          </w:p>
        </w:tc>
        <w:tc>
          <w:tcPr>
            <w:tcW w:type="dxa" w:w="2500"/>
            <w:tcMar>
              <w:top w:type="dxa" w:w="80"/>
              <w:left w:type="dxa" w:w="120"/>
              <w:bottom w:type="dxa" w:w="80"/>
              <w:right w:type="dxa" w:w="120"/>
            </w:tcMar>
          </w:tcPr>
          <w:p>
            <w:r>
              <w:rPr>
                <w:b w:val="false"/>
                <w:bCs w:val="false"/>
                <w:sz w:val="18"/>
                <w:szCs w:val="18"/>
              </w:rPr>
              <w:t xml:space="preserve">Coordinates</w:t>
            </w:r>
          </w:p>
        </w:tc>
        <w:tc>
          <w:tcPr>
            <w:tcW w:type="dxa" w:w="900"/>
            <w:tcMar>
              <w:top w:type="dxa" w:w="80"/>
              <w:left w:type="dxa" w:w="120"/>
              <w:bottom w:type="dxa" w:w="80"/>
              <w:right w:type="dxa" w:w="120"/>
            </w:tcMar>
          </w:tcPr>
          <w:p>
            <w:r>
              <w:rPr>
                <w:b w:val="false"/>
                <w:bCs w:val="false"/>
                <w:sz w:val="18"/>
                <w:szCs w:val="18"/>
              </w:rPr>
              <w:t xml:space="preserve">99.7%</w:t>
            </w:r>
          </w:p>
        </w:tc>
        <w:tc>
          <w:tcPr>
            <w:tcW w:type="dxa" w:w="4460"/>
            <w:tcMar>
              <w:top w:type="dxa" w:w="80"/>
              <w:left w:type="dxa" w:w="120"/>
              <w:bottom w:type="dxa" w:w="80"/>
              <w:right w:type="dxa" w:w="120"/>
            </w:tcMar>
          </w:tcPr>
          <w:p>
            <w:r>
              <w:rPr>
                <w:b w:val="false"/>
                <w:bCs w:val="false"/>
                <w:sz w:val="18"/>
                <w:szCs w:val="18"/>
              </w:rPr>
              <w:t xml:space="preserve">364 records sit at latitude 0, a point in the Atlantic Ocean. Those are rejected rather than mapped, since any distance measure built on them is wrong.</w:t>
            </w:r>
          </w:p>
        </w:tc>
      </w:tr>
    </w:tbl>
    <w:p>
      <w:pPr>
        <w:pStyle w:val="Heading2"/>
        <w:spacing w:after="110" w:before="260"/>
      </w:pPr>
      <w:r>
        <w:t xml:space="preserve">Size and staffing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900"/>
        <w:gridCol w:w="4460"/>
      </w:tblGrid>
      <w:tr>
        <w:trPr>
          <w:tblHeader/>
        </w:trPr>
        <w:tc>
          <w:tcPr>
            <w:tcW w:type="dxa" w:w="1500"/>
            <w:shd w:fill="E8EEF5" w:val="clear"/>
            <w:tcMar>
              <w:top w:type="dxa" w:w="80"/>
              <w:left w:type="dxa" w:w="120"/>
              <w:bottom w:type="dxa" w:w="80"/>
              <w:right w:type="dxa" w:w="120"/>
            </w:tcMar>
          </w:tcPr>
          <w:p>
            <w:r>
              <w:rPr>
                <w:b/>
                <w:bCs/>
                <w:sz w:val="18"/>
                <w:szCs w:val="18"/>
              </w:rPr>
              <w:t xml:space="preserve">Variable</w:t>
            </w:r>
          </w:p>
        </w:tc>
        <w:tc>
          <w:tcPr>
            <w:tcW w:type="dxa" w:w="2500"/>
            <w:shd w:fill="E8EEF5" w:val="clear"/>
            <w:tcMar>
              <w:top w:type="dxa" w:w="80"/>
              <w:left w:type="dxa" w:w="120"/>
              <w:bottom w:type="dxa" w:w="80"/>
              <w:right w:type="dxa" w:w="120"/>
            </w:tcMar>
          </w:tcPr>
          <w:p>
            <w:r>
              <w:rPr>
                <w:b/>
                <w:bCs/>
                <w:sz w:val="18"/>
                <w:szCs w:val="18"/>
              </w:rPr>
              <w:t xml:space="preserve">Meaning</w:t>
            </w:r>
          </w:p>
        </w:tc>
        <w:tc>
          <w:tcPr>
            <w:tcW w:type="dxa" w:w="900"/>
            <w:shd w:fill="E8EEF5" w:val="clear"/>
            <w:tcMar>
              <w:top w:type="dxa" w:w="80"/>
              <w:left w:type="dxa" w:w="120"/>
              <w:bottom w:type="dxa" w:w="80"/>
              <w:right w:type="dxa" w:w="120"/>
            </w:tcMar>
          </w:tcPr>
          <w:p>
            <w:r>
              <w:rPr>
                <w:b/>
                <w:bCs/>
                <w:sz w:val="18"/>
                <w:szCs w:val="18"/>
              </w:rPr>
              <w:t xml:space="preserve">Filled</w:t>
            </w:r>
          </w:p>
        </w:tc>
        <w:tc>
          <w:tcPr>
            <w:tcW w:type="dxa" w:w="4460"/>
            <w:shd w:fill="E8EEF5" w:val="clear"/>
            <w:tcMar>
              <w:top w:type="dxa" w:w="80"/>
              <w:left w:type="dxa" w:w="120"/>
              <w:bottom w:type="dxa" w:w="80"/>
              <w:right w:type="dxa" w:w="120"/>
            </w:tcMar>
          </w:tcPr>
          <w:p>
            <w:r>
              <w:rPr>
                <w:b/>
                <w:bCs/>
                <w:sz w:val="18"/>
                <w:szCs w:val="18"/>
              </w:rPr>
              <w:t xml:space="preserve">Condition and treatment</w:t>
            </w:r>
          </w:p>
        </w:tc>
      </w:tr>
      <w:tr>
        <w:tc>
          <w:tcPr>
            <w:tcW w:type="dxa" w:w="1500"/>
            <w:tcMar>
              <w:top w:type="dxa" w:w="80"/>
              <w:left w:type="dxa" w:w="120"/>
              <w:bottom w:type="dxa" w:w="80"/>
              <w:right w:type="dxa" w:w="120"/>
            </w:tcMar>
          </w:tcPr>
          <w:p>
            <w:r>
              <w:rPr>
                <w:b w:val="false"/>
                <w:bCs w:val="false"/>
                <w:sz w:val="18"/>
                <w:szCs w:val="18"/>
              </w:rPr>
              <w:t xml:space="preserve">learners</w:t>
            </w:r>
          </w:p>
        </w:tc>
        <w:tc>
          <w:tcPr>
            <w:tcW w:type="dxa" w:w="2500"/>
            <w:tcMar>
              <w:top w:type="dxa" w:w="80"/>
              <w:left w:type="dxa" w:w="120"/>
              <w:bottom w:type="dxa" w:w="80"/>
              <w:right w:type="dxa" w:w="120"/>
            </w:tcMar>
          </w:tcPr>
          <w:p>
            <w:r>
              <w:rPr>
                <w:b w:val="false"/>
                <w:bCs w:val="false"/>
                <w:sz w:val="18"/>
                <w:szCs w:val="18"/>
              </w:rPr>
              <w:t xml:space="preserve">Enrolment that year</w:t>
            </w:r>
          </w:p>
        </w:tc>
        <w:tc>
          <w:tcPr>
            <w:tcW w:type="dxa" w:w="900"/>
            <w:tcMar>
              <w:top w:type="dxa" w:w="80"/>
              <w:left w:type="dxa" w:w="120"/>
              <w:bottom w:type="dxa" w:w="80"/>
              <w:right w:type="dxa" w:w="120"/>
            </w:tcMar>
          </w:tcPr>
          <w:p>
            <w:r>
              <w:rPr>
                <w:b w:val="false"/>
                <w:bCs w:val="false"/>
                <w:sz w:val="18"/>
                <w:szCs w:val="18"/>
              </w:rPr>
              <w:t xml:space="preserve">100%</w:t>
            </w:r>
          </w:p>
        </w:tc>
        <w:tc>
          <w:tcPr>
            <w:tcW w:type="dxa" w:w="4460"/>
            <w:tcMar>
              <w:top w:type="dxa" w:w="80"/>
              <w:left w:type="dxa" w:w="120"/>
              <w:bottom w:type="dxa" w:w="80"/>
              <w:right w:type="dxa" w:w="120"/>
            </w:tcMar>
          </w:tcPr>
          <w:p>
            <w:r>
              <w:rPr>
                <w:b w:val="false"/>
                <w:bCs w:val="false"/>
                <w:sz w:val="18"/>
                <w:szCs w:val="18"/>
              </w:rPr>
              <w:t xml:space="preserve">The basis of school size and of every trend measure. Complete throughout.</w:t>
            </w:r>
          </w:p>
        </w:tc>
      </w:tr>
      <w:tr>
        <w:tc>
          <w:tcPr>
            <w:tcW w:type="dxa" w:w="1500"/>
            <w:tcMar>
              <w:top w:type="dxa" w:w="80"/>
              <w:left w:type="dxa" w:w="120"/>
              <w:bottom w:type="dxa" w:w="80"/>
              <w:right w:type="dxa" w:w="120"/>
            </w:tcMar>
          </w:tcPr>
          <w:p>
            <w:r>
              <w:rPr>
                <w:b w:val="false"/>
                <w:bCs w:val="false"/>
                <w:sz w:val="18"/>
                <w:szCs w:val="18"/>
              </w:rPr>
              <w:t xml:space="preserve">educators</w:t>
            </w:r>
          </w:p>
        </w:tc>
        <w:tc>
          <w:tcPr>
            <w:tcW w:type="dxa" w:w="2500"/>
            <w:tcMar>
              <w:top w:type="dxa" w:w="80"/>
              <w:left w:type="dxa" w:w="120"/>
              <w:bottom w:type="dxa" w:w="80"/>
              <w:right w:type="dxa" w:w="120"/>
            </w:tcMar>
          </w:tcPr>
          <w:p>
            <w:r>
              <w:rPr>
                <w:b w:val="false"/>
                <w:bCs w:val="false"/>
                <w:sz w:val="18"/>
                <w:szCs w:val="18"/>
              </w:rPr>
              <w:t xml:space="preserve">Teaching staff that year</w:t>
            </w:r>
          </w:p>
        </w:tc>
        <w:tc>
          <w:tcPr>
            <w:tcW w:type="dxa" w:w="900"/>
            <w:tcMar>
              <w:top w:type="dxa" w:w="80"/>
              <w:left w:type="dxa" w:w="120"/>
              <w:bottom w:type="dxa" w:w="80"/>
              <w:right w:type="dxa" w:w="120"/>
            </w:tcMar>
          </w:tcPr>
          <w:p>
            <w:r>
              <w:rPr>
                <w:b w:val="false"/>
                <w:bCs w:val="false"/>
                <w:sz w:val="18"/>
                <w:szCs w:val="18"/>
              </w:rPr>
              <w:t xml:space="preserve">93.5%</w:t>
            </w:r>
          </w:p>
        </w:tc>
        <w:tc>
          <w:tcPr>
            <w:tcW w:type="dxa" w:w="4460"/>
            <w:tcMar>
              <w:top w:type="dxa" w:w="80"/>
              <w:left w:type="dxa" w:w="120"/>
              <w:bottom w:type="dxa" w:w="80"/>
              <w:right w:type="dxa" w:w="120"/>
            </w:tcMar>
          </w:tcPr>
          <w:p>
            <w:r>
              <w:rPr>
                <w:b w:val="false"/>
                <w:bCs w:val="false"/>
                <w:sz w:val="18"/>
                <w:szCs w:val="18"/>
              </w:rPr>
              <w:t xml:space="preserve">Missing on 6.5% of records. Imputed by provincial median within the same year, since a 2009 and a 2024 school are not comparable.</w:t>
            </w:r>
          </w:p>
        </w:tc>
      </w:tr>
      <w:tr>
        <w:tc>
          <w:tcPr>
            <w:tcW w:type="dxa" w:w="1500"/>
            <w:tcMar>
              <w:top w:type="dxa" w:w="80"/>
              <w:left w:type="dxa" w:w="120"/>
              <w:bottom w:type="dxa" w:w="80"/>
              <w:right w:type="dxa" w:w="120"/>
            </w:tcMar>
          </w:tcPr>
          <w:p>
            <w:r>
              <w:rPr>
                <w:b w:val="false"/>
                <w:bCs w:val="false"/>
                <w:sz w:val="18"/>
                <w:szCs w:val="18"/>
              </w:rPr>
              <w:t xml:space="preserve">old_emis, new_emis</w:t>
            </w:r>
          </w:p>
        </w:tc>
        <w:tc>
          <w:tcPr>
            <w:tcW w:type="dxa" w:w="2500"/>
            <w:tcMar>
              <w:top w:type="dxa" w:w="80"/>
              <w:left w:type="dxa" w:w="120"/>
              <w:bottom w:type="dxa" w:w="80"/>
              <w:right w:type="dxa" w:w="120"/>
            </w:tcMar>
          </w:tcPr>
          <w:p>
            <w:r>
              <w:rPr>
                <w:b w:val="false"/>
                <w:bCs w:val="false"/>
                <w:sz w:val="18"/>
                <w:szCs w:val="18"/>
              </w:rPr>
              <w:t xml:space="preserve">Renumbering history</w:t>
            </w:r>
          </w:p>
        </w:tc>
        <w:tc>
          <w:tcPr>
            <w:tcW w:type="dxa" w:w="900"/>
            <w:tcMar>
              <w:top w:type="dxa" w:w="80"/>
              <w:left w:type="dxa" w:w="120"/>
              <w:bottom w:type="dxa" w:w="80"/>
              <w:right w:type="dxa" w:w="120"/>
            </w:tcMar>
          </w:tcPr>
          <w:p>
            <w:r>
              <w:rPr>
                <w:b w:val="false"/>
                <w:bCs w:val="false"/>
                <w:sz w:val="18"/>
                <w:szCs w:val="18"/>
              </w:rPr>
              <w:t xml:space="preserve">83%, 80%</w:t>
            </w:r>
          </w:p>
        </w:tc>
        <w:tc>
          <w:tcPr>
            <w:tcW w:type="dxa" w:w="4460"/>
            <w:tcMar>
              <w:top w:type="dxa" w:w="80"/>
              <w:left w:type="dxa" w:w="120"/>
              <w:bottom w:type="dxa" w:w="80"/>
              <w:right w:type="dxa" w:w="120"/>
            </w:tcMar>
          </w:tcPr>
          <w:p>
            <w:r>
              <w:rPr>
                <w:b w:val="false"/>
                <w:bCs w:val="false"/>
                <w:sz w:val="18"/>
                <w:szCs w:val="18"/>
              </w:rPr>
              <w:t xml:space="preserve">Used to detect mergers and renumbering. A merged school loses learners for reasons unrelated to dropout, and would otherwise look like severe attrition.</w:t>
            </w:r>
          </w:p>
        </w:tc>
      </w:tr>
    </w:tbl>
    <w:p>
      <w:r>
        <w:br w:type="page"/>
      </w:r>
    </w:p>
    <w:p>
      <w:pPr>
        <w:pStyle w:val="Heading1"/>
        <w:spacing w:after="150" w:before="340"/>
      </w:pPr>
      <w:r>
        <w:t xml:space="preserve">Derived Variables</w:t>
      </w:r>
    </w:p>
    <w:p>
      <w:pPr>
        <w:spacing w:after="120" w:line="276"/>
      </w:pPr>
      <w:r>
        <w:t xml:space="preserve">The raw columns describe a school at a point in time. Risk is about direction and context, so the following are constructed: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E8EEF5" w:val="clear"/>
            <w:tcMar>
              <w:top w:type="dxa" w:w="80"/>
              <w:left w:type="dxa" w:w="120"/>
              <w:bottom w:type="dxa" w:w="80"/>
              <w:right w:type="dxa" w:w="120"/>
            </w:tcMar>
          </w:tcPr>
          <w:p>
            <w:r>
              <w:rPr>
                <w:b/>
                <w:bCs/>
                <w:sz w:val="18"/>
                <w:szCs w:val="18"/>
              </w:rPr>
              <w:t xml:space="preserve">Derived variable</w:t>
            </w:r>
          </w:p>
        </w:tc>
        <w:tc>
          <w:tcPr>
            <w:tcW w:type="dxa" w:w="6860"/>
            <w:shd w:fill="E8EEF5" w:val="clear"/>
            <w:tcMar>
              <w:top w:type="dxa" w:w="80"/>
              <w:left w:type="dxa" w:w="120"/>
              <w:bottom w:type="dxa" w:w="80"/>
              <w:right w:type="dxa" w:w="120"/>
            </w:tcMar>
          </w:tcPr>
          <w:p>
            <w:r>
              <w:rPr>
                <w:b/>
                <w:bCs/>
                <w:sz w:val="18"/>
                <w:szCs w:val="18"/>
              </w:rPr>
              <w:t xml:space="preserve">What it captures and why</w:t>
            </w:r>
          </w:p>
        </w:tc>
      </w:tr>
      <w:tr>
        <w:tc>
          <w:tcPr>
            <w:tcW w:type="dxa" w:w="2500"/>
            <w:tcMar>
              <w:top w:type="dxa" w:w="80"/>
              <w:left w:type="dxa" w:w="120"/>
              <w:bottom w:type="dxa" w:w="80"/>
              <w:right w:type="dxa" w:w="120"/>
            </w:tcMar>
          </w:tcPr>
          <w:p>
            <w:r>
              <w:rPr>
                <w:b w:val="false"/>
                <w:bCs w:val="false"/>
                <w:sz w:val="18"/>
                <w:szCs w:val="18"/>
              </w:rPr>
              <w:t xml:space="preserve">learner:educator ratio</w:t>
            </w:r>
          </w:p>
        </w:tc>
        <w:tc>
          <w:tcPr>
            <w:tcW w:type="dxa" w:w="6860"/>
            <w:tcMar>
              <w:top w:type="dxa" w:w="80"/>
              <w:left w:type="dxa" w:w="120"/>
              <w:bottom w:type="dxa" w:w="80"/>
              <w:right w:type="dxa" w:w="120"/>
            </w:tcMar>
          </w:tcPr>
          <w:p>
            <w:r>
              <w:rPr>
                <w:b w:val="false"/>
                <w:bCs w:val="false"/>
                <w:sz w:val="18"/>
                <w:szCs w:val="18"/>
              </w:rPr>
              <w:t xml:space="preserve">Crowding. Built as a ratio because learner and educator counts correlate at 0.89 — including both would destabilise the model and make individual scores unexplainable.</w:t>
            </w:r>
          </w:p>
        </w:tc>
      </w:tr>
      <w:tr>
        <w:tc>
          <w:tcPr>
            <w:tcW w:type="dxa" w:w="2500"/>
            <w:tcMar>
              <w:top w:type="dxa" w:w="80"/>
              <w:left w:type="dxa" w:w="120"/>
              <w:bottom w:type="dxa" w:w="80"/>
              <w:right w:type="dxa" w:w="120"/>
            </w:tcMar>
          </w:tcPr>
          <w:p>
            <w:r>
              <w:rPr>
                <w:b w:val="false"/>
                <w:bCs w:val="false"/>
                <w:sz w:val="18"/>
                <w:szCs w:val="18"/>
              </w:rPr>
              <w:t xml:space="preserve">enrolment trend</w:t>
            </w:r>
          </w:p>
        </w:tc>
        <w:tc>
          <w:tcPr>
            <w:tcW w:type="dxa" w:w="6860"/>
            <w:tcMar>
              <w:top w:type="dxa" w:w="80"/>
              <w:left w:type="dxa" w:w="120"/>
              <w:bottom w:type="dxa" w:w="80"/>
              <w:right w:type="dxa" w:w="120"/>
            </w:tcMar>
          </w:tcPr>
          <w:p>
            <w:r>
              <w:rPr>
                <w:b w:val="false"/>
                <w:bCs w:val="false"/>
                <w:sz w:val="18"/>
                <w:szCs w:val="18"/>
              </w:rPr>
              <w:t xml:space="preserve">Percentage change over one, three and five years. A school shrinking steadily is the clearest available signal of a pipeline losing learners.</w:t>
            </w:r>
          </w:p>
        </w:tc>
      </w:tr>
      <w:tr>
        <w:tc>
          <w:tcPr>
            <w:tcW w:type="dxa" w:w="2500"/>
            <w:tcMar>
              <w:top w:type="dxa" w:w="80"/>
              <w:left w:type="dxa" w:w="120"/>
              <w:bottom w:type="dxa" w:w="80"/>
              <w:right w:type="dxa" w:w="120"/>
            </w:tcMar>
          </w:tcPr>
          <w:p>
            <w:r>
              <w:rPr>
                <w:b w:val="false"/>
                <w:bCs w:val="false"/>
                <w:sz w:val="18"/>
                <w:szCs w:val="18"/>
              </w:rPr>
              <w:t xml:space="preserve">enrolment volatility</w:t>
            </w:r>
          </w:p>
        </w:tc>
        <w:tc>
          <w:tcPr>
            <w:tcW w:type="dxa" w:w="6860"/>
            <w:tcMar>
              <w:top w:type="dxa" w:w="80"/>
              <w:left w:type="dxa" w:w="120"/>
              <w:bottom w:type="dxa" w:w="80"/>
              <w:right w:type="dxa" w:w="120"/>
            </w:tcMar>
          </w:tcPr>
          <w:p>
            <w:r>
              <w:rPr>
                <w:b w:val="false"/>
                <w:bCs w:val="false"/>
                <w:sz w:val="18"/>
                <w:szCs w:val="18"/>
              </w:rPr>
              <w:t xml:space="preserve">Variation in enrolment over time. Instability is a warning independent of direction.</w:t>
            </w:r>
          </w:p>
        </w:tc>
      </w:tr>
      <w:tr>
        <w:tc>
          <w:tcPr>
            <w:tcW w:type="dxa" w:w="2500"/>
            <w:tcMar>
              <w:top w:type="dxa" w:w="80"/>
              <w:left w:type="dxa" w:w="120"/>
              <w:bottom w:type="dxa" w:w="80"/>
              <w:right w:type="dxa" w:w="120"/>
            </w:tcMar>
          </w:tcPr>
          <w:p>
            <w:r>
              <w:rPr>
                <w:b w:val="false"/>
                <w:bCs w:val="false"/>
                <w:sz w:val="18"/>
                <w:szCs w:val="18"/>
              </w:rPr>
              <w:t xml:space="preserve">size relative to district</w:t>
            </w:r>
          </w:p>
        </w:tc>
        <w:tc>
          <w:tcPr>
            <w:tcW w:type="dxa" w:w="6860"/>
            <w:tcMar>
              <w:top w:type="dxa" w:w="80"/>
              <w:left w:type="dxa" w:w="120"/>
              <w:bottom w:type="dxa" w:w="80"/>
              <w:right w:type="dxa" w:w="120"/>
            </w:tcMar>
          </w:tcPr>
          <w:p>
            <w:r>
              <w:rPr>
                <w:b w:val="false"/>
                <w:bCs w:val="false"/>
                <w:sz w:val="18"/>
                <w:szCs w:val="18"/>
              </w:rPr>
              <w:t xml:space="preserve">School size against the median for its district. 200 learners means different things in a metro and a rural district.</w:t>
            </w:r>
          </w:p>
        </w:tc>
      </w:tr>
      <w:tr>
        <w:tc>
          <w:tcPr>
            <w:tcW w:type="dxa" w:w="2500"/>
            <w:tcMar>
              <w:top w:type="dxa" w:w="80"/>
              <w:left w:type="dxa" w:w="120"/>
              <w:bottom w:type="dxa" w:w="80"/>
              <w:right w:type="dxa" w:w="120"/>
            </w:tcMar>
          </w:tcPr>
          <w:p>
            <w:r>
              <w:rPr>
                <w:b w:val="false"/>
                <w:bCs w:val="false"/>
                <w:sz w:val="18"/>
                <w:szCs w:val="18"/>
              </w:rPr>
              <w:t xml:space="preserve">school age proxy</w:t>
            </w:r>
          </w:p>
        </w:tc>
        <w:tc>
          <w:tcPr>
            <w:tcW w:type="dxa" w:w="6860"/>
            <w:tcMar>
              <w:top w:type="dxa" w:w="80"/>
              <w:left w:type="dxa" w:w="120"/>
              <w:bottom w:type="dxa" w:w="80"/>
              <w:right w:type="dxa" w:w="120"/>
            </w:tcMar>
          </w:tcPr>
          <w:p>
            <w:r>
              <w:rPr>
                <w:b w:val="false"/>
                <w:bCs w:val="false"/>
                <w:sz w:val="18"/>
                <w:szCs w:val="18"/>
              </w:rPr>
              <w:t xml:space="preserve">Years since the school first appears. New schools have unstable early figures.</w:t>
            </w:r>
          </w:p>
        </w:tc>
      </w:tr>
      <w:tr>
        <w:tc>
          <w:tcPr>
            <w:tcW w:type="dxa" w:w="2500"/>
            <w:tcMar>
              <w:top w:type="dxa" w:w="80"/>
              <w:left w:type="dxa" w:w="120"/>
              <w:bottom w:type="dxa" w:w="80"/>
              <w:right w:type="dxa" w:w="120"/>
            </w:tcMar>
          </w:tcPr>
          <w:p>
            <w:r>
              <w:rPr>
                <w:b w:val="false"/>
                <w:bCs w:val="false"/>
                <w:sz w:val="18"/>
                <w:szCs w:val="18"/>
              </w:rPr>
              <w:t xml:space="preserve">renumber flag</w:t>
            </w:r>
          </w:p>
        </w:tc>
        <w:tc>
          <w:tcPr>
            <w:tcW w:type="dxa" w:w="6860"/>
            <w:tcMar>
              <w:top w:type="dxa" w:w="80"/>
              <w:left w:type="dxa" w:w="120"/>
              <w:bottom w:type="dxa" w:w="80"/>
              <w:right w:type="dxa" w:w="120"/>
            </w:tcMar>
          </w:tcPr>
          <w:p>
            <w:r>
              <w:rPr>
                <w:b w:val="false"/>
                <w:bCs w:val="false"/>
                <w:sz w:val="18"/>
                <w:szCs w:val="18"/>
              </w:rPr>
              <w:t xml:space="preserve">Whether the identifier changed. Separates administrative change from real attrition.</w:t>
            </w:r>
          </w:p>
        </w:tc>
      </w:tr>
      <w:tr>
        <w:tc>
          <w:tcPr>
            <w:tcW w:type="dxa" w:w="2500"/>
            <w:tcMar>
              <w:top w:type="dxa" w:w="80"/>
              <w:left w:type="dxa" w:w="120"/>
              <w:bottom w:type="dxa" w:w="80"/>
              <w:right w:type="dxa" w:w="120"/>
            </w:tcMar>
          </w:tcPr>
          <w:p>
            <w:r>
              <w:rPr>
                <w:b w:val="false"/>
                <w:bCs w:val="false"/>
                <w:sz w:val="18"/>
                <w:szCs w:val="18"/>
              </w:rPr>
              <w:t xml:space="preserve">distance to urban centre</w:t>
            </w:r>
          </w:p>
        </w:tc>
        <w:tc>
          <w:tcPr>
            <w:tcW w:type="dxa" w:w="6860"/>
            <w:tcMar>
              <w:top w:type="dxa" w:w="80"/>
              <w:left w:type="dxa" w:w="120"/>
              <w:bottom w:type="dxa" w:w="80"/>
              <w:right w:type="dxa" w:w="120"/>
            </w:tcMar>
          </w:tcPr>
          <w:p>
            <w:r>
              <w:rPr>
                <w:b w:val="false"/>
                <w:bCs w:val="false"/>
                <w:sz w:val="18"/>
                <w:szCs w:val="18"/>
              </w:rPr>
              <w:t xml:space="preserve">Derived from coordinates. A measured proxy for isolation rather than a category.</w:t>
            </w:r>
          </w:p>
        </w:tc>
      </w:tr>
      <w:tr>
        <w:tc>
          <w:tcPr>
            <w:tcW w:type="dxa" w:w="2500"/>
            <w:tcMar>
              <w:top w:type="dxa" w:w="80"/>
              <w:left w:type="dxa" w:w="120"/>
              <w:bottom w:type="dxa" w:w="80"/>
              <w:right w:type="dxa" w:w="120"/>
            </w:tcMar>
          </w:tcPr>
          <w:p>
            <w:r>
              <w:rPr>
                <w:b w:val="false"/>
                <w:bCs w:val="false"/>
                <w:sz w:val="18"/>
                <w:szCs w:val="18"/>
              </w:rPr>
              <w:t xml:space="preserve">matric throughput</w:t>
            </w:r>
          </w:p>
        </w:tc>
        <w:tc>
          <w:tcPr>
            <w:tcW w:type="dxa" w:w="6860"/>
            <w:tcMar>
              <w:top w:type="dxa" w:w="80"/>
              <w:left w:type="dxa" w:w="120"/>
              <w:bottom w:type="dxa" w:w="80"/>
              <w:right w:type="dxa" w:w="120"/>
            </w:tcMar>
          </w:tcPr>
          <w:p>
            <w:r>
              <w:rPr>
                <w:b w:val="false"/>
                <w:bCs w:val="false"/>
                <w:sz w:val="18"/>
                <w:szCs w:val="18"/>
              </w:rPr>
              <w:t xml:space="preserve">Matric candidates against enrolment two years earlier. The closest available measure of how much of a pipeline survives.</w:t>
            </w:r>
          </w:p>
        </w:tc>
      </w:tr>
      <w:tr>
        <w:tc>
          <w:tcPr>
            <w:tcW w:type="dxa" w:w="2500"/>
            <w:tcMar>
              <w:top w:type="dxa" w:w="80"/>
              <w:left w:type="dxa" w:w="120"/>
              <w:bottom w:type="dxa" w:w="80"/>
              <w:right w:type="dxa" w:w="120"/>
            </w:tcMar>
          </w:tcPr>
          <w:p>
            <w:r>
              <w:rPr>
                <w:b w:val="false"/>
                <w:bCs w:val="false"/>
                <w:sz w:val="18"/>
                <w:szCs w:val="18"/>
              </w:rPr>
              <w:t xml:space="preserve">progressed share</w:t>
            </w:r>
          </w:p>
        </w:tc>
        <w:tc>
          <w:tcPr>
            <w:tcW w:type="dxa" w:w="6860"/>
            <w:tcMar>
              <w:top w:type="dxa" w:w="80"/>
              <w:left w:type="dxa" w:w="120"/>
              <w:bottom w:type="dxa" w:w="80"/>
              <w:right w:type="dxa" w:w="120"/>
            </w:tcMar>
          </w:tcPr>
          <w:p>
            <w:r>
              <w:rPr>
                <w:b w:val="false"/>
                <w:bCs w:val="false"/>
                <w:sz w:val="18"/>
                <w:szCs w:val="18"/>
              </w:rPr>
              <w:t xml:space="preserve">Share of matric candidates advanced without meeting requirements. A direct indicator of a struggling pipeline.</w:t>
            </w:r>
          </w:p>
        </w:tc>
      </w:tr>
    </w:tbl>
    <w:p>
      <w:pPr>
        <w:pStyle w:val="Heading1"/>
        <w:spacing w:after="150" w:before="340"/>
      </w:pPr>
      <w:r>
        <w:t xml:space="preserve">Handling Missing and Categorical Data</w:t>
      </w:r>
    </w:p>
    <w:p>
      <w:pPr>
        <w:pStyle w:val="Heading2"/>
        <w:spacing w:after="110" w:before="260"/>
      </w:pPr>
      <w:r>
        <w:t xml:space="preserve">Missing data is not all the same</w:t>
      </w:r>
    </w:p>
    <w:p>
      <w:pPr>
        <w:spacing w:after="120" w:line="276"/>
      </w:pPr>
      <w:r>
        <w:t xml:space="preserve">The treatment depends entirely on whether a value is missing at random or missing for a reason. Getting this wrong erases signal rather than repairing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shd w:fill="E8EEF5" w:val="clear"/>
            <w:tcMar>
              <w:top w:type="dxa" w:w="80"/>
              <w:left w:type="dxa" w:w="120"/>
              <w:bottom w:type="dxa" w:w="80"/>
              <w:right w:type="dxa" w:w="120"/>
            </w:tcMar>
          </w:tcPr>
          <w:p>
            <w:r>
              <w:rPr>
                <w:b/>
                <w:bCs/>
                <w:sz w:val="18"/>
                <w:szCs w:val="18"/>
              </w:rPr>
              <w:t xml:space="preserve">Field</w:t>
            </w:r>
          </w:p>
        </w:tc>
        <w:tc>
          <w:tcPr>
            <w:tcW w:type="dxa" w:w="1400"/>
            <w:shd w:fill="E8EEF5" w:val="clear"/>
            <w:tcMar>
              <w:top w:type="dxa" w:w="80"/>
              <w:left w:type="dxa" w:w="120"/>
              <w:bottom w:type="dxa" w:w="80"/>
              <w:right w:type="dxa" w:w="120"/>
            </w:tcMar>
          </w:tcPr>
          <w:p>
            <w:r>
              <w:rPr>
                <w:b/>
                <w:bCs/>
                <w:sz w:val="18"/>
                <w:szCs w:val="18"/>
              </w:rPr>
              <w:t xml:space="preserve">Treatment</w:t>
            </w:r>
          </w:p>
        </w:tc>
        <w:tc>
          <w:tcPr>
            <w:tcW w:type="dxa" w:w="5960"/>
            <w:shd w:fill="E8EEF5" w:val="clear"/>
            <w:tcMar>
              <w:top w:type="dxa" w:w="80"/>
              <w:left w:type="dxa" w:w="120"/>
              <w:bottom w:type="dxa" w:w="80"/>
              <w:right w:type="dxa" w:w="120"/>
            </w:tcMar>
          </w:tcPr>
          <w:p>
            <w:r>
              <w:rPr>
                <w:b/>
                <w:bCs/>
                <w:sz w:val="18"/>
                <w:szCs w:val="18"/>
              </w:rPr>
              <w:t xml:space="preserve">Reasoning</w:t>
            </w:r>
          </w:p>
        </w:tc>
      </w:tr>
      <w:tr>
        <w:tc>
          <w:tcPr>
            <w:tcW w:type="dxa" w:w="2000"/>
            <w:tcMar>
              <w:top w:type="dxa" w:w="80"/>
              <w:left w:type="dxa" w:w="120"/>
              <w:bottom w:type="dxa" w:w="80"/>
              <w:right w:type="dxa" w:w="120"/>
            </w:tcMar>
          </w:tcPr>
          <w:p>
            <w:r>
              <w:rPr>
                <w:b w:val="false"/>
                <w:bCs w:val="false"/>
                <w:sz w:val="18"/>
                <w:szCs w:val="18"/>
              </w:rPr>
              <w:t xml:space="preserve">educators</w:t>
            </w:r>
          </w:p>
        </w:tc>
        <w:tc>
          <w:tcPr>
            <w:tcW w:type="dxa" w:w="1400"/>
            <w:tcMar>
              <w:top w:type="dxa" w:w="80"/>
              <w:left w:type="dxa" w:w="120"/>
              <w:bottom w:type="dxa" w:w="80"/>
              <w:right w:type="dxa" w:w="120"/>
            </w:tcMar>
          </w:tcPr>
          <w:p>
            <w:r>
              <w:rPr>
                <w:b w:val="false"/>
                <w:bCs w:val="false"/>
                <w:sz w:val="18"/>
                <w:szCs w:val="18"/>
              </w:rPr>
              <w:t xml:space="preserve">Impute</w:t>
            </w:r>
          </w:p>
        </w:tc>
        <w:tc>
          <w:tcPr>
            <w:tcW w:type="dxa" w:w="5960"/>
            <w:tcMar>
              <w:top w:type="dxa" w:w="80"/>
              <w:left w:type="dxa" w:w="120"/>
              <w:bottom w:type="dxa" w:w="80"/>
              <w:right w:type="dxa" w:w="120"/>
            </w:tcMar>
          </w:tcPr>
          <w:p>
            <w:r>
              <w:rPr>
                <w:b w:val="false"/>
                <w:bCs w:val="false"/>
                <w:sz w:val="18"/>
                <w:szCs w:val="18"/>
              </w:rPr>
              <w:t xml:space="preserve">Median within province and year. The gap looks administrative, and the median resists the heavy skew in school sizes.</w:t>
            </w:r>
          </w:p>
        </w:tc>
      </w:tr>
      <w:tr>
        <w:tc>
          <w:tcPr>
            <w:tcW w:type="dxa" w:w="2000"/>
            <w:tcMar>
              <w:top w:type="dxa" w:w="80"/>
              <w:left w:type="dxa" w:w="120"/>
              <w:bottom w:type="dxa" w:w="80"/>
              <w:right w:type="dxa" w:w="120"/>
            </w:tcMar>
          </w:tcPr>
          <w:p>
            <w:r>
              <w:rPr>
                <w:b w:val="false"/>
                <w:bCs w:val="false"/>
                <w:sz w:val="18"/>
                <w:szCs w:val="18"/>
              </w:rPr>
              <w:t xml:space="preserve">quintile</w:t>
            </w:r>
          </w:p>
        </w:tc>
        <w:tc>
          <w:tcPr>
            <w:tcW w:type="dxa" w:w="1400"/>
            <w:tcMar>
              <w:top w:type="dxa" w:w="80"/>
              <w:left w:type="dxa" w:w="120"/>
              <w:bottom w:type="dxa" w:w="80"/>
              <w:right w:type="dxa" w:w="120"/>
            </w:tcMar>
          </w:tcPr>
          <w:p>
            <w:r>
              <w:rPr>
                <w:b w:val="false"/>
                <w:bCs w:val="false"/>
                <w:sz w:val="18"/>
                <w:szCs w:val="18"/>
              </w:rPr>
              <w:t xml:space="preserve">Keep as its own level</w:t>
            </w:r>
          </w:p>
        </w:tc>
        <w:tc>
          <w:tcPr>
            <w:tcW w:type="dxa" w:w="5960"/>
            <w:tcMar>
              <w:top w:type="dxa" w:w="80"/>
              <w:left w:type="dxa" w:w="120"/>
              <w:bottom w:type="dxa" w:w="80"/>
              <w:right w:type="dxa" w:w="120"/>
            </w:tcMar>
          </w:tcPr>
          <w:p>
            <w:r>
              <w:rPr>
                <w:b w:val="false"/>
                <w:bCs w:val="false"/>
                <w:sz w:val="18"/>
                <w:szCs w:val="18"/>
              </w:rPr>
              <w:t xml:space="preserve">Measured, not assumed: schools with unknown quintile have a median of 296 learners against 394–924 for known bands. They are systematically smaller, so the absence is itself informative. Imputing would erase a real category.</w:t>
            </w:r>
          </w:p>
        </w:tc>
      </w:tr>
      <w:tr>
        <w:tc>
          <w:tcPr>
            <w:tcW w:type="dxa" w:w="2000"/>
            <w:tcMar>
              <w:top w:type="dxa" w:w="80"/>
              <w:left w:type="dxa" w:w="120"/>
              <w:bottom w:type="dxa" w:w="80"/>
              <w:right w:type="dxa" w:w="120"/>
            </w:tcMar>
          </w:tcPr>
          <w:p>
            <w:r>
              <w:rPr>
                <w:b w:val="false"/>
                <w:bCs w:val="false"/>
                <w:sz w:val="18"/>
                <w:szCs w:val="18"/>
              </w:rPr>
              <w:t xml:space="preserve">coordinates</w:t>
            </w:r>
          </w:p>
        </w:tc>
        <w:tc>
          <w:tcPr>
            <w:tcW w:type="dxa" w:w="1400"/>
            <w:tcMar>
              <w:top w:type="dxa" w:w="80"/>
              <w:left w:type="dxa" w:w="120"/>
              <w:bottom w:type="dxa" w:w="80"/>
              <w:right w:type="dxa" w:w="120"/>
            </w:tcMar>
          </w:tcPr>
          <w:p>
            <w:r>
              <w:rPr>
                <w:b w:val="false"/>
                <w:bCs w:val="false"/>
                <w:sz w:val="18"/>
                <w:szCs w:val="18"/>
              </w:rPr>
              <w:t xml:space="preserve">Reject the value</w:t>
            </w:r>
          </w:p>
        </w:tc>
        <w:tc>
          <w:tcPr>
            <w:tcW w:type="dxa" w:w="5960"/>
            <w:tcMar>
              <w:top w:type="dxa" w:w="80"/>
              <w:left w:type="dxa" w:w="120"/>
              <w:bottom w:type="dxa" w:w="80"/>
              <w:right w:type="dxa" w:w="120"/>
            </w:tcMar>
          </w:tcPr>
          <w:p>
            <w:r>
              <w:rPr>
                <w:b w:val="false"/>
                <w:bCs w:val="false"/>
                <w:sz w:val="18"/>
                <w:szCs w:val="18"/>
              </w:rPr>
              <w:t xml:space="preserve">A location cannot be invented. Distance features are simply unavailable for those records.</w:t>
            </w:r>
          </w:p>
        </w:tc>
      </w:tr>
      <w:tr>
        <w:tc>
          <w:tcPr>
            <w:tcW w:type="dxa" w:w="2000"/>
            <w:tcMar>
              <w:top w:type="dxa" w:w="80"/>
              <w:left w:type="dxa" w:w="120"/>
              <w:bottom w:type="dxa" w:w="80"/>
              <w:right w:type="dxa" w:w="120"/>
            </w:tcMar>
          </w:tcPr>
          <w:p>
            <w:r>
              <w:rPr>
                <w:b w:val="false"/>
                <w:bCs w:val="false"/>
                <w:sz w:val="18"/>
                <w:szCs w:val="18"/>
              </w:rPr>
              <w:t xml:space="preserve">target</w:t>
            </w:r>
          </w:p>
        </w:tc>
        <w:tc>
          <w:tcPr>
            <w:tcW w:type="dxa" w:w="1400"/>
            <w:tcMar>
              <w:top w:type="dxa" w:w="80"/>
              <w:left w:type="dxa" w:w="120"/>
              <w:bottom w:type="dxa" w:w="80"/>
              <w:right w:type="dxa" w:w="120"/>
            </w:tcMar>
          </w:tcPr>
          <w:p>
            <w:r>
              <w:rPr>
                <w:b w:val="false"/>
                <w:bCs w:val="false"/>
                <w:sz w:val="18"/>
                <w:szCs w:val="18"/>
              </w:rPr>
              <w:t xml:space="preserve">Never impute</w:t>
            </w:r>
          </w:p>
        </w:tc>
        <w:tc>
          <w:tcPr>
            <w:tcW w:type="dxa" w:w="5960"/>
            <w:tcMar>
              <w:top w:type="dxa" w:w="80"/>
              <w:left w:type="dxa" w:w="120"/>
              <w:bottom w:type="dxa" w:w="80"/>
              <w:right w:type="dxa" w:w="120"/>
            </w:tcMar>
          </w:tcPr>
          <w:p>
            <w:r>
              <w:rPr>
                <w:b w:val="false"/>
                <w:bCs w:val="false"/>
                <w:sz w:val="18"/>
                <w:szCs w:val="18"/>
              </w:rPr>
              <w:t xml:space="preserve">Imputing an outcome is inventing the answer the model is meant to learn.</w:t>
            </w:r>
          </w:p>
        </w:tc>
      </w:tr>
    </w:tbl>
    <w:p>
      <w:pPr>
        <w:spacing w:after="130"/>
      </w:pPr>
    </w:p>
    <w:p>
      <w:pPr>
        <w:pStyle w:val="Heading2"/>
        <w:spacing w:after="110" w:before="260"/>
      </w:pPr>
      <w:r>
        <w:t xml:space="preserve">Categorical variables</w:t>
      </w:r>
    </w:p>
    <w:p>
      <w:pPr>
        <w:pStyle w:val="ListParagraph"/>
        <w:numPr>
          <w:ilvl w:val="0"/>
          <w:numId w:val="2"/>
        </w:numPr>
        <w:spacing w:after="70" w:line="272"/>
      </w:pPr>
      <w:r>
        <w:t xml:space="preserve">Low cardinality — province, quintile, urban/rural, fee status — encoded by weight of evidence, consistent with the scorecard approach.</w:t>
      </w:r>
    </w:p>
    <w:p>
      <w:pPr>
        <w:pStyle w:val="ListParagraph"/>
        <w:numPr>
          <w:ilvl w:val="0"/>
          <w:numId w:val="2"/>
        </w:numPr>
        <w:spacing w:after="70" w:line="272"/>
      </w:pPr>
      <w:r>
        <w:t xml:space="preserve">High cardinality — district, with 195 values — also weight of evidence. One column per district would produce 195 mostly empty columns.</w:t>
      </w:r>
    </w:p>
    <w:p>
      <w:pPr>
        <w:pStyle w:val="ListParagraph"/>
        <w:numPr>
          <w:ilvl w:val="0"/>
          <w:numId w:val="2"/>
        </w:numPr>
        <w:spacing w:after="70" w:line="272"/>
      </w:pPr>
      <w:r>
        <w:t xml:space="preserve">Unknown is preserved as a category everywhere. It affects roughly 40,000 records, and the evidence above shows those records differ systematically from the rest.</w:t>
      </w:r>
    </w:p>
    <w:p>
      <w:pPr>
        <w:spacing w:after="130"/>
      </w:pPr>
    </w:p>
    <w:p>
      <w:pPr>
        <w:pStyle w:val="Heading2"/>
        <w:spacing w:after="110" w:before="260"/>
      </w:pPr>
      <w:r>
        <w:t xml:space="preserve">Binning</w:t>
      </w:r>
    </w:p>
    <w:p>
      <w:pPr>
        <w:spacing w:after="120" w:line="276"/>
      </w:pPr>
      <w:r>
        <w:t xml:space="preserve">Numeric variables are cut into bins rather than used raw. Bins are merged until risk moves in one direction across them, because a scorecard where the middle band is riskier than the extremes cannot be explained to the person acting on it. Each bin holds at least 5% of the population, below which it is noise rather than signal.</w:t>
      </w:r>
    </w:p>
    <w:p>
      <w:pPr>
        <w:pStyle w:val="Heading1"/>
        <w:spacing w:after="150" w:before="340"/>
      </w:pPr>
      <w:r>
        <w:t xml:space="preserve">What We Are Honest About</w:t>
      </w:r>
    </w:p>
    <w:p>
      <w:pPr>
        <w:pStyle w:val="ListParagraph"/>
        <w:numPr>
          <w:ilvl w:val="0"/>
          <w:numId w:val="2"/>
        </w:numPr>
        <w:spacing w:after="70" w:line="272"/>
      </w:pPr>
      <w:r>
        <w:t xml:space="preserve">The register scores schools, not learners. Learner-level records are protected under POPIA and are not used.</w:t>
      </w:r>
    </w:p>
    <w:p>
      <w:pPr>
        <w:pStyle w:val="ListParagraph"/>
        <w:numPr>
          <w:ilvl w:val="0"/>
          <w:numId w:val="2"/>
        </w:numPr>
        <w:spacing w:after="70" w:line="272"/>
      </w:pPr>
      <w:r>
        <w:t xml:space="preserve">Risk is not yet split by grade. That needs data held under separate permission.</w:t>
      </w:r>
    </w:p>
    <w:p>
      <w:pPr>
        <w:pStyle w:val="ListParagraph"/>
        <w:numPr>
          <w:ilvl w:val="0"/>
          <w:numId w:val="2"/>
        </w:numPr>
        <w:spacing w:after="70" w:line="272"/>
      </w:pPr>
      <w:r>
        <w:t xml:space="preserve">Attrition is measured from enrolment and matric figures rather than by following individuals through school. It is a strong indicator, not a census.</w:t>
      </w:r>
    </w:p>
    <w:p>
      <w:pPr>
        <w:pStyle w:val="ListParagraph"/>
        <w:numPr>
          <w:ilvl w:val="0"/>
          <w:numId w:val="2"/>
        </w:numPr>
        <w:spacing w:after="70" w:line="272"/>
      </w:pPr>
      <w:r>
        <w:t xml:space="preserve">The model will be wrong sometimes. A school wrongly flagged costs support that was not strictly needed. A school wrongly missed is the real failure, and is why the model is retrained and rechecked rather than built once.</w:t>
      </w:r>
    </w:p>
    <w:p>
      <w:pPr>
        <w:pStyle w:val="ListParagraph"/>
        <w:numPr>
          <w:ilvl w:val="0"/>
          <w:numId w:val="2"/>
        </w:numPr>
        <w:spacing w:after="70" w:line="272"/>
      </w:pPr>
      <w:r>
        <w:t xml:space="preserve">That Grades 10 to 12 are the steepest stretch comes from published research rather than our own data. The register is how that claim gets checked against measured numbers.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0"/>
      <w:szCs w:val="30"/>
    </w:rPr>
  </w:style>
  <w:style w:type="paragraph" w:styleId="Heading2">
    <w:name w:val="Heading 2"/>
    <w:basedOn w:val="Normal"/>
    <w:next w:val="Normal"/>
    <w:qFormat/>
    <w:rPr>
      <w:rFonts w:ascii="Calibri" w:cs="Calibri" w:eastAsia="Calibri" w:hAnsi="Calibri"/>
      <w:b/>
      <w:bCs/>
      <w:color w:val="2E2E2E"/>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2026-09-17T14:20:17.636Z</dcterms:created>
  <dcterms:modified xsi:type="dcterms:W3CDTF">2026-09-17T14:20:17.695Z</dcterms:modified>
</cp:coreProperties>
</file>

<file path=docProps/custom.xml><?xml version="1.0" encoding="utf-8"?>
<Properties xmlns="http://schemas.openxmlformats.org/officeDocument/2006/custom-properties" xmlns:vt="http://schemas.openxmlformats.org/officeDocument/2006/docPropsVTypes"/>
</file>