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225" w:rsidRDefault="00D36CAE" w:rsidP="000512AF">
      <w:pPr>
        <w:jc w:val="both"/>
      </w:pPr>
      <w:r>
        <w:t>Il y 60 ans</w:t>
      </w:r>
      <w:r w:rsidR="001C6238">
        <w:t>, le 22 juin 1962, disparaissait le</w:t>
      </w:r>
      <w:r w:rsidR="006E060C">
        <w:t xml:space="preserve"> </w:t>
      </w:r>
      <w:hyperlink r:id="rId5" w:tooltip="Boeing 707" w:history="1">
        <w:r w:rsidR="006E060C" w:rsidRPr="006E060C">
          <w:rPr>
            <w:rStyle w:val="Lienhypertexte"/>
            <w:color w:val="auto"/>
            <w:u w:val="none"/>
          </w:rPr>
          <w:t>Boeing 707</w:t>
        </w:r>
      </w:hyperlink>
      <w:r w:rsidR="006E060C">
        <w:t>-</w:t>
      </w:r>
      <w:r w:rsidR="006E060C" w:rsidRPr="006E060C">
        <w:t>328</w:t>
      </w:r>
      <w:r w:rsidR="001C6238">
        <w:t xml:space="preserve">, dit </w:t>
      </w:r>
      <w:r w:rsidR="001C6238" w:rsidRPr="00BF30AF">
        <w:rPr>
          <w:i/>
        </w:rPr>
        <w:t>«</w:t>
      </w:r>
      <w:r w:rsidR="001C6238">
        <w:rPr>
          <w:i/>
        </w:rPr>
        <w:t xml:space="preserve"> </w:t>
      </w:r>
      <w:r w:rsidR="001C6238" w:rsidRPr="00BF30AF">
        <w:rPr>
          <w:i/>
          <w:iCs/>
        </w:rPr>
        <w:t>Chateau de Chantilly</w:t>
      </w:r>
      <w:r w:rsidR="001C6238">
        <w:rPr>
          <w:i/>
          <w:iCs/>
        </w:rPr>
        <w:t> »</w:t>
      </w:r>
      <w:r w:rsidR="001C6238">
        <w:rPr>
          <w:iCs/>
        </w:rPr>
        <w:t xml:space="preserve">, s’écrasant au morne du </w:t>
      </w:r>
      <w:r w:rsidR="00BF30AF">
        <w:t>Dos d’</w:t>
      </w:r>
      <w:r w:rsidR="00BF30AF" w:rsidRPr="00BF30AF">
        <w:t>Âne</w:t>
      </w:r>
      <w:r w:rsidR="001C6238">
        <w:t xml:space="preserve"> sur les hauteurs de la commune de </w:t>
      </w:r>
      <w:proofErr w:type="spellStart"/>
      <w:r w:rsidR="00BF30AF">
        <w:t>Deshaies</w:t>
      </w:r>
      <w:proofErr w:type="spellEnd"/>
      <w:r w:rsidR="001C6238">
        <w:t xml:space="preserve"> en Guadeloupe</w:t>
      </w:r>
      <w:r w:rsidR="000512AF">
        <w:t xml:space="preserve">. </w:t>
      </w:r>
      <w:r w:rsidR="001C6238">
        <w:t>Le vol</w:t>
      </w:r>
      <w:r w:rsidR="006E060C">
        <w:t xml:space="preserve"> qui</w:t>
      </w:r>
      <w:r w:rsidR="006071DA">
        <w:t xml:space="preserve"> devait relier Paris à Santiago du Chili</w:t>
      </w:r>
      <w:r w:rsidR="00C25775">
        <w:t xml:space="preserve"> via </w:t>
      </w:r>
      <w:r w:rsidR="00C25775" w:rsidRPr="00C25775">
        <w:t>Lisbonne (Portugal), Santa Maria (Açores), Pointe-à-Pitre (Guadeloupe), Bogota (Colombie) et Lima (Pérou)</w:t>
      </w:r>
      <w:r w:rsidR="006071DA">
        <w:t xml:space="preserve">, </w:t>
      </w:r>
      <w:r w:rsidR="006E060C">
        <w:t>était assuré par la compagnie Air France (vol Air France 117)</w:t>
      </w:r>
      <w:r w:rsidR="006071DA">
        <w:t xml:space="preserve">. </w:t>
      </w:r>
      <w:r w:rsidR="000512AF">
        <w:t xml:space="preserve">Les 103 passagers et 10 membres d’équipage périrent dans cet accident qui </w:t>
      </w:r>
      <w:r w:rsidR="006E060C">
        <w:t>demeure à ce jour le plus grave accident aérien en Guadeloupe</w:t>
      </w:r>
      <w:r w:rsidR="006071DA">
        <w:t xml:space="preserve">, </w:t>
      </w:r>
      <w:r w:rsidR="006E060C">
        <w:t>et le 11</w:t>
      </w:r>
      <w:r w:rsidR="006E060C" w:rsidRPr="006E060C">
        <w:rPr>
          <w:vertAlign w:val="superscript"/>
        </w:rPr>
        <w:t>ème</w:t>
      </w:r>
      <w:r w:rsidR="006E060C">
        <w:t xml:space="preserve"> plus grave accident impliquant un </w:t>
      </w:r>
      <w:r w:rsidR="008A2225">
        <w:t>Boeing</w:t>
      </w:r>
      <w:r w:rsidR="006E060C">
        <w:t xml:space="preserve"> 707</w:t>
      </w:r>
      <w:r w:rsidR="008A2225">
        <w:t xml:space="preserve"> (</w:t>
      </w:r>
      <w:hyperlink r:id="rId6" w:history="1">
        <w:r w:rsidR="008A2225" w:rsidRPr="00A27191">
          <w:rPr>
            <w:rStyle w:val="Lienhypertexte"/>
          </w:rPr>
          <w:t>https://aviation-safety.net/database/record.php?id=19620622-0</w:t>
        </w:r>
      </w:hyperlink>
      <w:r w:rsidR="006071DA" w:rsidRPr="006071DA">
        <w:rPr>
          <w:rStyle w:val="Lienhypertexte"/>
          <w:color w:val="auto"/>
          <w:u w:val="none"/>
        </w:rPr>
        <w:t xml:space="preserve"> consulté le 24 juin 2022</w:t>
      </w:r>
      <w:r w:rsidR="008A2225">
        <w:t>)</w:t>
      </w:r>
      <w:r w:rsidR="00C25775">
        <w:t>.</w:t>
      </w:r>
    </w:p>
    <w:p w:rsidR="005B7728" w:rsidRDefault="005B7728" w:rsidP="000512AF">
      <w:pPr>
        <w:jc w:val="both"/>
      </w:pPr>
      <w:r>
        <w:t xml:space="preserve">Cet </w:t>
      </w:r>
      <w:r w:rsidR="00EE78B2">
        <w:t>évènement</w:t>
      </w:r>
      <w:r>
        <w:t xml:space="preserve"> est pour nous l’occasion de faire un rapide détour sur deux figures marquantes de la vie politique et intellectuelle </w:t>
      </w:r>
      <w:proofErr w:type="spellStart"/>
      <w:r w:rsidR="0010349D">
        <w:t>antillo</w:t>
      </w:r>
      <w:proofErr w:type="spellEnd"/>
      <w:r w:rsidR="0010349D">
        <w:t xml:space="preserve">-guyanaise </w:t>
      </w:r>
      <w:r>
        <w:t>des années 50</w:t>
      </w:r>
      <w:r w:rsidR="000F4D86">
        <w:t xml:space="preserve"> (</w:t>
      </w:r>
      <w:r w:rsidR="0010349D">
        <w:t>malheureusement passagères de l’avion)</w:t>
      </w:r>
      <w:r>
        <w:t>, mais également sur l</w:t>
      </w:r>
      <w:r w:rsidR="00EE78B2">
        <w:t xml:space="preserve">a revendication </w:t>
      </w:r>
      <w:r w:rsidR="0010349D">
        <w:t xml:space="preserve">sociale </w:t>
      </w:r>
      <w:r>
        <w:t>aux Antilles</w:t>
      </w:r>
      <w:r w:rsidR="00EE78B2">
        <w:t xml:space="preserve"> Guyane </w:t>
      </w:r>
      <w:r>
        <w:t xml:space="preserve">au </w:t>
      </w:r>
      <w:r w:rsidR="00EE78B2">
        <w:t>lendemain</w:t>
      </w:r>
      <w:r>
        <w:t xml:space="preserve"> de la Seconde Guerre Mondiale</w:t>
      </w:r>
      <w:r w:rsidR="0010349D">
        <w:t xml:space="preserve">, </w:t>
      </w:r>
      <w:r w:rsidR="00EE78B2">
        <w:t>et les déceptions</w:t>
      </w:r>
      <w:r w:rsidR="0010349D">
        <w:t xml:space="preserve"> qui s’en sont suivies</w:t>
      </w:r>
      <w:r w:rsidR="00EE78B2">
        <w:t xml:space="preserve">. Nous terminerons notre panorama par un regard sur </w:t>
      </w:r>
      <w:r>
        <w:t xml:space="preserve">la situation </w:t>
      </w:r>
      <w:r w:rsidR="0010349D">
        <w:t xml:space="preserve">sociale </w:t>
      </w:r>
      <w:r>
        <w:t>actuelle</w:t>
      </w:r>
      <w:r w:rsidR="00EE78B2">
        <w:t xml:space="preserve"> des territoires d’Outre-mer.</w:t>
      </w:r>
    </w:p>
    <w:p w:rsidR="008A2225" w:rsidRDefault="008A2225">
      <w:pPr>
        <w:rPr>
          <w:b/>
        </w:rPr>
      </w:pPr>
      <w:r w:rsidRPr="008A2225">
        <w:rPr>
          <w:b/>
        </w:rPr>
        <w:t xml:space="preserve">1 </w:t>
      </w:r>
      <w:r w:rsidR="00F35135">
        <w:rPr>
          <w:b/>
        </w:rPr>
        <w:t>Un intérêt</w:t>
      </w:r>
      <w:r w:rsidR="003161C8">
        <w:rPr>
          <w:b/>
        </w:rPr>
        <w:t xml:space="preserve"> personnel</w:t>
      </w:r>
    </w:p>
    <w:p w:rsidR="0026080C" w:rsidRDefault="0010349D" w:rsidP="002903CE">
      <w:r>
        <w:t xml:space="preserve">Le crash du Boeing 707 </w:t>
      </w:r>
      <w:r w:rsidR="000512AF">
        <w:t>concerne tous les guadeloupéens (et nous le verrons</w:t>
      </w:r>
      <w:r w:rsidR="00DB73EF">
        <w:t xml:space="preserve"> </w:t>
      </w:r>
      <w:r w:rsidR="000512AF">
        <w:t>les guyanais)</w:t>
      </w:r>
      <w:r>
        <w:t xml:space="preserve">, </w:t>
      </w:r>
      <w:r w:rsidR="000512AF">
        <w:t>mais il</w:t>
      </w:r>
      <w:r w:rsidR="00DB73EF">
        <w:t xml:space="preserve"> présente pour moi </w:t>
      </w:r>
      <w:r w:rsidR="000512AF">
        <w:t xml:space="preserve">un double </w:t>
      </w:r>
      <w:r w:rsidR="00DB73EF">
        <w:t xml:space="preserve">intérêt : </w:t>
      </w:r>
      <w:r w:rsidR="00DC0F87" w:rsidRPr="00DC0F87">
        <w:t xml:space="preserve">d’une </w:t>
      </w:r>
      <w:r w:rsidR="00DC0F87">
        <w:t>part le lieu du crash se situe à quelques mètres de chez moi</w:t>
      </w:r>
      <w:r w:rsidR="00DB73EF">
        <w:t xml:space="preserve"> à</w:t>
      </w:r>
      <w:r w:rsidR="002903CE">
        <w:t xml:space="preserve"> Caféière</w:t>
      </w:r>
      <w:r w:rsidR="008B6801">
        <w:t>, à environ 427 mètres d’altitude ; d’autre part</w:t>
      </w:r>
      <w:r w:rsidR="00523137">
        <w:t xml:space="preserve">, </w:t>
      </w:r>
      <w:r w:rsidR="008B6801">
        <w:t>je me sens proche des idées politiques</w:t>
      </w:r>
      <w:r>
        <w:t xml:space="preserve"> des deux personnages.</w:t>
      </w:r>
    </w:p>
    <w:p w:rsidR="002903CE" w:rsidRDefault="0026080C" w:rsidP="00181739">
      <w:r w:rsidRPr="0026080C">
        <w:rPr>
          <w:noProof/>
        </w:rPr>
        <w:drawing>
          <wp:inline distT="0" distB="0" distL="0" distR="0">
            <wp:extent cx="3706946" cy="2780209"/>
            <wp:effectExtent l="0" t="0" r="8255" b="1270"/>
            <wp:docPr id="1" name="Image 1" descr="C:\Users\mandmich\Downloads\IMG-20220623-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mich\Downloads\IMG-20220623-WA00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72" cy="2790878"/>
                    </a:xfrm>
                    <a:prstGeom prst="rect">
                      <a:avLst/>
                    </a:prstGeom>
                    <a:noFill/>
                    <a:ln>
                      <a:noFill/>
                    </a:ln>
                  </pic:spPr>
                </pic:pic>
              </a:graphicData>
            </a:graphic>
          </wp:inline>
        </w:drawing>
      </w:r>
    </w:p>
    <w:p w:rsidR="002903CE" w:rsidRPr="00E84BF9" w:rsidRDefault="0026080C" w:rsidP="00181739">
      <w:r w:rsidRPr="00E84BF9">
        <w:t>Photo prise par mon père le 23 juin 2022</w:t>
      </w:r>
    </w:p>
    <w:p w:rsidR="00E84BF9" w:rsidRDefault="0026080C" w:rsidP="00181739">
      <w:r>
        <w:t>En effet, s</w:t>
      </w:r>
      <w:r w:rsidR="008A2225">
        <w:t>ur les 1</w:t>
      </w:r>
      <w:r w:rsidR="006071DA">
        <w:t>0</w:t>
      </w:r>
      <w:r w:rsidR="008A2225">
        <w:t xml:space="preserve">3 passagers </w:t>
      </w:r>
      <w:r w:rsidR="00C86ED3">
        <w:t xml:space="preserve">se </w:t>
      </w:r>
      <w:r w:rsidR="00D761C9">
        <w:t>trouv</w:t>
      </w:r>
      <w:r w:rsidR="006071DA">
        <w:t xml:space="preserve">aient </w:t>
      </w:r>
      <w:r w:rsidR="005758F6">
        <w:t xml:space="preserve">2 personnalités politiques de premier plan, le député guyanais </w:t>
      </w:r>
      <w:r w:rsidR="005758F6" w:rsidRPr="005758F6">
        <w:t>Justin Catayée</w:t>
      </w:r>
      <w:r w:rsidR="005758F6">
        <w:t xml:space="preserve"> et</w:t>
      </w:r>
      <w:r w:rsidR="00E74152">
        <w:t xml:space="preserve"> l’écrivain </w:t>
      </w:r>
      <w:r w:rsidR="006071DA">
        <w:t xml:space="preserve">et homme politique </w:t>
      </w:r>
      <w:r w:rsidR="005758F6">
        <w:t xml:space="preserve">guadeloupéen Albert </w:t>
      </w:r>
      <w:proofErr w:type="spellStart"/>
      <w:r w:rsidR="005758F6">
        <w:t>Béville</w:t>
      </w:r>
      <w:proofErr w:type="spellEnd"/>
      <w:r w:rsidR="0035271A">
        <w:t xml:space="preserve">, </w:t>
      </w:r>
      <w:r w:rsidR="005758F6">
        <w:t xml:space="preserve">tous les deux partisans de l’autonomie des Antilles et de la </w:t>
      </w:r>
      <w:r w:rsidR="00D761C9">
        <w:t>Guyane</w:t>
      </w:r>
      <w:r w:rsidR="005758F6">
        <w:t xml:space="preserve"> françaises.</w:t>
      </w:r>
      <w:r w:rsidR="00C25775">
        <w:t xml:space="preserve"> </w:t>
      </w:r>
    </w:p>
    <w:p w:rsidR="00E84BF9" w:rsidRDefault="00E84BF9" w:rsidP="00181739">
      <w:r>
        <w:rPr>
          <w:noProof/>
        </w:rPr>
        <w:lastRenderedPageBreak/>
        <w:drawing>
          <wp:anchor distT="0" distB="0" distL="114300" distR="114300" simplePos="0" relativeHeight="251668480" behindDoc="0" locked="0" layoutInCell="1" allowOverlap="1">
            <wp:simplePos x="0" y="0"/>
            <wp:positionH relativeFrom="column">
              <wp:posOffset>-2648</wp:posOffset>
            </wp:positionH>
            <wp:positionV relativeFrom="paragraph">
              <wp:posOffset>527</wp:posOffset>
            </wp:positionV>
            <wp:extent cx="1328276" cy="2252357"/>
            <wp:effectExtent l="0" t="0" r="571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276" cy="2252357"/>
                    </a:xfrm>
                    <a:prstGeom prst="rect">
                      <a:avLst/>
                    </a:prstGeom>
                    <a:noFill/>
                    <a:ln>
                      <a:noFill/>
                    </a:ln>
                  </pic:spPr>
                </pic:pic>
              </a:graphicData>
            </a:graphic>
          </wp:anchor>
        </w:drawing>
      </w:r>
      <w:r w:rsidR="001A29A5">
        <w:t>Le premier, né à Cayenne en 1916, fut d’abord un héros de la Seconde Guerre Mondiale avant de devenir professeur de mathématique, puis de fonder le Parti socialiste guyanais en 1956</w:t>
      </w:r>
      <w:r w:rsidR="00C27C3F">
        <w:t>. Elu député en 1958</w:t>
      </w:r>
      <w:r w:rsidR="002F4BC4">
        <w:t>, Catayée déposa un projet de statut spécial d’autonomie et de gestion pour la Guyane l’année suivante. Ce projet n’aura pas de suite et Catayée</w:t>
      </w:r>
      <w:r w:rsidR="00322C4C">
        <w:t xml:space="preserve">, se sentant trahi par le </w:t>
      </w:r>
      <w:r w:rsidR="00322C4C">
        <w:t>Général de Gaulle</w:t>
      </w:r>
      <w:r w:rsidR="00322C4C">
        <w:t xml:space="preserve"> </w:t>
      </w:r>
      <w:r w:rsidR="00661FD0">
        <w:t>(qu’il avait soutenu lors du référendum pour l’établissement de la nouvelle Constitution)</w:t>
      </w:r>
      <w:r w:rsidR="007F0CA6">
        <w:t>,</w:t>
      </w:r>
      <w:r w:rsidR="00322C4C">
        <w:t xml:space="preserve"> </w:t>
      </w:r>
      <w:r w:rsidR="00322C4C">
        <w:t>prendra de plus en plus ses distances avec</w:t>
      </w:r>
      <w:r w:rsidR="00322C4C">
        <w:t xml:space="preserve"> le pouvoir central.</w:t>
      </w:r>
    </w:p>
    <w:p w:rsidR="007F0E82" w:rsidRDefault="00462725" w:rsidP="00181739">
      <w:r>
        <w:t>Profondément attaché à la Guyane, Justin Catayée projetait de re</w:t>
      </w:r>
      <w:r w:rsidR="00322C4C">
        <w:t xml:space="preserve">tourner à Cayenne </w:t>
      </w:r>
      <w:r>
        <w:t xml:space="preserve">pour aller apporter son soutien au </w:t>
      </w:r>
      <w:r w:rsidRPr="00462725">
        <w:t>Front démocratique guyanais</w:t>
      </w:r>
      <w:r w:rsidR="00181739">
        <w:t xml:space="preserve"> (FDG)</w:t>
      </w:r>
      <w:r w:rsidR="00322C4C">
        <w:t xml:space="preserve">, un rassemblement de partis de gauche </w:t>
      </w:r>
      <w:r w:rsidR="00181739">
        <w:t>qui</w:t>
      </w:r>
      <w:r w:rsidR="007F0E82">
        <w:t xml:space="preserve"> s’opposai</w:t>
      </w:r>
      <w:r w:rsidR="00322C4C">
        <w:t xml:space="preserve">ent </w:t>
      </w:r>
      <w:r w:rsidR="007F0E82">
        <w:t xml:space="preserve">à </w:t>
      </w:r>
      <w:r w:rsidR="00181739">
        <w:t>l’établissement de la Légion étrangère</w:t>
      </w:r>
      <w:r w:rsidR="007F0E82">
        <w:t xml:space="preserve"> en Guyane</w:t>
      </w:r>
      <w:r w:rsidR="00322C4C">
        <w:t xml:space="preserve">, </w:t>
      </w:r>
      <w:r w:rsidR="007F0E82">
        <w:t>et dont la manifestation</w:t>
      </w:r>
      <w:r w:rsidR="00E84BF9">
        <w:t xml:space="preserve"> </w:t>
      </w:r>
      <w:r w:rsidR="007F0E82">
        <w:t>du 14 juin 1962 avait été</w:t>
      </w:r>
      <w:r w:rsidR="00E74152">
        <w:t xml:space="preserve"> sévèrement </w:t>
      </w:r>
      <w:r w:rsidR="007F0E82">
        <w:t xml:space="preserve">réprimée par le Préfet </w:t>
      </w:r>
      <w:proofErr w:type="spellStart"/>
      <w:r w:rsidR="00AA124C" w:rsidRPr="00181739">
        <w:rPr>
          <w:bCs/>
        </w:rPr>
        <w:t>Érignac</w:t>
      </w:r>
      <w:proofErr w:type="spellEnd"/>
      <w:r w:rsidR="007F0E82">
        <w:t xml:space="preserve"> (René </w:t>
      </w:r>
      <w:proofErr w:type="spellStart"/>
      <w:r w:rsidR="007F0E82" w:rsidRPr="00181739">
        <w:rPr>
          <w:bCs/>
        </w:rPr>
        <w:t>Érignac</w:t>
      </w:r>
      <w:proofErr w:type="spellEnd"/>
      <w:r w:rsidR="007F0E82">
        <w:rPr>
          <w:bCs/>
        </w:rPr>
        <w:t xml:space="preserve">, le père de Claude </w:t>
      </w:r>
      <w:proofErr w:type="spellStart"/>
      <w:r w:rsidR="007F0E82" w:rsidRPr="00181739">
        <w:rPr>
          <w:bCs/>
        </w:rPr>
        <w:t>Érignac</w:t>
      </w:r>
      <w:proofErr w:type="spellEnd"/>
      <w:r w:rsidR="007F0E82">
        <w:t>)</w:t>
      </w:r>
      <w:r w:rsidR="00E74152">
        <w:t> :</w:t>
      </w:r>
    </w:p>
    <w:p w:rsidR="007F0E82" w:rsidRDefault="006B1FBC" w:rsidP="00181739">
      <w:hyperlink r:id="rId9" w:history="1">
        <w:r w:rsidR="007F0E82" w:rsidRPr="00AA6035">
          <w:rPr>
            <w:rStyle w:val="Lienhypertexte"/>
          </w:rPr>
          <w:t>https://www.franceguyane.fr/actualite/societe-social-emploi/sonje-vire-gade/ce-jour-la-le-14-juin-1962-la-population-guyanaise-subit-une-repression-violente-qui-marquera-son-histoire-502433.php</w:t>
        </w:r>
      </w:hyperlink>
    </w:p>
    <w:p w:rsidR="007F0E82" w:rsidRDefault="006B1FBC" w:rsidP="00181739">
      <w:hyperlink r:id="rId10" w:history="1">
        <w:r w:rsidR="007F0E82" w:rsidRPr="00AA6035">
          <w:rPr>
            <w:rStyle w:val="Lienhypertexte"/>
          </w:rPr>
          <w:t>https://www.ctguyane.fr/retour-sur-une-page-de-lhistoire-de-guyane-le-guet-apens-le-14-juin-1962-la-population-guyanaise-subissait-une-repression-qui-marquera-lhistoire-du-pays/</w:t>
        </w:r>
      </w:hyperlink>
    </w:p>
    <w:p w:rsidR="007767BD" w:rsidRDefault="00E84BF9" w:rsidP="00181739">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12700</wp:posOffset>
            </wp:positionV>
            <wp:extent cx="1452245" cy="194373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2245" cy="1943735"/>
                    </a:xfrm>
                    <a:prstGeom prst="rect">
                      <a:avLst/>
                    </a:prstGeom>
                    <a:noFill/>
                    <a:ln>
                      <a:noFill/>
                    </a:ln>
                  </pic:spPr>
                </pic:pic>
              </a:graphicData>
            </a:graphic>
          </wp:anchor>
        </w:drawing>
      </w:r>
      <w:r w:rsidR="009755FB">
        <w:t xml:space="preserve">Le second, Albert </w:t>
      </w:r>
      <w:proofErr w:type="spellStart"/>
      <w:r w:rsidR="009755FB">
        <w:t>Béville</w:t>
      </w:r>
      <w:proofErr w:type="spellEnd"/>
      <w:r w:rsidR="00322C4C">
        <w:t xml:space="preserve">, était </w:t>
      </w:r>
      <w:r w:rsidR="009755FB">
        <w:t>né à Basse-Terre en 1915</w:t>
      </w:r>
      <w:r w:rsidR="00F87DCE">
        <w:t>.</w:t>
      </w:r>
      <w:r w:rsidR="007A391E">
        <w:t xml:space="preserve"> Après des </w:t>
      </w:r>
      <w:r w:rsidR="007A391E" w:rsidRPr="00E84BF9">
        <w:t>études</w:t>
      </w:r>
      <w:r w:rsidR="00EC6FA9" w:rsidRPr="00E84BF9">
        <w:t xml:space="preserve"> </w:t>
      </w:r>
      <w:r w:rsidR="00012CC1" w:rsidRPr="00E84BF9">
        <w:t>à</w:t>
      </w:r>
      <w:r w:rsidR="00EC6FA9" w:rsidRPr="00E84BF9">
        <w:t xml:space="preserve"> Paris</w:t>
      </w:r>
      <w:r w:rsidR="00322C4C" w:rsidRPr="00E84BF9">
        <w:t xml:space="preserve">, </w:t>
      </w:r>
      <w:r w:rsidR="00EC6FA9" w:rsidRPr="00E84BF9">
        <w:t>il devint docteur en droit avant d’intégrer l’</w:t>
      </w:r>
      <w:r w:rsidR="00012CC1" w:rsidRPr="00E84BF9">
        <w:t>Ecole</w:t>
      </w:r>
      <w:r w:rsidR="00012CC1" w:rsidRPr="00012CC1">
        <w:t xml:space="preserve"> Nationale de la France d'Outre-Mer</w:t>
      </w:r>
      <w:r w:rsidR="00EC6FA9">
        <w:t xml:space="preserve"> </w:t>
      </w:r>
      <w:r w:rsidR="00EC6FA9" w:rsidRPr="00EC6FA9">
        <w:t>(ENFOM)</w:t>
      </w:r>
      <w:r w:rsidR="00322C4C">
        <w:t xml:space="preserve">, </w:t>
      </w:r>
      <w:r w:rsidR="00912D15">
        <w:t xml:space="preserve">dont il ressort avec un </w:t>
      </w:r>
      <w:r w:rsidR="00075D52">
        <w:t xml:space="preserve">brevet. Nommé </w:t>
      </w:r>
      <w:r w:rsidR="00322C4C">
        <w:t xml:space="preserve">par la suite </w:t>
      </w:r>
      <w:r w:rsidR="00075D52">
        <w:t>administrateur des colonies</w:t>
      </w:r>
      <w:r w:rsidR="00757829">
        <w:t xml:space="preserve">, </w:t>
      </w:r>
      <w:proofErr w:type="spellStart"/>
      <w:r w:rsidR="00075D52">
        <w:t>Béville</w:t>
      </w:r>
      <w:proofErr w:type="spellEnd"/>
      <w:r w:rsidR="00075D52">
        <w:t xml:space="preserve"> parcour</w:t>
      </w:r>
      <w:r w:rsidR="00322C4C">
        <w:t xml:space="preserve">t </w:t>
      </w:r>
      <w:r w:rsidR="00075D52">
        <w:t>l’Afrique</w:t>
      </w:r>
      <w:r w:rsidR="00757829">
        <w:t xml:space="preserve"> dès septembre 1944. C’est </w:t>
      </w:r>
      <w:r w:rsidR="007F0CA6">
        <w:t xml:space="preserve">sur le continent africain </w:t>
      </w:r>
      <w:r w:rsidR="00757829">
        <w:t>qu’il prend le pseudonyme de Paul Niger</w:t>
      </w:r>
      <w:r w:rsidR="007F0CA6">
        <w:t xml:space="preserve"> (</w:t>
      </w:r>
      <w:r w:rsidR="00757829">
        <w:t>en référence au</w:t>
      </w:r>
      <w:r w:rsidR="007F0CA6">
        <w:t xml:space="preserve"> fleuve </w:t>
      </w:r>
      <w:r w:rsidR="00757829">
        <w:t>Niger</w:t>
      </w:r>
      <w:r w:rsidR="007F0CA6">
        <w:t xml:space="preserve">) </w:t>
      </w:r>
      <w:r w:rsidR="00E50FE4">
        <w:t xml:space="preserve">et </w:t>
      </w:r>
      <w:r w:rsidR="007F0CA6">
        <w:t>commence ses premiers écrits</w:t>
      </w:r>
      <w:r w:rsidR="00E50FE4">
        <w:t xml:space="preserve"> (</w:t>
      </w:r>
      <w:r w:rsidR="00F17FD8">
        <w:t xml:space="preserve">poèmes </w:t>
      </w:r>
      <w:r w:rsidR="00E50FE4">
        <w:t>entre 1944 et 1946)</w:t>
      </w:r>
      <w:r w:rsidR="007F0CA6">
        <w:t>.</w:t>
      </w:r>
      <w:r w:rsidR="005D080E">
        <w:t xml:space="preserve"> I</w:t>
      </w:r>
      <w:r w:rsidR="007F0CA6">
        <w:t xml:space="preserve">nfluencé par l’œuvre </w:t>
      </w:r>
      <w:r w:rsidR="00F17FD8">
        <w:t>d’</w:t>
      </w:r>
      <w:r w:rsidR="007F0CA6" w:rsidRPr="007F0CA6">
        <w:t xml:space="preserve">Aimé </w:t>
      </w:r>
      <w:proofErr w:type="spellStart"/>
      <w:r w:rsidR="007F0CA6" w:rsidRPr="007F0CA6">
        <w:t>césaire</w:t>
      </w:r>
      <w:proofErr w:type="spellEnd"/>
      <w:r w:rsidR="007F0CA6">
        <w:t xml:space="preserve"> et</w:t>
      </w:r>
      <w:r w:rsidR="00F17FD8">
        <w:t xml:space="preserve"> de </w:t>
      </w:r>
      <w:r w:rsidR="007F0CA6" w:rsidRPr="007F0CA6">
        <w:t>Léopold Sédar Senghor</w:t>
      </w:r>
      <w:r w:rsidR="0041467C">
        <w:t xml:space="preserve">, </w:t>
      </w:r>
      <w:r w:rsidR="007F0CA6">
        <w:t>il</w:t>
      </w:r>
      <w:r w:rsidR="00466B3B">
        <w:t xml:space="preserve"> est un des membres fondateurs de la revue </w:t>
      </w:r>
      <w:r w:rsidR="00466B3B">
        <w:rPr>
          <w:rStyle w:val="2phjq"/>
        </w:rPr>
        <w:t>Présence Africaine en 1946</w:t>
      </w:r>
      <w:r w:rsidR="0041467C">
        <w:rPr>
          <w:rStyle w:val="2phjq"/>
        </w:rPr>
        <w:t>, revue dans laquelle il diffuse ses idées de gauche</w:t>
      </w:r>
      <w:r w:rsidR="00466B3B">
        <w:rPr>
          <w:rStyle w:val="2phjq"/>
        </w:rPr>
        <w:t>.</w:t>
      </w:r>
      <w:r w:rsidR="00707620">
        <w:rPr>
          <w:rStyle w:val="2phjq"/>
        </w:rPr>
        <w:t xml:space="preserve"> </w:t>
      </w:r>
      <w:r w:rsidR="00E74152">
        <w:rPr>
          <w:rStyle w:val="2phjq"/>
        </w:rPr>
        <w:t xml:space="preserve">Son engagement politique se renforce suite aux émeutes </w:t>
      </w:r>
      <w:r w:rsidR="0041467C">
        <w:rPr>
          <w:rStyle w:val="2phjq"/>
        </w:rPr>
        <w:t xml:space="preserve">sanglantes </w:t>
      </w:r>
      <w:r w:rsidR="00E74152">
        <w:rPr>
          <w:rStyle w:val="2phjq"/>
        </w:rPr>
        <w:t xml:space="preserve">des 20, 21 et 22 décembre 1959 en </w:t>
      </w:r>
      <w:proofErr w:type="spellStart"/>
      <w:r w:rsidR="00E74152">
        <w:rPr>
          <w:rStyle w:val="2phjq"/>
        </w:rPr>
        <w:t>martinique</w:t>
      </w:r>
      <w:proofErr w:type="spellEnd"/>
      <w:r w:rsidR="007C6740">
        <w:rPr>
          <w:rStyle w:val="2phjq"/>
        </w:rPr>
        <w:t>. Il</w:t>
      </w:r>
      <w:r w:rsidR="00F17FD8">
        <w:rPr>
          <w:rStyle w:val="2phjq"/>
        </w:rPr>
        <w:t xml:space="preserve"> </w:t>
      </w:r>
      <w:r w:rsidR="007C6740">
        <w:rPr>
          <w:rStyle w:val="2phjq"/>
        </w:rPr>
        <w:t>fonde</w:t>
      </w:r>
      <w:r w:rsidR="0041467C">
        <w:rPr>
          <w:rStyle w:val="2phjq"/>
        </w:rPr>
        <w:t xml:space="preserve"> </w:t>
      </w:r>
      <w:r w:rsidR="00117CB7">
        <w:rPr>
          <w:rStyle w:val="2phjq"/>
        </w:rPr>
        <w:t xml:space="preserve">avec </w:t>
      </w:r>
      <w:r w:rsidR="00117CB7" w:rsidRPr="007C6740">
        <w:rPr>
          <w:rStyle w:val="2phjq"/>
        </w:rPr>
        <w:t xml:space="preserve">Édouard Glissant, Marcel </w:t>
      </w:r>
      <w:proofErr w:type="spellStart"/>
      <w:r w:rsidR="00117CB7" w:rsidRPr="007C6740">
        <w:rPr>
          <w:rStyle w:val="2phjq"/>
        </w:rPr>
        <w:t>Manville</w:t>
      </w:r>
      <w:proofErr w:type="spellEnd"/>
      <w:r w:rsidR="00117CB7" w:rsidRPr="007C6740">
        <w:rPr>
          <w:rStyle w:val="2phjq"/>
        </w:rPr>
        <w:t>,</w:t>
      </w:r>
      <w:r w:rsidR="00117CB7">
        <w:rPr>
          <w:rStyle w:val="2phjq"/>
        </w:rPr>
        <w:t xml:space="preserve"> et </w:t>
      </w:r>
      <w:proofErr w:type="spellStart"/>
      <w:r w:rsidR="00117CB7" w:rsidRPr="007C6740">
        <w:rPr>
          <w:rStyle w:val="2phjq"/>
        </w:rPr>
        <w:t>Cosnay</w:t>
      </w:r>
      <w:proofErr w:type="spellEnd"/>
      <w:r w:rsidR="00117CB7" w:rsidRPr="007C6740">
        <w:rPr>
          <w:rStyle w:val="2phjq"/>
        </w:rPr>
        <w:t xml:space="preserve"> Marie-Josep</w:t>
      </w:r>
      <w:r w:rsidR="00117CB7">
        <w:rPr>
          <w:rStyle w:val="2phjq"/>
        </w:rPr>
        <w:t xml:space="preserve">h, </w:t>
      </w:r>
      <w:r w:rsidR="007C6740">
        <w:rPr>
          <w:rStyle w:val="2phjq"/>
        </w:rPr>
        <w:t xml:space="preserve">le </w:t>
      </w:r>
      <w:r w:rsidR="007C6740" w:rsidRPr="007C6740">
        <w:rPr>
          <w:rStyle w:val="2phjq"/>
        </w:rPr>
        <w:t>Front des Antillais et Guyanais pour l'Autonomie (FAGA)</w:t>
      </w:r>
      <w:r w:rsidR="0041467C">
        <w:rPr>
          <w:rStyle w:val="2phjq"/>
        </w:rPr>
        <w:t xml:space="preserve"> en 1961</w:t>
      </w:r>
      <w:r w:rsidR="00E46A24">
        <w:rPr>
          <w:rStyle w:val="2phjq"/>
        </w:rPr>
        <w:t xml:space="preserve">, </w:t>
      </w:r>
      <w:r w:rsidR="00117CB7">
        <w:rPr>
          <w:rStyle w:val="2phjq"/>
        </w:rPr>
        <w:t>et publie dans la foulée</w:t>
      </w:r>
      <w:r w:rsidR="00E46A24">
        <w:rPr>
          <w:rStyle w:val="2phjq"/>
        </w:rPr>
        <w:t xml:space="preserve"> </w:t>
      </w:r>
      <w:r w:rsidR="00E46A24" w:rsidRPr="00E46A24">
        <w:rPr>
          <w:rStyle w:val="2phjq"/>
        </w:rPr>
        <w:t xml:space="preserve">la brochure-pamphlet </w:t>
      </w:r>
      <w:r w:rsidR="00E46A24" w:rsidRPr="00E46A24">
        <w:rPr>
          <w:rStyle w:val="2phjq"/>
          <w:i/>
        </w:rPr>
        <w:t>Les Antilles et la Guyane à l'heure de la Décolonisation</w:t>
      </w:r>
      <w:r w:rsidR="00E46A24" w:rsidRPr="00E46A24">
        <w:rPr>
          <w:rStyle w:val="2phjq"/>
        </w:rPr>
        <w:t>. Cette brochure sera saisie</w:t>
      </w:r>
      <w:r w:rsidR="00210C57">
        <w:rPr>
          <w:rStyle w:val="2phjq"/>
        </w:rPr>
        <w:t xml:space="preserve">, </w:t>
      </w:r>
      <w:r w:rsidR="00E46A24" w:rsidRPr="00E46A24">
        <w:rPr>
          <w:rStyle w:val="2phjq"/>
        </w:rPr>
        <w:t>le Front dissout</w:t>
      </w:r>
      <w:r w:rsidR="00210C57">
        <w:rPr>
          <w:rStyle w:val="2phjq"/>
        </w:rPr>
        <w:t xml:space="preserve">, </w:t>
      </w:r>
      <w:r w:rsidR="00E46A24" w:rsidRPr="00E46A24">
        <w:rPr>
          <w:rStyle w:val="2phjq"/>
        </w:rPr>
        <w:t xml:space="preserve">et Albert </w:t>
      </w:r>
      <w:proofErr w:type="spellStart"/>
      <w:r w:rsidR="00E46A24" w:rsidRPr="00E46A24">
        <w:rPr>
          <w:rStyle w:val="2phjq"/>
        </w:rPr>
        <w:t>Béville</w:t>
      </w:r>
      <w:proofErr w:type="spellEnd"/>
      <w:r w:rsidR="00E46A24" w:rsidRPr="00E46A24">
        <w:rPr>
          <w:rStyle w:val="2phjq"/>
        </w:rPr>
        <w:t xml:space="preserve"> rétrogradé administrativement</w:t>
      </w:r>
      <w:r w:rsidR="0041467C">
        <w:rPr>
          <w:rStyle w:val="2phjq"/>
        </w:rPr>
        <w:t xml:space="preserve"> puis </w:t>
      </w:r>
      <w:r w:rsidR="00210C57">
        <w:rPr>
          <w:rStyle w:val="2phjq"/>
        </w:rPr>
        <w:t>interdit de quitter le territoire métropolitain.</w:t>
      </w:r>
      <w:r w:rsidR="007767BD">
        <w:rPr>
          <w:rStyle w:val="2phjq"/>
        </w:rPr>
        <w:t xml:space="preserve"> Contournant cette interdiction, il réussit à embarquer au bord du Boeing 707, il </w:t>
      </w:r>
      <w:r w:rsidR="003B58BB">
        <w:rPr>
          <w:rStyle w:val="2phjq"/>
        </w:rPr>
        <w:t>projetait</w:t>
      </w:r>
      <w:r w:rsidR="007767BD">
        <w:rPr>
          <w:rStyle w:val="2phjq"/>
        </w:rPr>
        <w:t xml:space="preserve"> de s’installer en Guadeloupe comme avocat.</w:t>
      </w:r>
    </w:p>
    <w:p w:rsidR="009D00F8" w:rsidRPr="008A2225" w:rsidRDefault="009D00F8" w:rsidP="009D00F8">
      <w:pPr>
        <w:rPr>
          <w:b/>
        </w:rPr>
      </w:pPr>
      <w:r>
        <w:rPr>
          <w:b/>
        </w:rPr>
        <w:t>2</w:t>
      </w:r>
      <w:r w:rsidRPr="008A2225">
        <w:rPr>
          <w:b/>
        </w:rPr>
        <w:t xml:space="preserve"> Accident ou attentat ?</w:t>
      </w:r>
    </w:p>
    <w:p w:rsidR="000142C6" w:rsidRDefault="009E227D" w:rsidP="000142C6">
      <w:r w:rsidRPr="002B6267">
        <w:t xml:space="preserve">La présence à bord de ces deux </w:t>
      </w:r>
      <w:r w:rsidR="002B6267" w:rsidRPr="002B6267">
        <w:t>personnalités</w:t>
      </w:r>
      <w:r w:rsidR="0075312C">
        <w:t xml:space="preserve"> a rapidement </w:t>
      </w:r>
      <w:r w:rsidR="002B6267" w:rsidRPr="002B6267">
        <w:t>alimenté</w:t>
      </w:r>
      <w:r w:rsidR="00D9136A">
        <w:t xml:space="preserve"> la thèse d’un attentat politique</w:t>
      </w:r>
      <w:r w:rsidR="0075312C">
        <w:t xml:space="preserve"> de </w:t>
      </w:r>
      <w:r w:rsidR="00D9136A">
        <w:t>l’Etat français, visant à mettre un coup d’arrêt à la propagation des idées autonomistes aux Antilles et Guyane</w:t>
      </w:r>
      <w:r w:rsidR="000142C6">
        <w:t>.</w:t>
      </w:r>
      <w:r w:rsidR="00A70FE7">
        <w:t xml:space="preserve"> Thèse d’autant plus probable aux yeux de ses partisans, </w:t>
      </w:r>
      <w:r w:rsidR="000142C6">
        <w:t>que le contexte de l’époque était particulièrement tendu (Guerre d’Algérie)</w:t>
      </w:r>
      <w:r w:rsidR="0041467C">
        <w:t xml:space="preserve">, </w:t>
      </w:r>
      <w:r w:rsidR="000142C6">
        <w:t>et que le rapport d’enquête</w:t>
      </w:r>
      <w:r w:rsidR="00A70FE7">
        <w:t xml:space="preserve">, </w:t>
      </w:r>
      <w:r w:rsidR="000142C6">
        <w:t>établ</w:t>
      </w:r>
      <w:r w:rsidR="0041467C">
        <w:t xml:space="preserve">i </w:t>
      </w:r>
      <w:r w:rsidR="000142C6">
        <w:t>six mois après l’accident, le 12 décembre 1962,</w:t>
      </w:r>
      <w:r w:rsidR="00A70FE7">
        <w:t xml:space="preserve"> fut </w:t>
      </w:r>
      <w:r w:rsidR="000142C6">
        <w:t>classé secret défense à sa sortie.</w:t>
      </w:r>
    </w:p>
    <w:p w:rsidR="00415C5C" w:rsidRDefault="00097CDC" w:rsidP="000142C6">
      <w:r>
        <w:t>Pour établir la vérité sur cet événement</w:t>
      </w:r>
      <w:r w:rsidR="00A70FE7">
        <w:t xml:space="preserve"> l’Etat créa </w:t>
      </w:r>
      <w:r w:rsidR="000142C6">
        <w:t>une commission d’enquête</w:t>
      </w:r>
      <w:r w:rsidR="00A70FE7">
        <w:t xml:space="preserve"> en </w:t>
      </w:r>
      <w:r w:rsidR="00C73CD6">
        <w:t>avril 2014</w:t>
      </w:r>
      <w:r w:rsidR="00A70FE7">
        <w:t xml:space="preserve"> dont la </w:t>
      </w:r>
      <w:r w:rsidR="00B417F2">
        <w:t xml:space="preserve">présidence </w:t>
      </w:r>
      <w:r w:rsidR="00A70FE7">
        <w:t xml:space="preserve">fut </w:t>
      </w:r>
      <w:r w:rsidR="00B417F2">
        <w:t xml:space="preserve">confiée à </w:t>
      </w:r>
      <w:r w:rsidR="00533875">
        <w:t>l’historien Benjamin Stora</w:t>
      </w:r>
      <w:r w:rsidR="00C73CD6">
        <w:t>. Son rapport</w:t>
      </w:r>
      <w:r w:rsidR="00533875">
        <w:t xml:space="preserve">, </w:t>
      </w:r>
      <w:r w:rsidR="00533875" w:rsidRPr="00533875">
        <w:rPr>
          <w:i/>
        </w:rPr>
        <w:t xml:space="preserve">rapport de la Commission d’information et de recherche historique sur les événements de décembre 1959 en Martinique, de juin </w:t>
      </w:r>
      <w:r w:rsidR="00533875" w:rsidRPr="00533875">
        <w:rPr>
          <w:i/>
        </w:rPr>
        <w:lastRenderedPageBreak/>
        <w:t>1962 en Guadeloupe et en Guyane, et de mai 1967 en Guadeloupe</w:t>
      </w:r>
      <w:r w:rsidR="00533875">
        <w:t>,</w:t>
      </w:r>
      <w:r w:rsidR="00A70FE7">
        <w:t xml:space="preserve"> fus </w:t>
      </w:r>
      <w:r w:rsidR="00533875">
        <w:t xml:space="preserve">remis à la </w:t>
      </w:r>
      <w:r w:rsidR="00533875" w:rsidRPr="00533875">
        <w:t>ministre des Outre-mer</w:t>
      </w:r>
      <w:r w:rsidR="00533875">
        <w:t xml:space="preserve"> le 30 octobre 2016.</w:t>
      </w:r>
      <w:r w:rsidR="00B417F2">
        <w:t xml:space="preserve"> Le document reprend les conclusions du rapport de 1962, </w:t>
      </w:r>
      <w:r w:rsidR="00A70FE7">
        <w:t xml:space="preserve">conclusions </w:t>
      </w:r>
      <w:r w:rsidR="00B417F2">
        <w:t>qui remettent notamment en cause les services de l’Etat, et invalide</w:t>
      </w:r>
      <w:r w:rsidR="00A70FE7">
        <w:t xml:space="preserve">nt </w:t>
      </w:r>
      <w:r w:rsidR="00B417F2">
        <w:t>la thèse de l’attentat politique. Le rapport note que :</w:t>
      </w:r>
    </w:p>
    <w:p w:rsidR="00B417F2" w:rsidRDefault="00B417F2" w:rsidP="00B417F2">
      <w:r w:rsidRPr="00B417F2">
        <w:rPr>
          <w:i/>
        </w:rPr>
        <w:t xml:space="preserve">« Si les archives consultées donnent à voir le refus de l’État d’admettre sa responsabilité dans la survenue de l’accident, nous n’avons pas trouvé trace de la motivation explicite du recours à la procédure de classification du rapport d’enquête. Quoi qu’il en fût, la décision du gouvernement a eu pour conséquence dommageable pour les familles des victimes l’absence d’indemnisation, puisque le pilote – mort dans l’accident – a été désigné comme seul responsable faute de publication du rapport. Les poursuites judiciaires engagées par les familles se sont ainsi conclues par un non-lieu. Par ailleurs, l’ignorance des causes de l’accident qui en a résulté a certainement contribué à alimenter l’idée qu’il y avait quelque chose à cacher. La thèse de l’attentat a ainsi pu prospérer. La suspicion de l’attentat a trouvé de surcroît matière à se développer dans le fait que le gouvernement considérait les idées et l’action politiques d’Albert </w:t>
      </w:r>
      <w:proofErr w:type="spellStart"/>
      <w:r w:rsidRPr="00B417F2">
        <w:rPr>
          <w:i/>
        </w:rPr>
        <w:t>Béville</w:t>
      </w:r>
      <w:proofErr w:type="spellEnd"/>
      <w:r w:rsidRPr="00B417F2">
        <w:rPr>
          <w:i/>
        </w:rPr>
        <w:t xml:space="preserve"> et de Justin Catayée, qui se trouvaient dans l’avion accidenté, comme une menace pour l’unité de la nation. »</w:t>
      </w:r>
      <w:r>
        <w:t xml:space="preserve"> p. 41</w:t>
      </w:r>
      <w:r w:rsidR="00C13A29">
        <w:t>. Le rapport peut être consulté à :</w:t>
      </w:r>
    </w:p>
    <w:p w:rsidR="00C13A29" w:rsidRDefault="006B1FBC" w:rsidP="00B417F2">
      <w:hyperlink r:id="rId12" w:history="1">
        <w:r w:rsidR="00C13A29" w:rsidRPr="00825E51">
          <w:rPr>
            <w:rStyle w:val="Lienhypertexte"/>
          </w:rPr>
          <w:t>https://www.vie-publique.fr/rapport/36098-commission-dinformation-et-de-recherche-historique-sur-les-evenements-d</w:t>
        </w:r>
      </w:hyperlink>
    </w:p>
    <w:p w:rsidR="001F7B49" w:rsidRDefault="00DC61A7" w:rsidP="00B417F2">
      <w:r>
        <w:t>Aujourd’hui</w:t>
      </w:r>
      <w:r w:rsidR="001F7B49">
        <w:t xml:space="preserve"> les conclusions du rapport Stora ne font pas l’</w:t>
      </w:r>
      <w:r w:rsidR="0066456D">
        <w:t>unanimité au sein d’un</w:t>
      </w:r>
      <w:r>
        <w:t>e</w:t>
      </w:r>
      <w:r w:rsidR="0066456D">
        <w:t xml:space="preserve"> partie de la population guadeloupéenne. A l’occasion des 60 ans du crash les éditions </w:t>
      </w:r>
      <w:proofErr w:type="spellStart"/>
      <w:r w:rsidR="0066456D">
        <w:t>jasor</w:t>
      </w:r>
      <w:proofErr w:type="spellEnd"/>
      <w:r w:rsidR="0066456D">
        <w:t xml:space="preserve"> publient un ouvrage collectif : </w:t>
      </w:r>
      <w:r w:rsidR="00F77C0C">
        <w:t>« </w:t>
      </w:r>
      <w:r w:rsidR="0066456D" w:rsidRPr="00F77C0C">
        <w:t xml:space="preserve">Autopsie d’un crash aérien – 22 juin 2022 – </w:t>
      </w:r>
      <w:proofErr w:type="spellStart"/>
      <w:r w:rsidR="0066456D" w:rsidRPr="00F77C0C">
        <w:t>Deshaies</w:t>
      </w:r>
      <w:proofErr w:type="spellEnd"/>
      <w:r w:rsidR="0066456D" w:rsidRPr="00F77C0C">
        <w:t xml:space="preserve"> – Guadeloupe</w:t>
      </w:r>
      <w:r w:rsidR="00F77C0C">
        <w:t xml:space="preserve"> » (2022) </w:t>
      </w:r>
      <w:r w:rsidR="0066456D">
        <w:t>qui apportent de nouveaux éléments :</w:t>
      </w:r>
    </w:p>
    <w:p w:rsidR="0023315F" w:rsidRDefault="006B1FBC">
      <w:pPr>
        <w:rPr>
          <w:rStyle w:val="Lienhypertexte"/>
        </w:rPr>
      </w:pPr>
      <w:hyperlink r:id="rId13" w:history="1">
        <w:r w:rsidR="0066456D" w:rsidRPr="00825E51">
          <w:rPr>
            <w:rStyle w:val="Lienhypertexte"/>
          </w:rPr>
          <w:t>https://www.editionsjasor.fr/product-page/autopsie-d-un-crash-a%C3%A9rien-22-juin-2022-deshaies-guadeloupe</w:t>
        </w:r>
      </w:hyperlink>
    </w:p>
    <w:p w:rsidR="00D01871" w:rsidRDefault="00D01871"/>
    <w:p w:rsidR="009755FB" w:rsidRDefault="009755FB">
      <w:pPr>
        <w:rPr>
          <w:b/>
        </w:rPr>
      </w:pPr>
      <w:r w:rsidRPr="009755FB">
        <w:rPr>
          <w:b/>
        </w:rPr>
        <w:t>3 Les désillusion</w:t>
      </w:r>
      <w:r w:rsidR="00DC61A7">
        <w:rPr>
          <w:b/>
        </w:rPr>
        <w:t>s</w:t>
      </w:r>
      <w:r w:rsidRPr="009755FB">
        <w:rPr>
          <w:b/>
        </w:rPr>
        <w:t xml:space="preserve"> de la loi de</w:t>
      </w:r>
      <w:r w:rsidR="00077637">
        <w:rPr>
          <w:b/>
        </w:rPr>
        <w:t xml:space="preserve"> d</w:t>
      </w:r>
      <w:r w:rsidRPr="009755FB">
        <w:rPr>
          <w:b/>
        </w:rPr>
        <w:t>épartementalisation de 1946</w:t>
      </w:r>
    </w:p>
    <w:p w:rsidR="00334460" w:rsidRDefault="00CD02A3" w:rsidP="00ED0E8A">
      <w:pPr>
        <w:rPr>
          <w:rStyle w:val="2phjq"/>
        </w:rPr>
      </w:pPr>
      <w:r>
        <w:t>Au-delà</w:t>
      </w:r>
      <w:r w:rsidR="003B58BB">
        <w:t xml:space="preserve"> d</w:t>
      </w:r>
      <w:r w:rsidR="001626D1">
        <w:t xml:space="preserve">u crash, cet </w:t>
      </w:r>
      <w:r w:rsidR="00DC61A7">
        <w:t>évènement</w:t>
      </w:r>
      <w:r w:rsidR="001626D1">
        <w:t xml:space="preserve"> nous donne l’occasion de nous attarder sur les </w:t>
      </w:r>
      <w:r w:rsidR="003B58BB">
        <w:t>raisons des mouvements autonomistes</w:t>
      </w:r>
      <w:r w:rsidR="001626D1">
        <w:t xml:space="preserve"> du début des années 60</w:t>
      </w:r>
      <w:r w:rsidR="00E772FB">
        <w:t xml:space="preserve"> </w:t>
      </w:r>
      <w:r w:rsidR="001626D1">
        <w:t>(</w:t>
      </w:r>
      <w:r w:rsidR="00104B33">
        <w:t xml:space="preserve">comme le </w:t>
      </w:r>
      <w:r w:rsidR="003B58BB" w:rsidRPr="007C6740">
        <w:rPr>
          <w:rStyle w:val="2phjq"/>
        </w:rPr>
        <w:t>FAGA</w:t>
      </w:r>
      <w:r w:rsidR="0023315F">
        <w:rPr>
          <w:rStyle w:val="2phjq"/>
        </w:rPr>
        <w:t xml:space="preserve"> en 1961</w:t>
      </w:r>
      <w:r w:rsidR="00104B33">
        <w:rPr>
          <w:rStyle w:val="2phjq"/>
        </w:rPr>
        <w:t xml:space="preserve"> ou l’</w:t>
      </w:r>
      <w:r w:rsidR="003B58BB" w:rsidRPr="003B58BB">
        <w:rPr>
          <w:rStyle w:val="2phjq"/>
        </w:rPr>
        <w:t>Organisation de la Jeunesse Anticolonialiste de la Martinique</w:t>
      </w:r>
      <w:r w:rsidR="001626D1">
        <w:rPr>
          <w:rStyle w:val="2phjq"/>
        </w:rPr>
        <w:t xml:space="preserve"> – </w:t>
      </w:r>
      <w:r w:rsidR="003B58BB">
        <w:rPr>
          <w:rStyle w:val="2phjq"/>
        </w:rPr>
        <w:t>OJAM</w:t>
      </w:r>
      <w:r w:rsidR="001626D1">
        <w:rPr>
          <w:rStyle w:val="2phjq"/>
        </w:rPr>
        <w:t xml:space="preserve"> </w:t>
      </w:r>
      <w:r w:rsidR="0023315F">
        <w:rPr>
          <w:rStyle w:val="2phjq"/>
        </w:rPr>
        <w:t>en 1962</w:t>
      </w:r>
      <w:r w:rsidR="001626D1">
        <w:rPr>
          <w:rStyle w:val="2phjq"/>
        </w:rPr>
        <w:t>)</w:t>
      </w:r>
      <w:r w:rsidR="0023315F">
        <w:rPr>
          <w:rStyle w:val="2phjq"/>
        </w:rPr>
        <w:t>.</w:t>
      </w:r>
      <w:r w:rsidR="00625424">
        <w:rPr>
          <w:rStyle w:val="2phjq"/>
        </w:rPr>
        <w:t xml:space="preserve"> </w:t>
      </w:r>
      <w:r w:rsidR="00077637">
        <w:rPr>
          <w:rStyle w:val="2phjq"/>
        </w:rPr>
        <w:t>Ces mouvements</w:t>
      </w:r>
      <w:r w:rsidR="00104B33">
        <w:rPr>
          <w:rStyle w:val="2phjq"/>
        </w:rPr>
        <w:t xml:space="preserve"> </w:t>
      </w:r>
      <w:r w:rsidR="00077637">
        <w:rPr>
          <w:rStyle w:val="2phjq"/>
        </w:rPr>
        <w:t xml:space="preserve">prennent </w:t>
      </w:r>
      <w:r w:rsidR="00104B33">
        <w:rPr>
          <w:rStyle w:val="2phjq"/>
        </w:rPr>
        <w:t xml:space="preserve">entre autres </w:t>
      </w:r>
      <w:r w:rsidR="00077637">
        <w:rPr>
          <w:rStyle w:val="2phjq"/>
        </w:rPr>
        <w:t xml:space="preserve">leur origine dans la </w:t>
      </w:r>
      <w:r w:rsidR="003D29C3">
        <w:rPr>
          <w:rStyle w:val="2phjq"/>
        </w:rPr>
        <w:t>frustration</w:t>
      </w:r>
      <w:r w:rsidR="00334460">
        <w:rPr>
          <w:rStyle w:val="2phjq"/>
        </w:rPr>
        <w:t xml:space="preserve"> engendrée </w:t>
      </w:r>
      <w:r w:rsidR="00077637">
        <w:rPr>
          <w:rStyle w:val="2phjq"/>
        </w:rPr>
        <w:t xml:space="preserve">par l’écart entre les aspirations qu’a fait naitre la loi de départementalisation de 1946 et </w:t>
      </w:r>
      <w:r w:rsidR="003D29C3">
        <w:rPr>
          <w:rStyle w:val="2phjq"/>
        </w:rPr>
        <w:t>les réalités quotidiennes</w:t>
      </w:r>
      <w:r w:rsidR="00334460">
        <w:rPr>
          <w:rStyle w:val="2phjq"/>
        </w:rPr>
        <w:t xml:space="preserve"> des populations</w:t>
      </w:r>
      <w:r w:rsidR="00077637">
        <w:rPr>
          <w:rStyle w:val="2phjq"/>
        </w:rPr>
        <w:t>.</w:t>
      </w:r>
      <w:r w:rsidR="003D29C3">
        <w:rPr>
          <w:rStyle w:val="2phjq"/>
        </w:rPr>
        <w:t xml:space="preserve"> En transformant les </w:t>
      </w:r>
      <w:r w:rsidR="003D29C3" w:rsidRPr="008D2944">
        <w:rPr>
          <w:rStyle w:val="2phjq"/>
        </w:rPr>
        <w:t>« quatre vieilles colonies »</w:t>
      </w:r>
      <w:r w:rsidR="00FE5581">
        <w:rPr>
          <w:rStyle w:val="2phjq"/>
        </w:rPr>
        <w:t xml:space="preserve"> (Guadeloupe, Martinique, Réunion et </w:t>
      </w:r>
      <w:r w:rsidR="00C90EA7">
        <w:rPr>
          <w:rStyle w:val="2phjq"/>
        </w:rPr>
        <w:t xml:space="preserve">Guyane) </w:t>
      </w:r>
      <w:r w:rsidR="003D29C3">
        <w:rPr>
          <w:rStyle w:val="2phjq"/>
        </w:rPr>
        <w:t>en département français</w:t>
      </w:r>
      <w:r w:rsidR="00334460">
        <w:rPr>
          <w:rStyle w:val="2phjq"/>
        </w:rPr>
        <w:t xml:space="preserve">, </w:t>
      </w:r>
      <w:r w:rsidR="003D29C3">
        <w:rPr>
          <w:rStyle w:val="2phjq"/>
        </w:rPr>
        <w:t xml:space="preserve">cette loi avait pour but de réduire l’écart entre la métropole et les territoires d’outre-mer en assurant que les </w:t>
      </w:r>
      <w:r w:rsidR="003D29C3" w:rsidRPr="003D29C3">
        <w:rPr>
          <w:rStyle w:val="2phjq"/>
          <w:i/>
        </w:rPr>
        <w:t>lois et décrets actuellement en vigueur dans la France métropolitaine et qui ne sont pas encore appliqués à ces colonies</w:t>
      </w:r>
      <w:r w:rsidR="003D29C3">
        <w:rPr>
          <w:rStyle w:val="2phjq"/>
        </w:rPr>
        <w:t xml:space="preserve"> fassent </w:t>
      </w:r>
      <w:r w:rsidR="003D29C3" w:rsidRPr="003D29C3">
        <w:rPr>
          <w:rStyle w:val="2phjq"/>
          <w:i/>
        </w:rPr>
        <w:t>l'objet de décrets d'application à ces nouveaux départements.</w:t>
      </w:r>
      <w:r w:rsidR="00F819B5">
        <w:rPr>
          <w:rStyle w:val="2phjq"/>
        </w:rPr>
        <w:t xml:space="preserve"> </w:t>
      </w:r>
    </w:p>
    <w:p w:rsidR="003D29C3" w:rsidRPr="00F819B5" w:rsidRDefault="00F819B5" w:rsidP="00ED0E8A">
      <w:pPr>
        <w:rPr>
          <w:rStyle w:val="2phjq"/>
        </w:rPr>
      </w:pPr>
      <w:r>
        <w:rPr>
          <w:rStyle w:val="2phjq"/>
        </w:rPr>
        <w:t xml:space="preserve">En effet, à la sortie de la Seconde Guerre Mondiale les populations </w:t>
      </w:r>
      <w:r w:rsidR="00DC61A7">
        <w:rPr>
          <w:rStyle w:val="2phjq"/>
        </w:rPr>
        <w:t>vivent</w:t>
      </w:r>
      <w:r>
        <w:rPr>
          <w:rStyle w:val="2phjq"/>
        </w:rPr>
        <w:t xml:space="preserve"> dans une pauvreté </w:t>
      </w:r>
      <w:r w:rsidR="00DC61A7">
        <w:rPr>
          <w:rStyle w:val="2phjq"/>
        </w:rPr>
        <w:t>extrême</w:t>
      </w:r>
      <w:r w:rsidR="00FA2A5A">
        <w:rPr>
          <w:rStyle w:val="2phjq"/>
        </w:rPr>
        <w:t xml:space="preserve"> comme le rappelle le député Aimé Césaire :</w:t>
      </w:r>
    </w:p>
    <w:p w:rsidR="006B1FBC" w:rsidRDefault="003E4503" w:rsidP="003E4503">
      <w:pPr>
        <w:jc w:val="both"/>
        <w:rPr>
          <w:i/>
        </w:rPr>
      </w:pPr>
      <w:r w:rsidRPr="003E4503">
        <w:rPr>
          <w:i/>
        </w:rPr>
        <w:t xml:space="preserve"> « Mesdames, messieurs, c’est là un fait sur lequel il convient d’insister : dans ces territoires où la nature s’est montrée magnifiquement dangereuse règne la misère la plus injustifiable. Il faut, en particulier, avoir visité les Antilles pour comprendre ce qu’il y a de faux dans la propagande officielle qui tend à les présenter comme un paradis terrestre. En réalité, dans des paysages qui comptent parmi les plus beaux du monde on ne tarde pas à découvrir des témoignages révoltants de l’injustice sociale. A côté du château où habite le féodal – l’ancien possesseur d’esclaves – voici la case la paillote avec son sol de terre battue, son grabat, son humble vaisselle, son cloisonnement de toile grossière tapissée de vieux </w:t>
      </w:r>
    </w:p>
    <w:p w:rsidR="00004093" w:rsidRPr="006B1FBC" w:rsidRDefault="006B1FBC" w:rsidP="003E4503">
      <w:pPr>
        <w:jc w:val="both"/>
        <w:rPr>
          <w:i/>
        </w:rPr>
      </w:pPr>
      <w:r>
        <w:rPr>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49027</wp:posOffset>
            </wp:positionV>
            <wp:extent cx="3424555" cy="2193290"/>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4555" cy="21932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E4503" w:rsidRPr="003E4503">
        <w:rPr>
          <w:i/>
        </w:rPr>
        <w:t>journaux</w:t>
      </w:r>
      <w:proofErr w:type="gramEnd"/>
      <w:r w:rsidR="003E4503" w:rsidRPr="003E4503">
        <w:rPr>
          <w:i/>
        </w:rPr>
        <w:t xml:space="preserve">. Le père et la mère sont aux champs. </w:t>
      </w:r>
      <w:r w:rsidR="00E772FB" w:rsidRPr="003E4503">
        <w:rPr>
          <w:i/>
        </w:rPr>
        <w:t>Les enfants</w:t>
      </w:r>
      <w:r w:rsidR="003E4503" w:rsidRPr="003E4503">
        <w:rPr>
          <w:i/>
        </w:rPr>
        <w:t xml:space="preserve"> y seront dès huit ans ; ils feront partie de ce qu’on appelle là-bas « les petites bandes » d’un terme qui rappelle assez curieusement « les petites hordes » de Fourier. La tâche est rude sous le soleil ardent ou parmi les piqûres de moustiques. Au bout de quelques années, pour celui qui s’y adonne et qui n’a pour tromper sa faim que les fruits cuits à l’eau de l’arbre à pain, il y a la maladie et l’usure prématurée. Voilà la vie que mènent les trois quarts de la population de nos îles. »</w:t>
      </w:r>
    </w:p>
    <w:p w:rsidR="003E4503" w:rsidRDefault="00004093" w:rsidP="003E4503">
      <w:pPr>
        <w:jc w:val="both"/>
      </w:pPr>
      <w:r>
        <w:t>Extrait du d</w:t>
      </w:r>
      <w:r w:rsidR="003E4503" w:rsidRPr="003E4503">
        <w:t>iscours d’Aimé Césaire devant l’Assemblée nationale constituante, le 12 mars 1946</w:t>
      </w:r>
      <w:r w:rsidR="003E4503">
        <w:t> :</w:t>
      </w:r>
    </w:p>
    <w:p w:rsidR="003D29C3" w:rsidRPr="003E4503" w:rsidRDefault="006B1FBC" w:rsidP="003E4503">
      <w:pPr>
        <w:jc w:val="both"/>
      </w:pPr>
      <w:hyperlink r:id="rId15" w:history="1">
        <w:r w:rsidR="003E4503" w:rsidRPr="00825E51">
          <w:rPr>
            <w:rStyle w:val="Lienhypertexte"/>
          </w:rPr>
          <w:t>http://www.lameca.org/publications-numeriques/dossiers-et-articles/departementalisation-la-guadeloupe-de-1946/les-discours-aime-cesaire/</w:t>
        </w:r>
      </w:hyperlink>
      <w:r w:rsidR="003E4503" w:rsidRPr="003E4503">
        <w:t>)</w:t>
      </w:r>
    </w:p>
    <w:p w:rsidR="00CD100D" w:rsidRDefault="00FA2A5A" w:rsidP="00CD100D">
      <w:pPr>
        <w:jc w:val="both"/>
        <w:rPr>
          <w:rStyle w:val="2phjq"/>
        </w:rPr>
      </w:pPr>
      <w:r>
        <w:rPr>
          <w:rStyle w:val="2phjq"/>
        </w:rPr>
        <w:t xml:space="preserve">Il n’est donc pas étonnant que cette loi, </w:t>
      </w:r>
      <w:r w:rsidR="00625424">
        <w:rPr>
          <w:rStyle w:val="2phjq"/>
        </w:rPr>
        <w:t xml:space="preserve">votée sous le </w:t>
      </w:r>
      <w:r w:rsidR="00625424" w:rsidRPr="00625424">
        <w:rPr>
          <w:rStyle w:val="2phjq"/>
        </w:rPr>
        <w:t>Gouvernement provisoire de la République française</w:t>
      </w:r>
      <w:r>
        <w:rPr>
          <w:rStyle w:val="2phjq"/>
        </w:rPr>
        <w:t>,</w:t>
      </w:r>
      <w:r w:rsidR="00334460">
        <w:rPr>
          <w:rStyle w:val="2phjq"/>
        </w:rPr>
        <w:t xml:space="preserve"> créa </w:t>
      </w:r>
      <w:r w:rsidR="00625424">
        <w:rPr>
          <w:rStyle w:val="2phjq"/>
        </w:rPr>
        <w:t>une grande attente</w:t>
      </w:r>
      <w:r>
        <w:rPr>
          <w:rStyle w:val="2phjq"/>
        </w:rPr>
        <w:t>, en particulier dans le domaine social</w:t>
      </w:r>
      <w:r w:rsidR="008D2944">
        <w:rPr>
          <w:rStyle w:val="2phjq"/>
        </w:rPr>
        <w:t xml:space="preserve">. </w:t>
      </w:r>
      <w:r w:rsidR="00004093">
        <w:rPr>
          <w:rStyle w:val="2phjq"/>
        </w:rPr>
        <w:t>Car c’est justement dans le domaine social</w:t>
      </w:r>
      <w:r w:rsidR="00334460">
        <w:rPr>
          <w:rStyle w:val="2phjq"/>
        </w:rPr>
        <w:t xml:space="preserve">, </w:t>
      </w:r>
      <w:r w:rsidR="00FE5581">
        <w:rPr>
          <w:rStyle w:val="2phjq"/>
        </w:rPr>
        <w:t>avec l’extension de la législation sur la sécurité sociale</w:t>
      </w:r>
      <w:r w:rsidR="00334460">
        <w:rPr>
          <w:rStyle w:val="2phjq"/>
        </w:rPr>
        <w:t xml:space="preserve">, </w:t>
      </w:r>
      <w:r w:rsidR="00FE5581">
        <w:rPr>
          <w:rStyle w:val="2phjq"/>
        </w:rPr>
        <w:t>que les espoirs étaient les plus nombreux. Cependant</w:t>
      </w:r>
      <w:r w:rsidR="00334460">
        <w:rPr>
          <w:rStyle w:val="2phjq"/>
        </w:rPr>
        <w:t xml:space="preserve"> cette extension se mit en place très lentement </w:t>
      </w:r>
      <w:r w:rsidR="00CD100D">
        <w:rPr>
          <w:rStyle w:val="2phjq"/>
        </w:rPr>
        <w:t>comme le note Jacques Dumont</w:t>
      </w:r>
      <w:r w:rsidR="00334460">
        <w:rPr>
          <w:rStyle w:val="2phjq"/>
        </w:rPr>
        <w:t xml:space="preserve"> dans son article : </w:t>
      </w:r>
      <w:r w:rsidR="00CD100D" w:rsidRPr="00CD100D">
        <w:rPr>
          <w:rStyle w:val="2phjq"/>
          <w:i/>
        </w:rPr>
        <w:t>« Cette extension, sans doute la mesure la plus attendue et la plus emblématique d’une justice sociale étendue à l’outre-mer, tarde à être étendue aux Antilles. »</w:t>
      </w:r>
      <w:r w:rsidR="00CD100D">
        <w:rPr>
          <w:rStyle w:val="2phjq"/>
        </w:rPr>
        <w:t>.</w:t>
      </w:r>
    </w:p>
    <w:p w:rsidR="00B46DAA" w:rsidRPr="00CD100D" w:rsidRDefault="00F77C0C" w:rsidP="00CD100D">
      <w:pPr>
        <w:jc w:val="both"/>
        <w:rPr>
          <w:rStyle w:val="2phjq"/>
        </w:rPr>
      </w:pPr>
      <w:r>
        <w:rPr>
          <w:bCs/>
        </w:rPr>
        <w:t>« </w:t>
      </w:r>
      <w:r w:rsidR="00CD100D" w:rsidRPr="00CD100D">
        <w:rPr>
          <w:bCs/>
        </w:rPr>
        <w:t>La quête de l'égalité aux Antilles : la départementalisation et les manifestations des années 1950</w:t>
      </w:r>
      <w:r>
        <w:rPr>
          <w:bCs/>
        </w:rPr>
        <w:t xml:space="preserve"> » (2010) </w:t>
      </w:r>
      <w:r w:rsidR="00CD100D" w:rsidRPr="00CD100D">
        <w:rPr>
          <w:b/>
          <w:bCs/>
          <w:i/>
        </w:rPr>
        <w:t xml:space="preserve"> </w:t>
      </w:r>
      <w:hyperlink r:id="rId16" w:history="1">
        <w:r w:rsidR="00CD100D" w:rsidRPr="004F04F4">
          <w:rPr>
            <w:rStyle w:val="Lienhypertexte"/>
          </w:rPr>
          <w:t>https://www.cairn.info/revue-le-mouvement-social-2010-1-page-79.htm</w:t>
        </w:r>
      </w:hyperlink>
      <w:r w:rsidR="00CD100D">
        <w:rPr>
          <w:rStyle w:val="2phjq"/>
        </w:rPr>
        <w:t>, page 85</w:t>
      </w:r>
    </w:p>
    <w:p w:rsidR="00104B33" w:rsidRDefault="00334460" w:rsidP="00FA2A5A">
      <w:pPr>
        <w:jc w:val="both"/>
        <w:rPr>
          <w:rStyle w:val="2phjq"/>
        </w:rPr>
      </w:pPr>
      <w:r>
        <w:rPr>
          <w:rStyle w:val="2phjq"/>
        </w:rPr>
        <w:t xml:space="preserve">Pour donner une idée des conditions matérielles des Antilles françaises au début des années 50, citons les chiffres repris par </w:t>
      </w:r>
      <w:r w:rsidRPr="00C85CED">
        <w:rPr>
          <w:rStyle w:val="2phjq"/>
        </w:rPr>
        <w:t>Maël LAVENAIRE</w:t>
      </w:r>
      <w:r>
        <w:rPr>
          <w:rStyle w:val="2phjq"/>
        </w:rPr>
        <w:t xml:space="preserve"> : </w:t>
      </w:r>
      <w:r w:rsidR="00936D9C">
        <w:rPr>
          <w:rStyle w:val="2phjq"/>
        </w:rPr>
        <w:t xml:space="preserve">En 1954 </w:t>
      </w:r>
      <w:r w:rsidR="008D2944">
        <w:rPr>
          <w:rStyle w:val="2phjq"/>
        </w:rPr>
        <w:t>seulement</w:t>
      </w:r>
      <w:r w:rsidR="00C85CED">
        <w:rPr>
          <w:rStyle w:val="2phjq"/>
        </w:rPr>
        <w:t xml:space="preserve"> </w:t>
      </w:r>
      <w:r w:rsidR="008D2944" w:rsidRPr="008D2944">
        <w:rPr>
          <w:rStyle w:val="2phjq"/>
        </w:rPr>
        <w:t>5,5%</w:t>
      </w:r>
      <w:r w:rsidR="008D2944">
        <w:rPr>
          <w:rStyle w:val="2phjq"/>
        </w:rPr>
        <w:t xml:space="preserve"> des logements en Guadeloup</w:t>
      </w:r>
      <w:r w:rsidR="00C85CED">
        <w:rPr>
          <w:rStyle w:val="2phjq"/>
        </w:rPr>
        <w:t xml:space="preserve">e et </w:t>
      </w:r>
      <w:r w:rsidR="008D2944">
        <w:rPr>
          <w:rStyle w:val="2phjq"/>
        </w:rPr>
        <w:t>12,5% en Martinique</w:t>
      </w:r>
      <w:r w:rsidR="00C85CED">
        <w:rPr>
          <w:rStyle w:val="2phjq"/>
        </w:rPr>
        <w:t xml:space="preserve"> </w:t>
      </w:r>
      <w:r w:rsidR="008D2944" w:rsidRPr="008D2944">
        <w:rPr>
          <w:rStyle w:val="2phjq"/>
        </w:rPr>
        <w:t>bénéfici</w:t>
      </w:r>
      <w:r w:rsidR="008D2944">
        <w:rPr>
          <w:rStyle w:val="2phjq"/>
        </w:rPr>
        <w:t xml:space="preserve">ent </w:t>
      </w:r>
      <w:r w:rsidR="008D2944" w:rsidRPr="008D2944">
        <w:rPr>
          <w:rStyle w:val="2phjq"/>
        </w:rPr>
        <w:t>de l’électricité et de l’eau courante</w:t>
      </w:r>
      <w:r w:rsidR="00C85CED">
        <w:rPr>
          <w:rStyle w:val="2phjq"/>
        </w:rPr>
        <w:t xml:space="preserve"> (tableau 11 de la thèse de </w:t>
      </w:r>
      <w:r w:rsidR="00C85CED" w:rsidRPr="00C85CED">
        <w:rPr>
          <w:rStyle w:val="2phjq"/>
        </w:rPr>
        <w:t>Maël LAVENAIRE</w:t>
      </w:r>
      <w:r w:rsidR="00C85CED">
        <w:rPr>
          <w:rStyle w:val="2phjq"/>
        </w:rPr>
        <w:t xml:space="preserve">, </w:t>
      </w:r>
      <w:r w:rsidR="00C85CED" w:rsidRPr="00C85CED">
        <w:rPr>
          <w:rStyle w:val="2phjq"/>
          <w:i/>
        </w:rPr>
        <w:t>Décolonisation et changement social aux Antilles françaises</w:t>
      </w:r>
      <w:r w:rsidR="00C85CED">
        <w:rPr>
          <w:rStyle w:val="2phjq"/>
        </w:rPr>
        <w:t>, soutenue en 2017)</w:t>
      </w:r>
      <w:r w:rsidR="00263D3A">
        <w:rPr>
          <w:rStyle w:val="2phjq"/>
        </w:rPr>
        <w:t>.</w:t>
      </w:r>
      <w:r w:rsidR="002765C9">
        <w:rPr>
          <w:rStyle w:val="2phjq"/>
        </w:rPr>
        <w:t xml:space="preserve"> </w:t>
      </w:r>
    </w:p>
    <w:p w:rsidR="00334460" w:rsidRDefault="00334460" w:rsidP="008D2944">
      <w:r>
        <w:rPr>
          <w:rStyle w:val="2phjq"/>
        </w:rPr>
        <w:t xml:space="preserve">Si des </w:t>
      </w:r>
      <w:r w:rsidR="00F77C0C">
        <w:rPr>
          <w:rStyle w:val="2phjq"/>
        </w:rPr>
        <w:t>explications au décalage d’application de la sécurité sociale existent</w:t>
      </w:r>
      <w:r>
        <w:rPr>
          <w:rStyle w:val="2phjq"/>
        </w:rPr>
        <w:t xml:space="preserve"> bien (voir notamment </w:t>
      </w:r>
      <w:r w:rsidR="00F77C0C">
        <w:rPr>
          <w:rStyle w:val="2phjq"/>
        </w:rPr>
        <w:t xml:space="preserve">l’article de Roméo </w:t>
      </w:r>
      <w:proofErr w:type="spellStart"/>
      <w:r w:rsidR="00F77C0C">
        <w:rPr>
          <w:rStyle w:val="2phjq"/>
        </w:rPr>
        <w:t>Terral</w:t>
      </w:r>
      <w:proofErr w:type="spellEnd"/>
      <w:r w:rsidR="00F77C0C">
        <w:rPr>
          <w:rStyle w:val="2phjq"/>
        </w:rPr>
        <w:t xml:space="preserve"> « </w:t>
      </w:r>
      <w:r w:rsidR="00F77C0C" w:rsidRPr="00F77C0C">
        <w:t>Soixante ans d'extension de la législation sociale dans les DOM : l'exemple de la Guadeloupe aux Antilles françaises (1946-2006)</w:t>
      </w:r>
      <w:r>
        <w:t xml:space="preserve"> »), elles ne sont pas toujours </w:t>
      </w:r>
      <w:proofErr w:type="spellStart"/>
      <w:r>
        <w:t>convaincates</w:t>
      </w:r>
      <w:proofErr w:type="spellEnd"/>
      <w:r>
        <w:t>.</w:t>
      </w:r>
    </w:p>
    <w:p w:rsidR="00F77C0C" w:rsidRDefault="00D21EE8" w:rsidP="008D2944">
      <w:r>
        <w:t>Ainsi, les mouvements autonomistes prennent leur racine dans un sentiment, celui d’une France à deux vitesses. Mais au-delà de l</w:t>
      </w:r>
      <w:r w:rsidR="007A4D4C">
        <w:t>’assimilation juridique</w:t>
      </w:r>
      <w:r>
        <w:t xml:space="preserve"> (qui nous l’avons vu ne fut pas immédiate), </w:t>
      </w:r>
      <w:r w:rsidR="007A4D4C">
        <w:t xml:space="preserve">c’est la notion </w:t>
      </w:r>
      <w:r w:rsidR="00F53FEE">
        <w:t>même</w:t>
      </w:r>
      <w:r w:rsidR="007A4D4C">
        <w:t xml:space="preserve"> d’assimilation</w:t>
      </w:r>
      <w:r>
        <w:t xml:space="preserve"> (culturelle) </w:t>
      </w:r>
      <w:r w:rsidR="007A4D4C">
        <w:t>qui</w:t>
      </w:r>
      <w:r>
        <w:t xml:space="preserve"> </w:t>
      </w:r>
      <w:r w:rsidR="007A4D4C">
        <w:t>cause</w:t>
      </w:r>
      <w:r>
        <w:t xml:space="preserve"> problème. Imposition de force et résistance sur fond de précarité matérielle</w:t>
      </w:r>
      <w:r w:rsidR="001301EB">
        <w:t xml:space="preserve"> sont des idées qui permettent sans doute d’analyser et comprendre les évènements </w:t>
      </w:r>
      <w:r w:rsidR="007A4D4C">
        <w:t>de décembre 1959 et</w:t>
      </w:r>
      <w:r w:rsidR="001301EB">
        <w:t xml:space="preserve"> </w:t>
      </w:r>
      <w:r w:rsidR="007A4D4C">
        <w:t xml:space="preserve">mars 1961 en Martinique, de mai </w:t>
      </w:r>
      <w:r w:rsidR="00F53FEE">
        <w:t>1967 en Guadeloupe, et d</w:t>
      </w:r>
      <w:r w:rsidR="001301EB">
        <w:t xml:space="preserve">e </w:t>
      </w:r>
      <w:r w:rsidR="00F53FEE">
        <w:t>juin 1962 en Guyane.</w:t>
      </w:r>
    </w:p>
    <w:p w:rsidR="00452224" w:rsidRDefault="00C90EA7" w:rsidP="00452224">
      <w:pPr>
        <w:rPr>
          <w:b/>
        </w:rPr>
      </w:pPr>
      <w:r>
        <w:rPr>
          <w:b/>
        </w:rPr>
        <w:t>4</w:t>
      </w:r>
      <w:r w:rsidR="00452224" w:rsidRPr="009755FB">
        <w:rPr>
          <w:b/>
        </w:rPr>
        <w:t xml:space="preserve"> </w:t>
      </w:r>
      <w:r w:rsidR="00C509B9">
        <w:rPr>
          <w:b/>
        </w:rPr>
        <w:t xml:space="preserve">La situation sociale actuelle </w:t>
      </w:r>
    </w:p>
    <w:p w:rsidR="00452224" w:rsidRDefault="00C90EA7" w:rsidP="008D2944">
      <w:r>
        <w:t>Si l’extension de la sécurité sociale</w:t>
      </w:r>
      <w:r w:rsidR="003C02F4">
        <w:t xml:space="preserve"> </w:t>
      </w:r>
      <w:r>
        <w:t>pri</w:t>
      </w:r>
      <w:r w:rsidR="003C02F4">
        <w:t xml:space="preserve">t </w:t>
      </w:r>
      <w:r>
        <w:t xml:space="preserve">du temps à se mettre en place </w:t>
      </w:r>
      <w:r w:rsidR="007F47D3">
        <w:t xml:space="preserve">aux Antilles-Guyane </w:t>
      </w:r>
      <w:r>
        <w:t>dans</w:t>
      </w:r>
      <w:r w:rsidR="007F47D3">
        <w:t xml:space="preserve"> les années 50, il </w:t>
      </w:r>
      <w:r w:rsidR="00822573">
        <w:t>est clair que de nos jours la situation est radicalement différente</w:t>
      </w:r>
      <w:r w:rsidR="002943FD">
        <w:t xml:space="preserve">, </w:t>
      </w:r>
      <w:r w:rsidR="00822573">
        <w:t xml:space="preserve">avec les abus que nous connaissons malheureusement </w:t>
      </w:r>
      <w:r w:rsidR="00822573" w:rsidRPr="006111F9">
        <w:rPr>
          <w:b/>
          <w:color w:val="1F3864" w:themeColor="accent1" w:themeShade="80"/>
        </w:rPr>
        <w:t>(Graphique 1)</w:t>
      </w:r>
      <w:r w:rsidR="00822573">
        <w:t>.</w:t>
      </w:r>
      <w:r w:rsidR="006111F9">
        <w:t xml:space="preserve"> Les populations ultramarines cumulent pourtant encore de nombreux handicaps, en particulier les jeunes </w:t>
      </w:r>
      <w:r w:rsidR="006111F9" w:rsidRPr="006111F9">
        <w:rPr>
          <w:b/>
          <w:color w:val="1F3864" w:themeColor="accent1" w:themeShade="80"/>
        </w:rPr>
        <w:t xml:space="preserve">(Graphique </w:t>
      </w:r>
      <w:r w:rsidR="006111F9">
        <w:rPr>
          <w:b/>
          <w:color w:val="1F3864" w:themeColor="accent1" w:themeShade="80"/>
        </w:rPr>
        <w:t>2</w:t>
      </w:r>
      <w:r w:rsidR="006111F9" w:rsidRPr="006111F9">
        <w:rPr>
          <w:b/>
          <w:color w:val="1F3864" w:themeColor="accent1" w:themeShade="80"/>
        </w:rPr>
        <w:t>)</w:t>
      </w:r>
      <w:r w:rsidR="00C509B9" w:rsidRPr="00C509B9">
        <w:rPr>
          <w:color w:val="1F3864" w:themeColor="accent1" w:themeShade="80"/>
        </w:rPr>
        <w:t>.</w:t>
      </w:r>
      <w:r w:rsidR="00C509B9">
        <w:rPr>
          <w:color w:val="1F3864" w:themeColor="accent1" w:themeShade="80"/>
        </w:rPr>
        <w:t xml:space="preserve"> </w:t>
      </w:r>
      <w:r w:rsidR="00C509B9">
        <w:t xml:space="preserve">Cinq ans après la </w:t>
      </w:r>
      <w:r w:rsidR="00C509B9" w:rsidRPr="00C509B9">
        <w:t xml:space="preserve">loi pour </w:t>
      </w:r>
      <w:r w:rsidR="00C509B9" w:rsidRPr="00C509B9">
        <w:lastRenderedPageBreak/>
        <w:t>l’égalité réelle en Outre-mer</w:t>
      </w:r>
      <w:r w:rsidR="00C509B9">
        <w:t xml:space="preserve"> (portée par le député Victorin </w:t>
      </w:r>
      <w:proofErr w:type="spellStart"/>
      <w:r w:rsidR="00C509B9">
        <w:t>Lurel</w:t>
      </w:r>
      <w:proofErr w:type="spellEnd"/>
      <w:r w:rsidR="00C509B9">
        <w:t>),</w:t>
      </w:r>
      <w:r w:rsidR="00574C67">
        <w:t xml:space="preserve"> il reste un long chemin à parcourir comme en témoigne </w:t>
      </w:r>
      <w:r w:rsidR="003C02F4">
        <w:t xml:space="preserve">par exemple </w:t>
      </w:r>
      <w:r w:rsidR="00574C67">
        <w:t xml:space="preserve">le problème des sargasses : </w:t>
      </w:r>
      <w:hyperlink r:id="rId17" w:history="1">
        <w:r w:rsidR="00574C67" w:rsidRPr="004F04F4">
          <w:rPr>
            <w:rStyle w:val="Lienhypertexte"/>
          </w:rPr>
          <w:t>https://www.lemonde.fr/planete/article/2022/05/17/algues-sargasses-aux-antilles-on-craint-le-pire_6126405_3244.html</w:t>
        </w:r>
      </w:hyperlink>
    </w:p>
    <w:p w:rsidR="00574C67" w:rsidRDefault="00574C67" w:rsidP="008D2944"/>
    <w:p w:rsidR="00B40CEF" w:rsidRDefault="00B40CEF" w:rsidP="008D2944">
      <w:r>
        <w:rPr>
          <w:noProof/>
        </w:rPr>
        <w:drawing>
          <wp:inline distT="0" distB="0" distL="0" distR="0" wp14:anchorId="6221A996" wp14:editId="473C3B65">
            <wp:extent cx="5760720" cy="5339751"/>
            <wp:effectExtent l="0" t="0" r="0" b="0"/>
            <wp:docPr id="4" name="Graphique 4">
              <a:extLst xmlns:a="http://schemas.openxmlformats.org/drawingml/2006/main">
                <a:ext uri="{FF2B5EF4-FFF2-40B4-BE49-F238E27FC236}">
                  <a16:creationId xmlns:a16="http://schemas.microsoft.com/office/drawing/2014/main" id="{4117E478-321B-48DA-BE48-F28901AF1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EB60EA" w:rsidRDefault="00EB60EA" w:rsidP="008D2944"/>
    <w:p w:rsidR="002943FD" w:rsidRDefault="00BB6851" w:rsidP="008D2944">
      <w:r>
        <w:rPr>
          <w:noProof/>
        </w:rPr>
        <w:drawing>
          <wp:inline distT="0" distB="0" distL="0" distR="0" wp14:anchorId="4917EABB" wp14:editId="44902A62">
            <wp:extent cx="5967754" cy="3717985"/>
            <wp:effectExtent l="0" t="0" r="0" b="0"/>
            <wp:docPr id="5" name="Graphique 5">
              <a:extLst xmlns:a="http://schemas.openxmlformats.org/drawingml/2006/main">
                <a:ext uri="{FF2B5EF4-FFF2-40B4-BE49-F238E27FC236}">
                  <a16:creationId xmlns:a16="http://schemas.microsoft.com/office/drawing/2014/main" id="{67CB5E0E-DAD3-455B-BF3A-DBC4FF70E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60EA" w:rsidRDefault="00EB60EA" w:rsidP="008D2944"/>
    <w:p w:rsidR="00EB60EA" w:rsidRDefault="00EB60EA" w:rsidP="00EB60EA">
      <w:pPr>
        <w:rPr>
          <w:b/>
        </w:rPr>
      </w:pPr>
      <w:r w:rsidRPr="00EB60EA">
        <w:rPr>
          <w:b/>
        </w:rPr>
        <w:t xml:space="preserve">5 San </w:t>
      </w:r>
      <w:proofErr w:type="spellStart"/>
      <w:r w:rsidRPr="00EB60EA">
        <w:rPr>
          <w:b/>
        </w:rPr>
        <w:t>menm</w:t>
      </w:r>
      <w:proofErr w:type="spellEnd"/>
      <w:r w:rsidRPr="00EB60EA">
        <w:rPr>
          <w:b/>
        </w:rPr>
        <w:t xml:space="preserve"> ou </w:t>
      </w:r>
      <w:proofErr w:type="spellStart"/>
      <w:r w:rsidRPr="00EB60EA">
        <w:rPr>
          <w:b/>
        </w:rPr>
        <w:t>suiv</w:t>
      </w:r>
      <w:proofErr w:type="spellEnd"/>
      <w:r w:rsidRPr="00EB60EA">
        <w:rPr>
          <w:b/>
        </w:rPr>
        <w:t xml:space="preserve"> </w:t>
      </w:r>
      <w:proofErr w:type="spellStart"/>
      <w:r w:rsidRPr="00EB60EA">
        <w:rPr>
          <w:b/>
        </w:rPr>
        <w:t>fron</w:t>
      </w:r>
      <w:proofErr w:type="spellEnd"/>
      <w:r w:rsidRPr="00EB60EA">
        <w:rPr>
          <w:b/>
        </w:rPr>
        <w:t xml:space="preserve"> </w:t>
      </w:r>
      <w:proofErr w:type="spellStart"/>
      <w:r w:rsidRPr="00EB60EA">
        <w:rPr>
          <w:b/>
        </w:rPr>
        <w:t>aw</w:t>
      </w:r>
      <w:proofErr w:type="spellEnd"/>
      <w:r w:rsidRPr="00EB60EA">
        <w:rPr>
          <w:b/>
        </w:rPr>
        <w:t xml:space="preserve"> </w:t>
      </w:r>
      <w:proofErr w:type="spellStart"/>
      <w:r w:rsidRPr="00EB60EA">
        <w:rPr>
          <w:b/>
        </w:rPr>
        <w:t>ja</w:t>
      </w:r>
      <w:proofErr w:type="spellEnd"/>
      <w:r w:rsidRPr="00EB60EA">
        <w:rPr>
          <w:b/>
        </w:rPr>
        <w:t xml:space="preserve"> troué. An dé </w:t>
      </w:r>
      <w:proofErr w:type="spellStart"/>
      <w:r w:rsidRPr="00EB60EA">
        <w:rPr>
          <w:b/>
        </w:rPr>
        <w:t>segonn</w:t>
      </w:r>
      <w:proofErr w:type="spellEnd"/>
      <w:r>
        <w:rPr>
          <w:b/>
        </w:rPr>
        <w:t xml:space="preserve"> a</w:t>
      </w:r>
      <w:r w:rsidRPr="00EB60EA">
        <w:rPr>
          <w:b/>
        </w:rPr>
        <w:t xml:space="preserve">n bal an </w:t>
      </w:r>
      <w:proofErr w:type="spellStart"/>
      <w:r w:rsidRPr="00EB60EA">
        <w:rPr>
          <w:b/>
        </w:rPr>
        <w:t>tèt</w:t>
      </w:r>
      <w:proofErr w:type="spellEnd"/>
      <w:r w:rsidRPr="00EB60EA">
        <w:rPr>
          <w:b/>
        </w:rPr>
        <w:t xml:space="preserve"> ou té mal </w:t>
      </w:r>
      <w:proofErr w:type="spellStart"/>
      <w:r w:rsidRPr="00EB60EA">
        <w:rPr>
          <w:b/>
        </w:rPr>
        <w:t>plasé</w:t>
      </w:r>
      <w:proofErr w:type="spellEnd"/>
      <w:r>
        <w:rPr>
          <w:b/>
        </w:rPr>
        <w:t>*</w:t>
      </w:r>
      <w:r w:rsidR="00FB775F">
        <w:rPr>
          <w:b/>
        </w:rPr>
        <w:t> :</w:t>
      </w:r>
      <w:r w:rsidR="00053CA7">
        <w:rPr>
          <w:b/>
        </w:rPr>
        <w:t xml:space="preserve"> Une analyse de la violence en France métropolitaine et les Outre-mer</w:t>
      </w:r>
    </w:p>
    <w:p w:rsidR="00EB60EA" w:rsidRPr="00EB60EA" w:rsidRDefault="00EB60EA" w:rsidP="00EB60EA">
      <w:pPr>
        <w:rPr>
          <w:b/>
        </w:rPr>
      </w:pPr>
      <w:r w:rsidRPr="00EB60EA">
        <w:rPr>
          <w:i/>
        </w:rPr>
        <w:t>*Sans même t’en rendre compte ton front est troué. En deux secondes une balle dans la tête tu étais au mauvais endroit</w:t>
      </w:r>
      <w:r w:rsidR="00C9518C">
        <w:t xml:space="preserve"> – </w:t>
      </w:r>
      <w:proofErr w:type="spellStart"/>
      <w:r w:rsidR="00C9518C">
        <w:t>Fuckly</w:t>
      </w:r>
      <w:proofErr w:type="spellEnd"/>
      <w:r w:rsidR="00C9518C">
        <w:t xml:space="preserve"> « An Ni Marre » (2001)</w:t>
      </w:r>
    </w:p>
    <w:p w:rsidR="00FB775F" w:rsidRDefault="00FB775F" w:rsidP="00EB60EA"/>
    <w:p w:rsidR="00EB60EA" w:rsidRDefault="003C02F4" w:rsidP="00EB60EA">
      <w:r>
        <w:t>D’a</w:t>
      </w:r>
      <w:r w:rsidR="00FB775F">
        <w:t>ussi loin que je me souvienne, j’ai</w:t>
      </w:r>
      <w:r w:rsidR="00053CA7">
        <w:t xml:space="preserve"> </w:t>
      </w:r>
      <w:r w:rsidR="00FB775F">
        <w:t xml:space="preserve">toujours eu un sentiment instinctif de la violence dans la société guadeloupéenne. </w:t>
      </w:r>
      <w:r w:rsidR="00053CA7">
        <w:t>Ce sentiment s’est renforcé avec les nombreux témoignages de mon frère</w:t>
      </w:r>
      <w:r w:rsidR="00F63B6A">
        <w:t xml:space="preserve">, la </w:t>
      </w:r>
      <w:r w:rsidR="00053CA7">
        <w:t>lecture de la presse</w:t>
      </w:r>
      <w:r w:rsidR="00F63B6A">
        <w:t>, ou d’un essai comme celui de Matthieu Gama « Le jour où les Antilles feront peuple » (2020)</w:t>
      </w:r>
      <w:r w:rsidR="00053CA7">
        <w:t>. Cependant un sentime</w:t>
      </w:r>
      <w:r w:rsidR="00F63B6A">
        <w:t>nt n’est pas un fait</w:t>
      </w:r>
      <w:r>
        <w:t xml:space="preserve">, </w:t>
      </w:r>
      <w:r w:rsidR="00F63B6A">
        <w:t>et il peut être intéressant d’analyser ce que nous dise</w:t>
      </w:r>
      <w:r>
        <w:t xml:space="preserve">nt </w:t>
      </w:r>
      <w:r w:rsidR="00F63B6A">
        <w:t>les faits sur cette supposée caractéristique de nos territoires.</w:t>
      </w:r>
    </w:p>
    <w:p w:rsidR="00F63B6A" w:rsidRPr="00F63B6A" w:rsidRDefault="00F63B6A" w:rsidP="00EB60EA">
      <w:pPr>
        <w:rPr>
          <w:b/>
        </w:rPr>
      </w:pPr>
      <w:r w:rsidRPr="00F63B6A">
        <w:rPr>
          <w:b/>
        </w:rPr>
        <w:t>5.1 Méthode</w:t>
      </w:r>
    </w:p>
    <w:p w:rsidR="00053CA7" w:rsidRDefault="00F63B6A" w:rsidP="00EB60EA">
      <w:r>
        <w:t xml:space="preserve">Je collecte la base </w:t>
      </w:r>
      <w:r w:rsidRPr="00F63B6A">
        <w:t>départementale des principaux indicateurs des crimes et délits enregistrés par la police et la gendarmerie nationales</w:t>
      </w:r>
      <w:r>
        <w:t xml:space="preserve"> : </w:t>
      </w:r>
      <w:hyperlink r:id="rId20" w:history="1">
        <w:r w:rsidRPr="004F04F4">
          <w:rPr>
            <w:rStyle w:val="Lienhypertexte"/>
          </w:rPr>
          <w:t>https://www.data.gouv.fr/fr/datasets/bases-communale-et-departementale-des-principaux-indicateurs-des-crimes-et-delits-enregistres-par-la-police-et-la-gendarmerie-nationales/</w:t>
        </w:r>
      </w:hyperlink>
      <w:r>
        <w:t>.</w:t>
      </w:r>
    </w:p>
    <w:p w:rsidR="00F63B6A" w:rsidRDefault="00F63B6A" w:rsidP="00EB60EA">
      <w:r>
        <w:t>Le fichier nous donne des informations sur les indicateurs suivants :</w:t>
      </w:r>
    </w:p>
    <w:p w:rsidR="00E73C53" w:rsidRDefault="00E73C53" w:rsidP="00E73C53">
      <w:r w:rsidRPr="00E73C53">
        <w:lastRenderedPageBreak/>
        <w:t>1 Coups et blessures volontaires sur personnes de 15 ans ou plu</w:t>
      </w:r>
      <w:r>
        <w:t>s</w:t>
      </w:r>
    </w:p>
    <w:p w:rsidR="00E73C53" w:rsidRDefault="00E73C53" w:rsidP="00E73C53">
      <w:r>
        <w:t>2</w:t>
      </w:r>
      <w:r w:rsidRPr="00E73C53">
        <w:t xml:space="preserve"> Violences sexuelles</w:t>
      </w:r>
    </w:p>
    <w:p w:rsidR="00E73C53" w:rsidRPr="00E73C53" w:rsidRDefault="00E73C53" w:rsidP="00E73C53">
      <w:r>
        <w:t>3</w:t>
      </w:r>
      <w:r w:rsidRPr="00E73C53">
        <w:t>Vols avec armes</w:t>
      </w:r>
    </w:p>
    <w:p w:rsidR="00E73C53" w:rsidRPr="00E73C53" w:rsidRDefault="00E73C53" w:rsidP="00E73C53">
      <w:r>
        <w:t xml:space="preserve">4 </w:t>
      </w:r>
      <w:r w:rsidRPr="00E73C53">
        <w:t>Vols violents sans arme</w:t>
      </w:r>
    </w:p>
    <w:p w:rsidR="00E73C53" w:rsidRPr="00E73C53" w:rsidRDefault="00E73C53" w:rsidP="00E73C53">
      <w:r>
        <w:t xml:space="preserve">5 </w:t>
      </w:r>
      <w:r w:rsidRPr="00E73C53">
        <w:t>Vols sans violence contre des personnes</w:t>
      </w:r>
    </w:p>
    <w:p w:rsidR="00E73C53" w:rsidRPr="00E73C53" w:rsidRDefault="00E73C53" w:rsidP="00E73C53">
      <w:r>
        <w:t xml:space="preserve">6 </w:t>
      </w:r>
      <w:r w:rsidRPr="00E73C53">
        <w:t>Cambriolages de logement</w:t>
      </w:r>
    </w:p>
    <w:p w:rsidR="00E73C53" w:rsidRPr="00E73C53" w:rsidRDefault="00E73C53" w:rsidP="00E73C53">
      <w:r>
        <w:t xml:space="preserve">7 </w:t>
      </w:r>
      <w:r w:rsidRPr="00E73C53">
        <w:t>Vols de véhicules</w:t>
      </w:r>
    </w:p>
    <w:p w:rsidR="00E73C53" w:rsidRPr="00E73C53" w:rsidRDefault="00E73C53" w:rsidP="00E73C53">
      <w:r>
        <w:t xml:space="preserve">8 </w:t>
      </w:r>
      <w:r w:rsidRPr="00E73C53">
        <w:t>Vols dans les véhicules</w:t>
      </w:r>
    </w:p>
    <w:p w:rsidR="00E73C53" w:rsidRDefault="00E73C53" w:rsidP="00EB60EA">
      <w:r>
        <w:t xml:space="preserve">9 </w:t>
      </w:r>
      <w:r w:rsidRPr="00E73C53">
        <w:t>Vols d'accessoires sur véhicules</w:t>
      </w:r>
    </w:p>
    <w:p w:rsidR="001B197F" w:rsidRDefault="00E73C53" w:rsidP="001B197F">
      <w:r>
        <w:t>Sont indiqués, le nombre de faits</w:t>
      </w:r>
      <w:r w:rsidR="001B197F">
        <w:t xml:space="preserve"> </w:t>
      </w:r>
      <w:r w:rsidR="001B197F" w:rsidRPr="001B197F">
        <w:t>de délinquance enregistrés</w:t>
      </w:r>
      <w:r w:rsidR="001B197F">
        <w:t xml:space="preserve"> et le taux pour mille (c’est-à-dire le nombre de faits pour mille habitants) avec un découpage régional et départemental pour différentes années (2016 à 2021). Je récupère les informations pour l’année 2021 et garde le taux pour mille pour les 101 départements.</w:t>
      </w:r>
    </w:p>
    <w:p w:rsidR="00F814E1" w:rsidRDefault="00F814E1" w:rsidP="001B197F"/>
    <w:p w:rsidR="00F814E1" w:rsidRDefault="00F814E1" w:rsidP="001B197F">
      <w:pPr>
        <w:rPr>
          <w:b/>
        </w:rPr>
      </w:pPr>
      <w:r w:rsidRPr="00F63B6A">
        <w:rPr>
          <w:b/>
        </w:rPr>
        <w:t>5.</w:t>
      </w:r>
      <w:r>
        <w:rPr>
          <w:b/>
        </w:rPr>
        <w:t>2</w:t>
      </w:r>
      <w:r w:rsidRPr="00F63B6A">
        <w:rPr>
          <w:b/>
        </w:rPr>
        <w:t xml:space="preserve"> </w:t>
      </w:r>
      <w:r>
        <w:rPr>
          <w:b/>
        </w:rPr>
        <w:t>Résultats</w:t>
      </w:r>
    </w:p>
    <w:p w:rsidR="00476A9B" w:rsidRDefault="00476A9B" w:rsidP="001B197F">
      <w:r>
        <w:t>J’utilise les neuf indicateurs dans une analyse en composantes principales (ACP) pour faire apparaitre</w:t>
      </w:r>
      <w:r w:rsidR="00924C46">
        <w:t xml:space="preserve"> (</w:t>
      </w:r>
      <w:r>
        <w:t>de façon synthétique</w:t>
      </w:r>
      <w:r w:rsidR="00924C46">
        <w:t xml:space="preserve">) </w:t>
      </w:r>
      <w:r>
        <w:t>les principaux axes de différenciation entre les départements</w:t>
      </w:r>
      <w:r w:rsidR="00924C46">
        <w:t xml:space="preserve"> </w:t>
      </w:r>
      <w:r w:rsidR="00924C46" w:rsidRPr="006111F9">
        <w:rPr>
          <w:b/>
          <w:color w:val="1F3864" w:themeColor="accent1" w:themeShade="80"/>
        </w:rPr>
        <w:t>(Graphique</w:t>
      </w:r>
      <w:r w:rsidR="00924C46">
        <w:rPr>
          <w:b/>
          <w:color w:val="1F3864" w:themeColor="accent1" w:themeShade="80"/>
        </w:rPr>
        <w:t xml:space="preserve"> 3</w:t>
      </w:r>
      <w:r w:rsidR="00924C46" w:rsidRPr="006111F9">
        <w:rPr>
          <w:b/>
          <w:color w:val="1F3864" w:themeColor="accent1" w:themeShade="80"/>
        </w:rPr>
        <w:t>)</w:t>
      </w:r>
    </w:p>
    <w:p w:rsidR="006340D4" w:rsidRPr="006B1FBC" w:rsidRDefault="00924C46" w:rsidP="001B197F">
      <w:pPr>
        <w:rPr>
          <w:sz w:val="24"/>
        </w:rPr>
      </w:pPr>
      <w:r w:rsidRPr="00924C46">
        <w:rPr>
          <w:noProof/>
          <w:sz w:val="24"/>
        </w:rPr>
        <mc:AlternateContent>
          <mc:Choice Requires="wps">
            <w:drawing>
              <wp:anchor distT="0" distB="0" distL="114300" distR="114300" simplePos="0" relativeHeight="251663360" behindDoc="0" locked="0" layoutInCell="1" allowOverlap="1" wp14:anchorId="0BB22A16" wp14:editId="4D054D28">
                <wp:simplePos x="0" y="0"/>
                <wp:positionH relativeFrom="margin">
                  <wp:posOffset>310360</wp:posOffset>
                </wp:positionH>
                <wp:positionV relativeFrom="paragraph">
                  <wp:posOffset>148374</wp:posOffset>
                </wp:positionV>
                <wp:extent cx="6150634" cy="292735"/>
                <wp:effectExtent l="0" t="0" r="0" b="0"/>
                <wp:wrapNone/>
                <wp:docPr id="10"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6150634" cy="2927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C46" w:rsidRPr="00924C46" w:rsidRDefault="00924C46" w:rsidP="00924C46">
                            <w:pPr>
                              <w:pStyle w:val="NormalWeb"/>
                              <w:spacing w:before="0" w:beforeAutospacing="0" w:after="0" w:afterAutospacing="0"/>
                            </w:pPr>
                            <w:r w:rsidRPr="00924C46">
                              <w:rPr>
                                <w:rFonts w:asciiTheme="minorHAnsi" w:hAnsi="Calibri" w:cs="Arial"/>
                                <w:b/>
                                <w:bCs/>
                                <w:color w:val="1F3864" w:themeColor="accent1" w:themeShade="80"/>
                              </w:rPr>
                              <w:t xml:space="preserve">Graphique 3 </w:t>
                            </w:r>
                            <w:r w:rsidRPr="00924C46">
                              <w:rPr>
                                <w:rFonts w:asciiTheme="minorHAnsi" w:hAnsi="Calibri" w:cs="Arial"/>
                                <w:b/>
                                <w:bCs/>
                                <w:color w:val="000000"/>
                              </w:rPr>
                              <w:t>– Projection des indicateurs sur les deux premiers axes factoriels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BB22A16" id="Rectangle 1" o:spid="_x0000_s1026" style="position:absolute;margin-left:24.45pt;margin-top:11.7pt;width:484.3pt;height:2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" filled="f" stroked="f" strokeweight="1pt">
                <v:textbox>
                  <w:txbxContent>
                    <w:p w:rsidR="00924C46" w:rsidRPr="00924C46" w:rsidRDefault="00924C46" w:rsidP="00924C46">
                      <w:pPr>
                        <w:pStyle w:val="NormalWeb"/>
                        <w:spacing w:before="0" w:beforeAutospacing="0" w:after="0" w:afterAutospacing="0"/>
                      </w:pPr>
                      <w:r w:rsidRPr="00924C46">
                        <w:rPr>
                          <w:rFonts w:asciiTheme="minorHAnsi" w:hAnsi="Calibri" w:cs="Arial"/>
                          <w:b/>
                          <w:bCs/>
                          <w:color w:val="1F3864" w:themeColor="accent1" w:themeShade="80"/>
                        </w:rPr>
                        <w:t xml:space="preserve">Graphique 3 </w:t>
                      </w:r>
                      <w:r w:rsidRPr="00924C46">
                        <w:rPr>
                          <w:rFonts w:asciiTheme="minorHAnsi" w:hAnsi="Calibri" w:cs="Arial"/>
                          <w:b/>
                          <w:bCs/>
                          <w:color w:val="000000"/>
                        </w:rPr>
                        <w:t>– Projection des indicateurs sur les deux premiers axes factoriels</w:t>
                      </w:r>
                    </w:p>
                  </w:txbxContent>
                </v:textbox>
                <w10:wrap anchorx="margin"/>
              </v:rect>
            </w:pict>
          </mc:Fallback>
        </mc:AlternateContent>
      </w:r>
    </w:p>
    <w:p w:rsidR="006340D4" w:rsidRDefault="006340D4" w:rsidP="001B197F">
      <w:bookmarkStart w:id="0" w:name="_GoBack"/>
      <w:r>
        <w:rPr>
          <w:noProof/>
        </w:rPr>
        <w:lastRenderedPageBreak/>
        <w:drawing>
          <wp:inline distT="0" distB="0" distL="0" distR="0">
            <wp:extent cx="5615796" cy="4714972"/>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7024" cy="4724399"/>
                    </a:xfrm>
                    <a:prstGeom prst="rect">
                      <a:avLst/>
                    </a:prstGeom>
                    <a:noFill/>
                    <a:ln>
                      <a:noFill/>
                    </a:ln>
                  </pic:spPr>
                </pic:pic>
              </a:graphicData>
            </a:graphic>
          </wp:inline>
        </w:drawing>
      </w:r>
      <w:bookmarkEnd w:id="0"/>
    </w:p>
    <w:p w:rsidR="00924C46" w:rsidRDefault="00D01871" w:rsidP="001B197F">
      <w:r>
        <w:t xml:space="preserve">Le premier axe oppose </w:t>
      </w:r>
      <w:r w:rsidR="00916AEB">
        <w:t>les départements avec les plus forts taux de crimes et délits de toute nature avec les autres départements caractérisés par des taux plus faibles. Le second axe oppose les départements</w:t>
      </w:r>
      <w:r w:rsidR="00C96804">
        <w:t xml:space="preserve"> selon le degré de violence des délits. Le cadran nord-est décrit les départements avec les taux de crimes et délits les plus élevés et les plus graves. Le cadran sud-est décrit les départements avec les taux de crimes et délits les plus élevés mais les moins</w:t>
      </w:r>
      <w:r w:rsidR="004B14C1">
        <w:t xml:space="preserve"> violents</w:t>
      </w:r>
      <w:r w:rsidR="00C96804">
        <w:t>. Le cadran nord-ouest décrit les départements avec les taux de crimes et délits les plus faibles mais les plus</w:t>
      </w:r>
      <w:r w:rsidR="004B14C1">
        <w:t xml:space="preserve"> violents</w:t>
      </w:r>
      <w:r w:rsidR="00C96804">
        <w:t>. Enfin le cadran sud-ouest décrit les départements avec les taux de crimes et délits les plus faibles</w:t>
      </w:r>
      <w:r w:rsidR="004B14C1">
        <w:t xml:space="preserve"> et les moins violents.</w:t>
      </w:r>
      <w:r w:rsidR="0061422B">
        <w:t xml:space="preserve"> Le </w:t>
      </w:r>
      <w:r w:rsidR="0061422B" w:rsidRPr="003C02F4">
        <w:rPr>
          <w:b/>
          <w:color w:val="1F3864" w:themeColor="accent1" w:themeShade="80"/>
        </w:rPr>
        <w:t>graphique 4</w:t>
      </w:r>
      <w:r w:rsidR="0061422B">
        <w:t xml:space="preserve"> représente le nuage des départements.</w:t>
      </w:r>
    </w:p>
    <w:p w:rsidR="0060070B" w:rsidRDefault="0060070B" w:rsidP="001B197F">
      <w:r w:rsidRPr="00924C46">
        <w:rPr>
          <w:noProof/>
          <w:sz w:val="24"/>
        </w:rPr>
        <mc:AlternateContent>
          <mc:Choice Requires="wps">
            <w:drawing>
              <wp:anchor distT="0" distB="0" distL="114300" distR="114300" simplePos="0" relativeHeight="251665408" behindDoc="0" locked="0" layoutInCell="1" allowOverlap="1" wp14:anchorId="33781235" wp14:editId="205F407D">
                <wp:simplePos x="0" y="0"/>
                <wp:positionH relativeFrom="margin">
                  <wp:posOffset>0</wp:posOffset>
                </wp:positionH>
                <wp:positionV relativeFrom="paragraph">
                  <wp:posOffset>-635</wp:posOffset>
                </wp:positionV>
                <wp:extent cx="6150634" cy="292735"/>
                <wp:effectExtent l="0" t="0" r="0" b="0"/>
                <wp:wrapNone/>
                <wp:docPr id="3"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6150634" cy="2927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70B" w:rsidRPr="00924C46" w:rsidRDefault="0060070B" w:rsidP="0060070B">
                            <w:pPr>
                              <w:pStyle w:val="NormalWeb"/>
                              <w:spacing w:before="0" w:beforeAutospacing="0" w:after="0" w:afterAutospacing="0"/>
                            </w:pPr>
                            <w:r w:rsidRPr="00924C46">
                              <w:rPr>
                                <w:rFonts w:asciiTheme="minorHAnsi" w:hAnsi="Calibri" w:cs="Arial"/>
                                <w:b/>
                                <w:bCs/>
                                <w:color w:val="1F3864" w:themeColor="accent1" w:themeShade="80"/>
                              </w:rPr>
                              <w:t xml:space="preserve">Graphique </w:t>
                            </w:r>
                            <w:r>
                              <w:rPr>
                                <w:rFonts w:asciiTheme="minorHAnsi" w:hAnsi="Calibri" w:cs="Arial"/>
                                <w:b/>
                                <w:bCs/>
                                <w:color w:val="1F3864" w:themeColor="accent1" w:themeShade="80"/>
                              </w:rPr>
                              <w:t>4</w:t>
                            </w:r>
                            <w:r w:rsidRPr="00924C46">
                              <w:rPr>
                                <w:rFonts w:asciiTheme="minorHAnsi" w:hAnsi="Calibri" w:cs="Arial"/>
                                <w:b/>
                                <w:bCs/>
                                <w:color w:val="1F3864" w:themeColor="accent1" w:themeShade="80"/>
                              </w:rPr>
                              <w:t xml:space="preserve"> </w:t>
                            </w:r>
                            <w:r w:rsidRPr="00924C46">
                              <w:rPr>
                                <w:rFonts w:asciiTheme="minorHAnsi" w:hAnsi="Calibri" w:cs="Arial"/>
                                <w:b/>
                                <w:bCs/>
                                <w:color w:val="000000"/>
                              </w:rPr>
                              <w:t>– Projection de</w:t>
                            </w:r>
                            <w:r>
                              <w:rPr>
                                <w:rFonts w:asciiTheme="minorHAnsi" w:hAnsi="Calibri" w:cs="Arial"/>
                                <w:b/>
                                <w:bCs/>
                                <w:color w:val="000000"/>
                              </w:rPr>
                              <w:t xml:space="preserve">s départements </w:t>
                            </w:r>
                            <w:r w:rsidRPr="00924C46">
                              <w:rPr>
                                <w:rFonts w:asciiTheme="minorHAnsi" w:hAnsi="Calibri" w:cs="Arial"/>
                                <w:b/>
                                <w:bCs/>
                                <w:color w:val="000000"/>
                              </w:rPr>
                              <w:t>sur les deux premiers axes factoriels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3781235" id="_x0000_s1027" style="position:absolute;margin-left:0;margin-top:-.05pt;width:484.3pt;height:23.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" filled="f" stroked="f" strokeweight="1pt">
                <v:textbox>
                  <w:txbxContent>
                    <w:p w:rsidR="0060070B" w:rsidRPr="00924C46" w:rsidRDefault="0060070B" w:rsidP="0060070B">
                      <w:pPr>
                        <w:pStyle w:val="NormalWeb"/>
                        <w:spacing w:before="0" w:beforeAutospacing="0" w:after="0" w:afterAutospacing="0"/>
                      </w:pPr>
                      <w:r w:rsidRPr="00924C46">
                        <w:rPr>
                          <w:rFonts w:asciiTheme="minorHAnsi" w:hAnsi="Calibri" w:cs="Arial"/>
                          <w:b/>
                          <w:bCs/>
                          <w:color w:val="1F3864" w:themeColor="accent1" w:themeShade="80"/>
                        </w:rPr>
                        <w:t xml:space="preserve">Graphique </w:t>
                      </w:r>
                      <w:r>
                        <w:rPr>
                          <w:rFonts w:asciiTheme="minorHAnsi" w:hAnsi="Calibri" w:cs="Arial"/>
                          <w:b/>
                          <w:bCs/>
                          <w:color w:val="1F3864" w:themeColor="accent1" w:themeShade="80"/>
                        </w:rPr>
                        <w:t>4</w:t>
                      </w:r>
                      <w:r w:rsidRPr="00924C46">
                        <w:rPr>
                          <w:rFonts w:asciiTheme="minorHAnsi" w:hAnsi="Calibri" w:cs="Arial"/>
                          <w:b/>
                          <w:bCs/>
                          <w:color w:val="1F3864" w:themeColor="accent1" w:themeShade="80"/>
                        </w:rPr>
                        <w:t xml:space="preserve"> </w:t>
                      </w:r>
                      <w:r w:rsidRPr="00924C46">
                        <w:rPr>
                          <w:rFonts w:asciiTheme="minorHAnsi" w:hAnsi="Calibri" w:cs="Arial"/>
                          <w:b/>
                          <w:bCs/>
                          <w:color w:val="000000"/>
                        </w:rPr>
                        <w:t>– Projection de</w:t>
                      </w:r>
                      <w:r>
                        <w:rPr>
                          <w:rFonts w:asciiTheme="minorHAnsi" w:hAnsi="Calibri" w:cs="Arial"/>
                          <w:b/>
                          <w:bCs/>
                          <w:color w:val="000000"/>
                        </w:rPr>
                        <w:t xml:space="preserve">s départements </w:t>
                      </w:r>
                      <w:r w:rsidRPr="00924C46">
                        <w:rPr>
                          <w:rFonts w:asciiTheme="minorHAnsi" w:hAnsi="Calibri" w:cs="Arial"/>
                          <w:b/>
                          <w:bCs/>
                          <w:color w:val="000000"/>
                        </w:rPr>
                        <w:t>sur les deux premiers axes factoriels</w:t>
                      </w:r>
                    </w:p>
                  </w:txbxContent>
                </v:textbox>
                <w10:wrap anchorx="margin"/>
              </v:rect>
            </w:pict>
          </mc:Fallback>
        </mc:AlternateContent>
      </w:r>
    </w:p>
    <w:p w:rsidR="0060070B" w:rsidRDefault="00FA7CE5" w:rsidP="001B197F">
      <w:r w:rsidRPr="00FA7CE5">
        <w:rPr>
          <w:noProof/>
        </w:rPr>
        <w:lastRenderedPageBreak/>
        <mc:AlternateContent>
          <mc:Choice Requires="wps">
            <w:drawing>
              <wp:anchor distT="0" distB="0" distL="114300" distR="114300" simplePos="0" relativeHeight="251667456" behindDoc="0" locked="0" layoutInCell="1" allowOverlap="1" wp14:anchorId="5BE558E9" wp14:editId="33D1341B">
                <wp:simplePos x="0" y="0"/>
                <wp:positionH relativeFrom="column">
                  <wp:posOffset>178172</wp:posOffset>
                </wp:positionH>
                <wp:positionV relativeFrom="paragraph">
                  <wp:posOffset>4935435</wp:posOffset>
                </wp:positionV>
                <wp:extent cx="3357533" cy="358509"/>
                <wp:effectExtent l="0" t="0" r="0" b="3810"/>
                <wp:wrapNone/>
                <wp:docPr id="7"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3357533" cy="358509"/>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7CE5" w:rsidRDefault="00FA7CE5" w:rsidP="00FA7CE5">
                            <w:pPr>
                              <w:pStyle w:val="NormalWeb"/>
                              <w:spacing w:before="0" w:beforeAutospacing="0" w:after="0" w:afterAutospacing="0"/>
                            </w:pPr>
                            <w:proofErr w:type="gramStart"/>
                            <w:r>
                              <w:rPr>
                                <w:rFonts w:asciiTheme="minorHAnsi" w:hAnsi="Calibri" w:cs="Arial"/>
                                <w:b/>
                                <w:bCs/>
                                <w:color w:val="000000"/>
                                <w:sz w:val="18"/>
                                <w:szCs w:val="18"/>
                              </w:rPr>
                              <w:t>Champ</w:t>
                            </w:r>
                            <w:r>
                              <w:rPr>
                                <w:rFonts w:asciiTheme="minorHAnsi" w:hAnsi="Calibri" w:cs="Arial"/>
                                <w:color w:val="000000" w:themeColor="text1"/>
                                <w:sz w:val="18"/>
                                <w:szCs w:val="18"/>
                              </w:rPr>
                              <w:t>:</w:t>
                            </w:r>
                            <w:proofErr w:type="gramEnd"/>
                            <w:r>
                              <w:rPr>
                                <w:rFonts w:asciiTheme="minorHAnsi" w:hAnsi="Calibri" w:cs="Arial"/>
                                <w:color w:val="000000" w:themeColor="text1"/>
                                <w:sz w:val="18"/>
                                <w:szCs w:val="18"/>
                              </w:rPr>
                              <w:t xml:space="preserve"> Les </w:t>
                            </w:r>
                            <w:r w:rsidR="00C75D9C">
                              <w:rPr>
                                <w:rFonts w:asciiTheme="minorHAnsi" w:hAnsi="Calibri" w:cs="Arial"/>
                                <w:color w:val="000000" w:themeColor="text1"/>
                                <w:sz w:val="18"/>
                                <w:szCs w:val="18"/>
                              </w:rPr>
                              <w:t>départements</w:t>
                            </w:r>
                            <w:r>
                              <w:rPr>
                                <w:rFonts w:asciiTheme="minorHAnsi" w:hAnsi="Calibri" w:cs="Arial"/>
                                <w:color w:val="000000" w:themeColor="text1"/>
                                <w:sz w:val="18"/>
                                <w:szCs w:val="18"/>
                              </w:rPr>
                              <w:t xml:space="preserve"> français en 20</w:t>
                            </w:r>
                            <w:r>
                              <w:rPr>
                                <w:rFonts w:asciiTheme="minorHAnsi" w:hAnsi="Calibri" w:cs="Arial"/>
                                <w:color w:val="000000" w:themeColor="text1"/>
                                <w:sz w:val="18"/>
                                <w:szCs w:val="18"/>
                              </w:rPr>
                              <w:t>21</w:t>
                            </w:r>
                            <w:r>
                              <w:rPr>
                                <w:rFonts w:asciiTheme="minorHAnsi" w:hAnsi="Calibri" w:cs="Arial"/>
                                <w:color w:val="000000" w:themeColor="text1"/>
                                <w:sz w:val="18"/>
                                <w:szCs w:val="18"/>
                              </w:rPr>
                              <w:t>.</w:t>
                            </w:r>
                          </w:p>
                          <w:p w:rsidR="00FA7CE5" w:rsidRDefault="00FA7CE5" w:rsidP="00FA7CE5">
                            <w:pPr>
                              <w:pStyle w:val="NormalWeb"/>
                              <w:spacing w:before="0" w:beforeAutospacing="0" w:after="0" w:afterAutospacing="0"/>
                            </w:pPr>
                            <w:proofErr w:type="gramStart"/>
                            <w:r>
                              <w:rPr>
                                <w:rFonts w:asciiTheme="minorHAnsi" w:hAnsi="Calibri" w:cs="Arial"/>
                                <w:b/>
                                <w:bCs/>
                                <w:color w:val="000000" w:themeColor="text1"/>
                                <w:sz w:val="18"/>
                                <w:szCs w:val="18"/>
                              </w:rPr>
                              <w:t>Source</w:t>
                            </w:r>
                            <w:r>
                              <w:rPr>
                                <w:rFonts w:asciiTheme="minorHAnsi" w:hAnsi="Calibri" w:cs="Arial"/>
                                <w:color w:val="000000" w:themeColor="text1"/>
                                <w:sz w:val="18"/>
                                <w:szCs w:val="18"/>
                              </w:rPr>
                              <w:t>:</w:t>
                            </w:r>
                            <w:proofErr w:type="gramEnd"/>
                            <w:r>
                              <w:rPr>
                                <w:rFonts w:asciiTheme="minorHAnsi" w:hAnsi="Calibri" w:cs="Arial"/>
                                <w:color w:val="000000" w:themeColor="text1"/>
                                <w:sz w:val="18"/>
                                <w:szCs w:val="18"/>
                              </w:rPr>
                              <w:t xml:space="preserve"> </w:t>
                            </w:r>
                            <w:r>
                              <w:rPr>
                                <w:rFonts w:asciiTheme="minorHAnsi" w:hAnsi="Calibri" w:cs="Arial"/>
                                <w:color w:val="000000" w:themeColor="text1"/>
                                <w:sz w:val="18"/>
                                <w:szCs w:val="18"/>
                              </w:rPr>
                              <w:t>Ministère de l’intérieur</w:t>
                            </w:r>
                            <w:r>
                              <w:rPr>
                                <w:rFonts w:asciiTheme="minorHAnsi" w:hAnsi="Calibri" w:cs="Arial"/>
                                <w:color w:val="000000" w:themeColor="text1"/>
                                <w:sz w:val="18"/>
                                <w:szCs w:val="18"/>
                              </w:rPr>
                              <w:t>.</w:t>
                            </w:r>
                          </w:p>
                        </w:txbxContent>
                      </wps:txbx>
                      <wps:bodyPr wrap="square"/>
                    </wps:wsp>
                  </a:graphicData>
                </a:graphic>
                <wp14:sizeRelH relativeFrom="margin">
                  <wp14:pctWidth>0</wp14:pctWidth>
                </wp14:sizeRelH>
              </wp:anchor>
            </w:drawing>
          </mc:Choice>
          <mc:Fallback>
            <w:pict>
              <v:rect w14:anchorId="5BE558E9" id="_x0000_s1028" style="position:absolute;margin-left:14.05pt;margin-top:388.6pt;width:264.35pt;height:28.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" filled="f" stroked="f" strokeweight="1pt">
                <v:textbox>
                  <w:txbxContent>
                    <w:p w:rsidR="00FA7CE5" w:rsidRDefault="00FA7CE5" w:rsidP="00FA7CE5">
                      <w:pPr>
                        <w:pStyle w:val="NormalWeb"/>
                        <w:spacing w:before="0" w:beforeAutospacing="0" w:after="0" w:afterAutospacing="0"/>
                      </w:pPr>
                      <w:proofErr w:type="gramStart"/>
                      <w:r>
                        <w:rPr>
                          <w:rFonts w:asciiTheme="minorHAnsi" w:hAnsi="Calibri" w:cs="Arial"/>
                          <w:b/>
                          <w:bCs/>
                          <w:color w:val="000000"/>
                          <w:sz w:val="18"/>
                          <w:szCs w:val="18"/>
                        </w:rPr>
                        <w:t>Champ</w:t>
                      </w:r>
                      <w:r>
                        <w:rPr>
                          <w:rFonts w:asciiTheme="minorHAnsi" w:hAnsi="Calibri" w:cs="Arial"/>
                          <w:color w:val="000000" w:themeColor="text1"/>
                          <w:sz w:val="18"/>
                          <w:szCs w:val="18"/>
                        </w:rPr>
                        <w:t>:</w:t>
                      </w:r>
                      <w:proofErr w:type="gramEnd"/>
                      <w:r>
                        <w:rPr>
                          <w:rFonts w:asciiTheme="minorHAnsi" w:hAnsi="Calibri" w:cs="Arial"/>
                          <w:color w:val="000000" w:themeColor="text1"/>
                          <w:sz w:val="18"/>
                          <w:szCs w:val="18"/>
                        </w:rPr>
                        <w:t xml:space="preserve"> Les </w:t>
                      </w:r>
                      <w:r w:rsidR="00C75D9C">
                        <w:rPr>
                          <w:rFonts w:asciiTheme="minorHAnsi" w:hAnsi="Calibri" w:cs="Arial"/>
                          <w:color w:val="000000" w:themeColor="text1"/>
                          <w:sz w:val="18"/>
                          <w:szCs w:val="18"/>
                        </w:rPr>
                        <w:t>départements</w:t>
                      </w:r>
                      <w:r>
                        <w:rPr>
                          <w:rFonts w:asciiTheme="minorHAnsi" w:hAnsi="Calibri" w:cs="Arial"/>
                          <w:color w:val="000000" w:themeColor="text1"/>
                          <w:sz w:val="18"/>
                          <w:szCs w:val="18"/>
                        </w:rPr>
                        <w:t xml:space="preserve"> français en 20</w:t>
                      </w:r>
                      <w:r>
                        <w:rPr>
                          <w:rFonts w:asciiTheme="minorHAnsi" w:hAnsi="Calibri" w:cs="Arial"/>
                          <w:color w:val="000000" w:themeColor="text1"/>
                          <w:sz w:val="18"/>
                          <w:szCs w:val="18"/>
                        </w:rPr>
                        <w:t>21</w:t>
                      </w:r>
                      <w:r>
                        <w:rPr>
                          <w:rFonts w:asciiTheme="minorHAnsi" w:hAnsi="Calibri" w:cs="Arial"/>
                          <w:color w:val="000000" w:themeColor="text1"/>
                          <w:sz w:val="18"/>
                          <w:szCs w:val="18"/>
                        </w:rPr>
                        <w:t>.</w:t>
                      </w:r>
                    </w:p>
                    <w:p w:rsidR="00FA7CE5" w:rsidRDefault="00FA7CE5" w:rsidP="00FA7CE5">
                      <w:pPr>
                        <w:pStyle w:val="NormalWeb"/>
                        <w:spacing w:before="0" w:beforeAutospacing="0" w:after="0" w:afterAutospacing="0"/>
                      </w:pPr>
                      <w:proofErr w:type="gramStart"/>
                      <w:r>
                        <w:rPr>
                          <w:rFonts w:asciiTheme="minorHAnsi" w:hAnsi="Calibri" w:cs="Arial"/>
                          <w:b/>
                          <w:bCs/>
                          <w:color w:val="000000" w:themeColor="text1"/>
                          <w:sz w:val="18"/>
                          <w:szCs w:val="18"/>
                        </w:rPr>
                        <w:t>Source</w:t>
                      </w:r>
                      <w:r>
                        <w:rPr>
                          <w:rFonts w:asciiTheme="minorHAnsi" w:hAnsi="Calibri" w:cs="Arial"/>
                          <w:color w:val="000000" w:themeColor="text1"/>
                          <w:sz w:val="18"/>
                          <w:szCs w:val="18"/>
                        </w:rPr>
                        <w:t>:</w:t>
                      </w:r>
                      <w:proofErr w:type="gramEnd"/>
                      <w:r>
                        <w:rPr>
                          <w:rFonts w:asciiTheme="minorHAnsi" w:hAnsi="Calibri" w:cs="Arial"/>
                          <w:color w:val="000000" w:themeColor="text1"/>
                          <w:sz w:val="18"/>
                          <w:szCs w:val="18"/>
                        </w:rPr>
                        <w:t xml:space="preserve"> </w:t>
                      </w:r>
                      <w:r>
                        <w:rPr>
                          <w:rFonts w:asciiTheme="minorHAnsi" w:hAnsi="Calibri" w:cs="Arial"/>
                          <w:color w:val="000000" w:themeColor="text1"/>
                          <w:sz w:val="18"/>
                          <w:szCs w:val="18"/>
                        </w:rPr>
                        <w:t>Ministère de l’intérieur</w:t>
                      </w:r>
                      <w:r>
                        <w:rPr>
                          <w:rFonts w:asciiTheme="minorHAnsi" w:hAnsi="Calibri" w:cs="Arial"/>
                          <w:color w:val="000000" w:themeColor="text1"/>
                          <w:sz w:val="18"/>
                          <w:szCs w:val="18"/>
                        </w:rPr>
                        <w:t>.</w:t>
                      </w:r>
                    </w:p>
                  </w:txbxContent>
                </v:textbox>
              </v:rect>
            </w:pict>
          </mc:Fallback>
        </mc:AlternateContent>
      </w:r>
      <w:r w:rsidR="0060070B">
        <w:rPr>
          <w:noProof/>
        </w:rPr>
        <w:drawing>
          <wp:inline distT="0" distB="0" distL="0" distR="0">
            <wp:extent cx="5760720" cy="48281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828142"/>
                    </a:xfrm>
                    <a:prstGeom prst="rect">
                      <a:avLst/>
                    </a:prstGeom>
                    <a:noFill/>
                    <a:ln>
                      <a:noFill/>
                    </a:ln>
                  </pic:spPr>
                </pic:pic>
              </a:graphicData>
            </a:graphic>
          </wp:inline>
        </w:drawing>
      </w:r>
    </w:p>
    <w:p w:rsidR="003C02F4" w:rsidRDefault="003C02F4" w:rsidP="001B197F"/>
    <w:p w:rsidR="003C02F4" w:rsidRDefault="003C02F4" w:rsidP="001B197F"/>
    <w:p w:rsidR="003C02F4" w:rsidRDefault="00E023F0" w:rsidP="001B197F">
      <w:r>
        <w:t>La majorité des départements possède de faibles taux de délits.</w:t>
      </w:r>
      <w:r w:rsidR="008B150C">
        <w:t xml:space="preserve"> </w:t>
      </w:r>
      <w:r w:rsidR="003C02F4">
        <w:t>Les départements et régions d’outre-mer sont</w:t>
      </w:r>
      <w:r>
        <w:t xml:space="preserve"> caractérisés par des délits par habitant plus fréquents et plus grave, avec Mayotte dans une situation extrême.</w:t>
      </w:r>
    </w:p>
    <w:p w:rsidR="008B150C" w:rsidRDefault="008B150C" w:rsidP="008B150C">
      <w:pPr>
        <w:rPr>
          <w:b/>
        </w:rPr>
      </w:pPr>
      <w:r>
        <w:rPr>
          <w:b/>
        </w:rPr>
        <w:t>6</w:t>
      </w:r>
      <w:r w:rsidRPr="009755FB">
        <w:rPr>
          <w:b/>
        </w:rPr>
        <w:t xml:space="preserve"> </w:t>
      </w:r>
      <w:r>
        <w:rPr>
          <w:b/>
        </w:rPr>
        <w:t>Conclusion</w:t>
      </w:r>
    </w:p>
    <w:p w:rsidR="008B150C" w:rsidRDefault="008B150C" w:rsidP="001B197F">
      <w:r>
        <w:t xml:space="preserve">Les 60 ans du crash du </w:t>
      </w:r>
      <w:hyperlink r:id="rId23" w:tooltip="Boeing 707" w:history="1">
        <w:r w:rsidRPr="006E060C">
          <w:rPr>
            <w:rStyle w:val="Lienhypertexte"/>
            <w:color w:val="auto"/>
            <w:u w:val="none"/>
          </w:rPr>
          <w:t>Boeing 707</w:t>
        </w:r>
      </w:hyperlink>
      <w:r>
        <w:t>-</w:t>
      </w:r>
      <w:r w:rsidRPr="006E060C">
        <w:t>328</w:t>
      </w:r>
      <w:r>
        <w:t xml:space="preserve"> de la compagnie Air France nous ont donné l’occasion de faire découvrir une période de l’histoire de nos territoires.</w:t>
      </w:r>
      <w:r w:rsidR="005B67E7">
        <w:t xml:space="preserve"> Le chemin est encore long </w:t>
      </w:r>
      <w:r w:rsidR="00BD6823">
        <w:t>mais</w:t>
      </w:r>
      <w:r w:rsidR="005C01AF">
        <w:t>, comme Paul Niger, nous restons optimistes :</w:t>
      </w:r>
    </w:p>
    <w:p w:rsidR="00EB6C51" w:rsidRPr="00EB6C51" w:rsidRDefault="00EB6C51" w:rsidP="00EB6C51">
      <w:pPr>
        <w:rPr>
          <w:i/>
        </w:rPr>
      </w:pPr>
      <w:r>
        <w:rPr>
          <w:i/>
        </w:rPr>
        <w:t>« </w:t>
      </w:r>
      <w:r w:rsidRPr="00EB6C51">
        <w:rPr>
          <w:i/>
        </w:rPr>
        <w:t>Allons, la nuit déjà achève sa cadence</w:t>
      </w:r>
    </w:p>
    <w:p w:rsidR="00EB6C51" w:rsidRPr="00EB6C51" w:rsidRDefault="00EB6C51" w:rsidP="00EB6C51">
      <w:pPr>
        <w:rPr>
          <w:i/>
        </w:rPr>
      </w:pPr>
      <w:r w:rsidRPr="00EB6C51">
        <w:rPr>
          <w:i/>
        </w:rPr>
        <w:t>J ‘entends chanter la sève au cœur du flamboyan</w:t>
      </w:r>
      <w:r w:rsidRPr="00EB6C51">
        <w:rPr>
          <w:i/>
        </w:rPr>
        <w:t>t.</w:t>
      </w:r>
      <w:r>
        <w:rPr>
          <w:i/>
        </w:rPr>
        <w:t> »</w:t>
      </w:r>
    </w:p>
    <w:p w:rsidR="00EB6C51" w:rsidRPr="00EB6C51" w:rsidRDefault="00EB6C51" w:rsidP="00EB6C51">
      <w:pPr>
        <w:rPr>
          <w:i/>
        </w:rPr>
      </w:pPr>
      <w:r w:rsidRPr="00EB6C51">
        <w:rPr>
          <w:i/>
        </w:rPr>
        <w:t>(Paul Niger)</w:t>
      </w:r>
    </w:p>
    <w:sectPr w:rsidR="00EB6C51" w:rsidRPr="00EB6C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AE"/>
    <w:rsid w:val="00004093"/>
    <w:rsid w:val="00012CC1"/>
    <w:rsid w:val="000142C6"/>
    <w:rsid w:val="000512AF"/>
    <w:rsid w:val="00053CA7"/>
    <w:rsid w:val="00075D52"/>
    <w:rsid w:val="00077637"/>
    <w:rsid w:val="000845C5"/>
    <w:rsid w:val="00091C3E"/>
    <w:rsid w:val="00097CDC"/>
    <w:rsid w:val="000A1636"/>
    <w:rsid w:val="000D2992"/>
    <w:rsid w:val="000E0774"/>
    <w:rsid w:val="000F4D86"/>
    <w:rsid w:val="0010349D"/>
    <w:rsid w:val="00104B33"/>
    <w:rsid w:val="00117CB7"/>
    <w:rsid w:val="001301EB"/>
    <w:rsid w:val="001626D1"/>
    <w:rsid w:val="00172408"/>
    <w:rsid w:val="00174AB6"/>
    <w:rsid w:val="001779ED"/>
    <w:rsid w:val="00181739"/>
    <w:rsid w:val="00184231"/>
    <w:rsid w:val="001A29A5"/>
    <w:rsid w:val="001B197F"/>
    <w:rsid w:val="001C6238"/>
    <w:rsid w:val="001F7B49"/>
    <w:rsid w:val="00205093"/>
    <w:rsid w:val="00210C57"/>
    <w:rsid w:val="00217BC3"/>
    <w:rsid w:val="002230D4"/>
    <w:rsid w:val="0023315F"/>
    <w:rsid w:val="0026080C"/>
    <w:rsid w:val="00263D3A"/>
    <w:rsid w:val="002765C9"/>
    <w:rsid w:val="002903CE"/>
    <w:rsid w:val="002943FD"/>
    <w:rsid w:val="002B6267"/>
    <w:rsid w:val="002C2470"/>
    <w:rsid w:val="002C34BC"/>
    <w:rsid w:val="002D057F"/>
    <w:rsid w:val="002F4BC4"/>
    <w:rsid w:val="003161C8"/>
    <w:rsid w:val="00322C4C"/>
    <w:rsid w:val="00334460"/>
    <w:rsid w:val="0035271A"/>
    <w:rsid w:val="003A29F8"/>
    <w:rsid w:val="003B58BB"/>
    <w:rsid w:val="003C02F4"/>
    <w:rsid w:val="003C1394"/>
    <w:rsid w:val="003D29C3"/>
    <w:rsid w:val="003E4503"/>
    <w:rsid w:val="0041467C"/>
    <w:rsid w:val="00415C5C"/>
    <w:rsid w:val="00452224"/>
    <w:rsid w:val="00462725"/>
    <w:rsid w:val="00466B3B"/>
    <w:rsid w:val="00476A9B"/>
    <w:rsid w:val="00497357"/>
    <w:rsid w:val="004B14C1"/>
    <w:rsid w:val="004B1E24"/>
    <w:rsid w:val="004C059C"/>
    <w:rsid w:val="004F1E38"/>
    <w:rsid w:val="004F7801"/>
    <w:rsid w:val="005164FA"/>
    <w:rsid w:val="00523137"/>
    <w:rsid w:val="00523817"/>
    <w:rsid w:val="00531018"/>
    <w:rsid w:val="00533875"/>
    <w:rsid w:val="00543A71"/>
    <w:rsid w:val="005507EC"/>
    <w:rsid w:val="00574C67"/>
    <w:rsid w:val="005758F6"/>
    <w:rsid w:val="00594317"/>
    <w:rsid w:val="00595722"/>
    <w:rsid w:val="005A012E"/>
    <w:rsid w:val="005A6F33"/>
    <w:rsid w:val="005B67E7"/>
    <w:rsid w:val="005B7728"/>
    <w:rsid w:val="005C01AF"/>
    <w:rsid w:val="005D080E"/>
    <w:rsid w:val="005E00AB"/>
    <w:rsid w:val="005F2B95"/>
    <w:rsid w:val="0060070B"/>
    <w:rsid w:val="006071DA"/>
    <w:rsid w:val="006111F9"/>
    <w:rsid w:val="0061422B"/>
    <w:rsid w:val="00625424"/>
    <w:rsid w:val="006340D4"/>
    <w:rsid w:val="00661FD0"/>
    <w:rsid w:val="0066456D"/>
    <w:rsid w:val="006B1FBC"/>
    <w:rsid w:val="006E060C"/>
    <w:rsid w:val="00707620"/>
    <w:rsid w:val="00743F84"/>
    <w:rsid w:val="0075312C"/>
    <w:rsid w:val="00757829"/>
    <w:rsid w:val="00770571"/>
    <w:rsid w:val="007767BD"/>
    <w:rsid w:val="00785678"/>
    <w:rsid w:val="007A391E"/>
    <w:rsid w:val="007A4D4C"/>
    <w:rsid w:val="007C6740"/>
    <w:rsid w:val="007F0CA6"/>
    <w:rsid w:val="007F0E82"/>
    <w:rsid w:val="007F47D3"/>
    <w:rsid w:val="00816863"/>
    <w:rsid w:val="00822573"/>
    <w:rsid w:val="00850212"/>
    <w:rsid w:val="008A2225"/>
    <w:rsid w:val="008B150C"/>
    <w:rsid w:val="008B6801"/>
    <w:rsid w:val="008D2944"/>
    <w:rsid w:val="008F776C"/>
    <w:rsid w:val="00907E3B"/>
    <w:rsid w:val="00912D15"/>
    <w:rsid w:val="00916AEB"/>
    <w:rsid w:val="00924C46"/>
    <w:rsid w:val="009263CD"/>
    <w:rsid w:val="00936D9C"/>
    <w:rsid w:val="009755FB"/>
    <w:rsid w:val="009B2246"/>
    <w:rsid w:val="009D00F8"/>
    <w:rsid w:val="009D024A"/>
    <w:rsid w:val="009D3469"/>
    <w:rsid w:val="009E227D"/>
    <w:rsid w:val="00A10D28"/>
    <w:rsid w:val="00A70FE7"/>
    <w:rsid w:val="00AA124C"/>
    <w:rsid w:val="00AB5F93"/>
    <w:rsid w:val="00AD2C82"/>
    <w:rsid w:val="00B066DB"/>
    <w:rsid w:val="00B109E6"/>
    <w:rsid w:val="00B40CEF"/>
    <w:rsid w:val="00B417F2"/>
    <w:rsid w:val="00B46DAA"/>
    <w:rsid w:val="00B479F1"/>
    <w:rsid w:val="00BB6851"/>
    <w:rsid w:val="00BD6823"/>
    <w:rsid w:val="00BE1B73"/>
    <w:rsid w:val="00BE61D1"/>
    <w:rsid w:val="00BF30AF"/>
    <w:rsid w:val="00C00B9B"/>
    <w:rsid w:val="00C057A5"/>
    <w:rsid w:val="00C13A29"/>
    <w:rsid w:val="00C25775"/>
    <w:rsid w:val="00C27C3F"/>
    <w:rsid w:val="00C34ABF"/>
    <w:rsid w:val="00C509B9"/>
    <w:rsid w:val="00C67117"/>
    <w:rsid w:val="00C73CD6"/>
    <w:rsid w:val="00C75D9C"/>
    <w:rsid w:val="00C85CED"/>
    <w:rsid w:val="00C86ED3"/>
    <w:rsid w:val="00C90EA7"/>
    <w:rsid w:val="00C91548"/>
    <w:rsid w:val="00C9518C"/>
    <w:rsid w:val="00C96804"/>
    <w:rsid w:val="00CC14B4"/>
    <w:rsid w:val="00CD02A3"/>
    <w:rsid w:val="00CD100D"/>
    <w:rsid w:val="00D01871"/>
    <w:rsid w:val="00D21EE8"/>
    <w:rsid w:val="00D36CAE"/>
    <w:rsid w:val="00D47B17"/>
    <w:rsid w:val="00D73EED"/>
    <w:rsid w:val="00D761C9"/>
    <w:rsid w:val="00D9136A"/>
    <w:rsid w:val="00DB73EF"/>
    <w:rsid w:val="00DC0F87"/>
    <w:rsid w:val="00DC61A7"/>
    <w:rsid w:val="00DC69C0"/>
    <w:rsid w:val="00E023F0"/>
    <w:rsid w:val="00E16887"/>
    <w:rsid w:val="00E24DC8"/>
    <w:rsid w:val="00E31BDB"/>
    <w:rsid w:val="00E46A24"/>
    <w:rsid w:val="00E50FE4"/>
    <w:rsid w:val="00E73C53"/>
    <w:rsid w:val="00E74152"/>
    <w:rsid w:val="00E772FB"/>
    <w:rsid w:val="00E84BF9"/>
    <w:rsid w:val="00EB60EA"/>
    <w:rsid w:val="00EB6C51"/>
    <w:rsid w:val="00EC0969"/>
    <w:rsid w:val="00EC6FA9"/>
    <w:rsid w:val="00ED0E8A"/>
    <w:rsid w:val="00EE78B2"/>
    <w:rsid w:val="00F1403C"/>
    <w:rsid w:val="00F17FD8"/>
    <w:rsid w:val="00F35135"/>
    <w:rsid w:val="00F35FF1"/>
    <w:rsid w:val="00F53FEE"/>
    <w:rsid w:val="00F63B6A"/>
    <w:rsid w:val="00F77C0C"/>
    <w:rsid w:val="00F814E1"/>
    <w:rsid w:val="00F819B5"/>
    <w:rsid w:val="00F87DCE"/>
    <w:rsid w:val="00FA2A5A"/>
    <w:rsid w:val="00FA7CE5"/>
    <w:rsid w:val="00FB775F"/>
    <w:rsid w:val="00FE4D90"/>
    <w:rsid w:val="00FE4E40"/>
    <w:rsid w:val="00FE5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F14D"/>
  <w15:chartTrackingRefBased/>
  <w15:docId w15:val="{4BC833C3-BE6F-460D-A28C-55DB725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1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E060C"/>
    <w:rPr>
      <w:color w:val="0563C1" w:themeColor="hyperlink"/>
      <w:u w:val="single"/>
    </w:rPr>
  </w:style>
  <w:style w:type="character" w:styleId="Mentionnonrsolue">
    <w:name w:val="Unresolved Mention"/>
    <w:basedOn w:val="Policepardfaut"/>
    <w:uiPriority w:val="99"/>
    <w:semiHidden/>
    <w:unhideWhenUsed/>
    <w:rsid w:val="006E060C"/>
    <w:rPr>
      <w:color w:val="605E5C"/>
      <w:shd w:val="clear" w:color="auto" w:fill="E1DFDD"/>
    </w:rPr>
  </w:style>
  <w:style w:type="character" w:styleId="Lienhypertextesuivivisit">
    <w:name w:val="FollowedHyperlink"/>
    <w:basedOn w:val="Policepardfaut"/>
    <w:uiPriority w:val="99"/>
    <w:semiHidden/>
    <w:unhideWhenUsed/>
    <w:rsid w:val="009263CD"/>
    <w:rPr>
      <w:color w:val="954F72" w:themeColor="followedHyperlink"/>
      <w:u w:val="single"/>
    </w:rPr>
  </w:style>
  <w:style w:type="character" w:customStyle="1" w:styleId="Titre1Car">
    <w:name w:val="Titre 1 Car"/>
    <w:basedOn w:val="Policepardfaut"/>
    <w:link w:val="Titre1"/>
    <w:uiPriority w:val="9"/>
    <w:rsid w:val="00181739"/>
    <w:rPr>
      <w:rFonts w:asciiTheme="majorHAnsi" w:eastAsiaTheme="majorEastAsia" w:hAnsiTheme="majorHAnsi" w:cstheme="majorBidi"/>
      <w:color w:val="2F5496" w:themeColor="accent1" w:themeShade="BF"/>
      <w:sz w:val="32"/>
      <w:szCs w:val="32"/>
    </w:rPr>
  </w:style>
  <w:style w:type="character" w:customStyle="1" w:styleId="2phjq">
    <w:name w:val="_2phjq"/>
    <w:basedOn w:val="Policepardfaut"/>
    <w:rsid w:val="00466B3B"/>
  </w:style>
  <w:style w:type="character" w:customStyle="1" w:styleId="ykmvie">
    <w:name w:val="ykmvie"/>
    <w:basedOn w:val="Policepardfaut"/>
    <w:rsid w:val="008F776C"/>
  </w:style>
  <w:style w:type="paragraph" w:styleId="NormalWeb">
    <w:name w:val="Normal (Web)"/>
    <w:basedOn w:val="Normal"/>
    <w:uiPriority w:val="99"/>
    <w:semiHidden/>
    <w:unhideWhenUsed/>
    <w:rsid w:val="006340D4"/>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9814">
      <w:bodyDiv w:val="1"/>
      <w:marLeft w:val="0"/>
      <w:marRight w:val="0"/>
      <w:marTop w:val="0"/>
      <w:marBottom w:val="0"/>
      <w:divBdr>
        <w:top w:val="none" w:sz="0" w:space="0" w:color="auto"/>
        <w:left w:val="none" w:sz="0" w:space="0" w:color="auto"/>
        <w:bottom w:val="none" w:sz="0" w:space="0" w:color="auto"/>
        <w:right w:val="none" w:sz="0" w:space="0" w:color="auto"/>
      </w:divBdr>
    </w:div>
    <w:div w:id="404453712">
      <w:bodyDiv w:val="1"/>
      <w:marLeft w:val="0"/>
      <w:marRight w:val="0"/>
      <w:marTop w:val="0"/>
      <w:marBottom w:val="0"/>
      <w:divBdr>
        <w:top w:val="none" w:sz="0" w:space="0" w:color="auto"/>
        <w:left w:val="none" w:sz="0" w:space="0" w:color="auto"/>
        <w:bottom w:val="none" w:sz="0" w:space="0" w:color="auto"/>
        <w:right w:val="none" w:sz="0" w:space="0" w:color="auto"/>
      </w:divBdr>
    </w:div>
    <w:div w:id="1558276713">
      <w:bodyDiv w:val="1"/>
      <w:marLeft w:val="0"/>
      <w:marRight w:val="0"/>
      <w:marTop w:val="0"/>
      <w:marBottom w:val="0"/>
      <w:divBdr>
        <w:top w:val="none" w:sz="0" w:space="0" w:color="auto"/>
        <w:left w:val="none" w:sz="0" w:space="0" w:color="auto"/>
        <w:bottom w:val="none" w:sz="0" w:space="0" w:color="auto"/>
        <w:right w:val="none" w:sz="0" w:space="0" w:color="auto"/>
      </w:divBdr>
    </w:div>
    <w:div w:id="16411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itionsjasor.fr/product-page/autopsie-d-un-crash-a%C3%A9rien-22-juin-2022-deshaies-guadeloupe" TargetMode="Externa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s://www.vie-publique.fr/rapport/36098-commission-dinformation-et-de-recherche-historique-sur-les-evenements-d" TargetMode="External"/><Relationship Id="rId17" Type="http://schemas.openxmlformats.org/officeDocument/2006/relationships/hyperlink" Target="https://www.lemonde.fr/planete/article/2022/05/17/algues-sargasses-aux-antilles-on-craint-le-pire_6126405_3244.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irn.info/revue-le-mouvement-social-2010-1-page-79.htm" TargetMode="External"/><Relationship Id="rId20" Type="http://schemas.openxmlformats.org/officeDocument/2006/relationships/hyperlink" Target="https://www.data.gouv.fr/fr/datasets/bases-communale-et-departementale-des-principaux-indicateurs-des-crimes-et-delits-enregistres-par-la-police-et-la-gendarmerie-nationales/" TargetMode="External"/><Relationship Id="rId1" Type="http://schemas.openxmlformats.org/officeDocument/2006/relationships/customXml" Target="../customXml/item1.xml"/><Relationship Id="rId6" Type="http://schemas.openxmlformats.org/officeDocument/2006/relationships/hyperlink" Target="https://aviation-safety.net/database/record.php?id=19620622-0"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en.wikipedia.org/wiki/Boeing_707" TargetMode="External"/><Relationship Id="rId15" Type="http://schemas.openxmlformats.org/officeDocument/2006/relationships/hyperlink" Target="http://www.lameca.org/publications-numeriques/dossiers-et-articles/departementalisation-la-guadeloupe-de-1946/les-discours-aime-cesaire/" TargetMode="External"/><Relationship Id="rId23" Type="http://schemas.openxmlformats.org/officeDocument/2006/relationships/hyperlink" Target="https://en.wikipedia.org/wiki/Boeing_707" TargetMode="External"/><Relationship Id="rId10" Type="http://schemas.openxmlformats.org/officeDocument/2006/relationships/hyperlink" Target="https://www.ctguyane.fr/retour-sur-une-page-de-lhistoire-de-guyane-le-guet-apens-le-14-juin-1962-la-population-guyanaise-subissait-une-repression-qui-marquera-lhistoire-du-pays/" TargetMode="Externa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s://www.franceguyane.fr/actualite/societe-social-emploi/sonje-vire-gade/ce-jour-la-le-14-juin-1962-la-population-guyanaise-subit-une-repression-violente-qui-marquera-son-histoire-502433.php" TargetMode="External"/><Relationship Id="rId14" Type="http://schemas.openxmlformats.org/officeDocument/2006/relationships/image" Target="media/image4.jpeg"/><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dmich\Data\Pauvrete_d&#233;partements_2018_Etude_INSEE_202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fr-FR" sz="1100" b="1">
                <a:solidFill>
                  <a:schemeClr val="accent1">
                    <a:lumMod val="50000"/>
                  </a:schemeClr>
                </a:solidFill>
              </a:rPr>
              <a:t>Graphique</a:t>
            </a:r>
            <a:r>
              <a:rPr lang="fr-FR" sz="1100" b="1" baseline="0">
                <a:solidFill>
                  <a:schemeClr val="accent1">
                    <a:lumMod val="50000"/>
                  </a:schemeClr>
                </a:solidFill>
              </a:rPr>
              <a:t> 1 </a:t>
            </a:r>
            <a:r>
              <a:rPr lang="fr-FR" sz="1100" b="1" baseline="0">
                <a:solidFill>
                  <a:sysClr val="windowText" lastClr="000000"/>
                </a:solidFill>
              </a:rPr>
              <a:t>-</a:t>
            </a:r>
            <a:r>
              <a:rPr lang="fr-FR" sz="1100" b="1" baseline="0"/>
              <a:t> </a:t>
            </a:r>
            <a:r>
              <a:rPr lang="fr-FR" sz="1100" b="1">
                <a:solidFill>
                  <a:schemeClr val="tx1"/>
                </a:solidFill>
              </a:rPr>
              <a:t>Dépenses nettes</a:t>
            </a:r>
            <a:r>
              <a:rPr lang="fr-FR" sz="1100" b="1" baseline="0">
                <a:solidFill>
                  <a:schemeClr val="tx1"/>
                </a:solidFill>
              </a:rPr>
              <a:t> d'</a:t>
            </a:r>
            <a:r>
              <a:rPr lang="fr-FR" sz="1100" b="1">
                <a:solidFill>
                  <a:schemeClr val="tx1"/>
                </a:solidFill>
              </a:rPr>
              <a:t>aide sociale</a:t>
            </a:r>
            <a:r>
              <a:rPr lang="fr-FR" sz="1100" b="1" baseline="0">
                <a:solidFill>
                  <a:schemeClr val="tx1"/>
                </a:solidFill>
              </a:rPr>
              <a:t> </a:t>
            </a:r>
            <a:r>
              <a:rPr lang="fr-FR" sz="1100" b="1">
                <a:solidFill>
                  <a:schemeClr val="tx1"/>
                </a:solidFill>
              </a:rPr>
              <a:t>sur la population (en 2019)</a:t>
            </a:r>
          </a:p>
          <a:p>
            <a:pPr>
              <a:defRPr sz="1100"/>
            </a:pPr>
            <a:r>
              <a:rPr lang="fr-FR" sz="1100" b="0">
                <a:solidFill>
                  <a:schemeClr val="tx1"/>
                </a:solidFill>
              </a:rPr>
              <a:t>Top 20 en 2019</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2"/>
          <c:order val="2"/>
          <c:tx>
            <c:strRef>
              <c:f>'Top 20 en 2019'!$E$1</c:f>
              <c:strCache>
                <c:ptCount val="1"/>
                <c:pt idx="0">
                  <c:v>Ratio Dépenses nettes en aides sociales sur la population</c:v>
                </c:pt>
              </c:strCache>
            </c:strRef>
          </c:tx>
          <c:spPr>
            <a:solidFill>
              <a:schemeClr val="accent6">
                <a:lumMod val="40000"/>
                <a:lumOff val="60000"/>
              </a:schemeClr>
            </a:solidFill>
            <a:ln>
              <a:solidFill>
                <a:schemeClr val="accent6">
                  <a:lumMod val="40000"/>
                  <a:lumOff val="60000"/>
                </a:schemeClr>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20 en 2019'!$B$2:$B$21</c:f>
              <c:strCache>
                <c:ptCount val="20"/>
                <c:pt idx="0">
                  <c:v>Gard</c:v>
                </c:pt>
                <c:pt idx="1">
                  <c:v>Bouches-du-Rhône</c:v>
                </c:pt>
                <c:pt idx="2">
                  <c:v>Aisne</c:v>
                </c:pt>
                <c:pt idx="3">
                  <c:v>Meuse</c:v>
                </c:pt>
                <c:pt idx="4">
                  <c:v>Hérault</c:v>
                </c:pt>
                <c:pt idx="5">
                  <c:v>Ariège</c:v>
                </c:pt>
                <c:pt idx="6">
                  <c:v>Allier</c:v>
                </c:pt>
                <c:pt idx="7">
                  <c:v>Pyrénées-Orientales</c:v>
                </c:pt>
                <c:pt idx="8">
                  <c:v>Pas-de-Calais</c:v>
                </c:pt>
                <c:pt idx="9">
                  <c:v>Gers</c:v>
                </c:pt>
                <c:pt idx="10">
                  <c:v>Nièvre</c:v>
                </c:pt>
                <c:pt idx="11">
                  <c:v>Hautes-Pyrénées</c:v>
                </c:pt>
                <c:pt idx="12">
                  <c:v>Nord</c:v>
                </c:pt>
                <c:pt idx="13">
                  <c:v>Seine-Saint-Denis</c:v>
                </c:pt>
                <c:pt idx="14">
                  <c:v>Ardennes</c:v>
                </c:pt>
                <c:pt idx="15">
                  <c:v>Creuse</c:v>
                </c:pt>
                <c:pt idx="16">
                  <c:v>Aude</c:v>
                </c:pt>
                <c:pt idx="17">
                  <c:v>Martinique</c:v>
                </c:pt>
                <c:pt idx="18">
                  <c:v>Guadeloupe</c:v>
                </c:pt>
                <c:pt idx="19">
                  <c:v>La Réunion</c:v>
                </c:pt>
              </c:strCache>
            </c:strRef>
          </c:cat>
          <c:val>
            <c:numRef>
              <c:f>'Top 20 en 2019'!$E$2:$E$21</c:f>
              <c:numCache>
                <c:formatCode>General</c:formatCode>
                <c:ptCount val="20"/>
                <c:pt idx="0">
                  <c:v>0.67293189532318687</c:v>
                </c:pt>
                <c:pt idx="1">
                  <c:v>0.67481172537944589</c:v>
                </c:pt>
                <c:pt idx="2">
                  <c:v>0.67942981113965495</c:v>
                </c:pt>
                <c:pt idx="3">
                  <c:v>0.6837605547497595</c:v>
                </c:pt>
                <c:pt idx="4">
                  <c:v>0.68609390511243828</c:v>
                </c:pt>
                <c:pt idx="5">
                  <c:v>0.6915243693202946</c:v>
                </c:pt>
                <c:pt idx="6">
                  <c:v>0.69302466225165571</c:v>
                </c:pt>
                <c:pt idx="7">
                  <c:v>0.72107001487565081</c:v>
                </c:pt>
                <c:pt idx="8">
                  <c:v>0.72317399997133647</c:v>
                </c:pt>
                <c:pt idx="9">
                  <c:v>0.72373590708392332</c:v>
                </c:pt>
                <c:pt idx="10">
                  <c:v>0.72608812200418693</c:v>
                </c:pt>
                <c:pt idx="11">
                  <c:v>0.7273509025687489</c:v>
                </c:pt>
                <c:pt idx="12">
                  <c:v>0.74684456348012951</c:v>
                </c:pt>
                <c:pt idx="13">
                  <c:v>0.78297879488942512</c:v>
                </c:pt>
                <c:pt idx="14">
                  <c:v>0.78711746391112491</c:v>
                </c:pt>
                <c:pt idx="15">
                  <c:v>0.84006078016069696</c:v>
                </c:pt>
                <c:pt idx="16">
                  <c:v>0.84977065364771309</c:v>
                </c:pt>
                <c:pt idx="17">
                  <c:v>1.083058444588322</c:v>
                </c:pt>
                <c:pt idx="18">
                  <c:v>1.2167269331042825</c:v>
                </c:pt>
                <c:pt idx="19">
                  <c:v>1.3786582322778418</c:v>
                </c:pt>
              </c:numCache>
            </c:numRef>
          </c:val>
          <c:extLst>
            <c:ext xmlns:c16="http://schemas.microsoft.com/office/drawing/2014/chart" uri="{C3380CC4-5D6E-409C-BE32-E72D297353CC}">
              <c16:uniqueId val="{00000000-B74A-49E9-BA4C-8BB9325705D5}"/>
            </c:ext>
          </c:extLst>
        </c:ser>
        <c:dLbls>
          <c:showLegendKey val="0"/>
          <c:showVal val="0"/>
          <c:showCatName val="0"/>
          <c:showSerName val="0"/>
          <c:showPercent val="0"/>
          <c:showBubbleSize val="0"/>
        </c:dLbls>
        <c:gapWidth val="182"/>
        <c:axId val="1623124912"/>
        <c:axId val="1544961088"/>
        <c:extLst>
          <c:ext xmlns:c15="http://schemas.microsoft.com/office/drawing/2012/chart" uri="{02D57815-91ED-43cb-92C2-25804820EDAC}">
            <c15:filteredBarSeries>
              <c15:ser>
                <c:idx val="0"/>
                <c:order val="0"/>
                <c:tx>
                  <c:strRef>
                    <c:extLst>
                      <c:ext uri="{02D57815-91ED-43cb-92C2-25804820EDAC}">
                        <c15:formulaRef>
                          <c15:sqref>'Top 20 en 2019'!$C$1</c15:sqref>
                        </c15:formulaRef>
                      </c:ext>
                    </c:extLst>
                    <c:strCache>
                      <c:ptCount val="1"/>
                      <c:pt idx="0">
                        <c:v>Dépenses nettes 2019</c:v>
                      </c:pt>
                    </c:strCache>
                  </c:strRef>
                </c:tx>
                <c:spPr>
                  <a:solidFill>
                    <a:schemeClr val="accent1"/>
                  </a:solidFill>
                  <a:ln>
                    <a:noFill/>
                  </a:ln>
                  <a:effectLst/>
                </c:spPr>
                <c:invertIfNegative val="0"/>
                <c:cat>
                  <c:strRef>
                    <c:extLst>
                      <c:ext uri="{02D57815-91ED-43cb-92C2-25804820EDAC}">
                        <c15:formulaRef>
                          <c15:sqref>'Top 20 en 2019'!$B$2:$B$21</c15:sqref>
                        </c15:formulaRef>
                      </c:ext>
                    </c:extLst>
                    <c:strCache>
                      <c:ptCount val="20"/>
                      <c:pt idx="0">
                        <c:v>Gard</c:v>
                      </c:pt>
                      <c:pt idx="1">
                        <c:v>Bouches-du-Rhône</c:v>
                      </c:pt>
                      <c:pt idx="2">
                        <c:v>Aisne</c:v>
                      </c:pt>
                      <c:pt idx="3">
                        <c:v>Meuse</c:v>
                      </c:pt>
                      <c:pt idx="4">
                        <c:v>Hérault</c:v>
                      </c:pt>
                      <c:pt idx="5">
                        <c:v>Ariège</c:v>
                      </c:pt>
                      <c:pt idx="6">
                        <c:v>Allier</c:v>
                      </c:pt>
                      <c:pt idx="7">
                        <c:v>Pyrénées-Orientales</c:v>
                      </c:pt>
                      <c:pt idx="8">
                        <c:v>Pas-de-Calais</c:v>
                      </c:pt>
                      <c:pt idx="9">
                        <c:v>Gers</c:v>
                      </c:pt>
                      <c:pt idx="10">
                        <c:v>Nièvre</c:v>
                      </c:pt>
                      <c:pt idx="11">
                        <c:v>Hautes-Pyrénées</c:v>
                      </c:pt>
                      <c:pt idx="12">
                        <c:v>Nord</c:v>
                      </c:pt>
                      <c:pt idx="13">
                        <c:v>Seine-Saint-Denis</c:v>
                      </c:pt>
                      <c:pt idx="14">
                        <c:v>Ardennes</c:v>
                      </c:pt>
                      <c:pt idx="15">
                        <c:v>Creuse</c:v>
                      </c:pt>
                      <c:pt idx="16">
                        <c:v>Aude</c:v>
                      </c:pt>
                      <c:pt idx="17">
                        <c:v>Martinique</c:v>
                      </c:pt>
                      <c:pt idx="18">
                        <c:v>Guadeloupe</c:v>
                      </c:pt>
                      <c:pt idx="19">
                        <c:v>La Réunion</c:v>
                      </c:pt>
                    </c:strCache>
                  </c:strRef>
                </c:cat>
                <c:val>
                  <c:numRef>
                    <c:extLst>
                      <c:ext uri="{02D57815-91ED-43cb-92C2-25804820EDAC}">
                        <c15:formulaRef>
                          <c15:sqref>'Top 20 en 2019'!$C$2:$C$21</c15:sqref>
                        </c15:formulaRef>
                      </c:ext>
                    </c:extLst>
                    <c:numCache>
                      <c:formatCode>General</c:formatCode>
                      <c:ptCount val="20"/>
                      <c:pt idx="0">
                        <c:v>503647.12894000002</c:v>
                      </c:pt>
                      <c:pt idx="1">
                        <c:v>1378714.5842399998</c:v>
                      </c:pt>
                      <c:pt idx="2">
                        <c:v>361011.63299999997</c:v>
                      </c:pt>
                      <c:pt idx="3">
                        <c:v>125868.69419999998</c:v>
                      </c:pt>
                      <c:pt idx="4">
                        <c:v>806587.77500999998</c:v>
                      </c:pt>
                      <c:pt idx="5">
                        <c:v>106001.696</c:v>
                      </c:pt>
                      <c:pt idx="6">
                        <c:v>232838.96090000003</c:v>
                      </c:pt>
                      <c:pt idx="7">
                        <c:v>346098.46467000002</c:v>
                      </c:pt>
                      <c:pt idx="8">
                        <c:v>1059650.95233</c:v>
                      </c:pt>
                      <c:pt idx="9">
                        <c:v>138506.40669</c:v>
                      </c:pt>
                      <c:pt idx="10">
                        <c:v>148450.16872000002</c:v>
                      </c:pt>
                      <c:pt idx="11">
                        <c:v>166975.76464999997</c:v>
                      </c:pt>
                      <c:pt idx="12">
                        <c:v>1948029.029775142</c:v>
                      </c:pt>
                      <c:pt idx="13">
                        <c:v>1287924.1686500001</c:v>
                      </c:pt>
                      <c:pt idx="14">
                        <c:v>212979.81761999999</c:v>
                      </c:pt>
                      <c:pt idx="15">
                        <c:v>97965.368000000002</c:v>
                      </c:pt>
                      <c:pt idx="16">
                        <c:v>317873.70841000002</c:v>
                      </c:pt>
                      <c:pt idx="17">
                        <c:v>394783.46752000006</c:v>
                      </c:pt>
                      <c:pt idx="18">
                        <c:v>467513.94004905643</c:v>
                      </c:pt>
                      <c:pt idx="19">
                        <c:v>1187314.2562200001</c:v>
                      </c:pt>
                    </c:numCache>
                  </c:numRef>
                </c:val>
                <c:extLst>
                  <c:ext xmlns:c16="http://schemas.microsoft.com/office/drawing/2014/chart" uri="{C3380CC4-5D6E-409C-BE32-E72D297353CC}">
                    <c16:uniqueId val="{00000001-B74A-49E9-BA4C-8BB9325705D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'Top 20 en 2019'!$D$1</c15:sqref>
                        </c15:formulaRef>
                      </c:ext>
                    </c:extLst>
                    <c:strCache>
                      <c:ptCount val="1"/>
                      <c:pt idx="0">
                        <c:v>Population 2019</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'Top 20 en 2019'!$B$2:$B$21</c15:sqref>
                        </c15:formulaRef>
                      </c:ext>
                    </c:extLst>
                    <c:strCache>
                      <c:ptCount val="20"/>
                      <c:pt idx="0">
                        <c:v>Gard</c:v>
                      </c:pt>
                      <c:pt idx="1">
                        <c:v>Bouches-du-Rhône</c:v>
                      </c:pt>
                      <c:pt idx="2">
                        <c:v>Aisne</c:v>
                      </c:pt>
                      <c:pt idx="3">
                        <c:v>Meuse</c:v>
                      </c:pt>
                      <c:pt idx="4">
                        <c:v>Hérault</c:v>
                      </c:pt>
                      <c:pt idx="5">
                        <c:v>Ariège</c:v>
                      </c:pt>
                      <c:pt idx="6">
                        <c:v>Allier</c:v>
                      </c:pt>
                      <c:pt idx="7">
                        <c:v>Pyrénées-Orientales</c:v>
                      </c:pt>
                      <c:pt idx="8">
                        <c:v>Pas-de-Calais</c:v>
                      </c:pt>
                      <c:pt idx="9">
                        <c:v>Gers</c:v>
                      </c:pt>
                      <c:pt idx="10">
                        <c:v>Nièvre</c:v>
                      </c:pt>
                      <c:pt idx="11">
                        <c:v>Hautes-Pyrénées</c:v>
                      </c:pt>
                      <c:pt idx="12">
                        <c:v>Nord</c:v>
                      </c:pt>
                      <c:pt idx="13">
                        <c:v>Seine-Saint-Denis</c:v>
                      </c:pt>
                      <c:pt idx="14">
                        <c:v>Ardennes</c:v>
                      </c:pt>
                      <c:pt idx="15">
                        <c:v>Creuse</c:v>
                      </c:pt>
                      <c:pt idx="16">
                        <c:v>Aude</c:v>
                      </c:pt>
                      <c:pt idx="17">
                        <c:v>Martinique</c:v>
                      </c:pt>
                      <c:pt idx="18">
                        <c:v>Guadeloupe</c:v>
                      </c:pt>
                      <c:pt idx="19">
                        <c:v>La Réunion</c:v>
                      </c:pt>
                    </c:strCache>
                  </c:strRef>
                </c:cat>
                <c:val>
                  <c:numRef>
                    <c:extLst xmlns:c15="http://schemas.microsoft.com/office/drawing/2012/chart">
                      <c:ext xmlns:c15="http://schemas.microsoft.com/office/drawing/2012/chart" uri="{02D57815-91ED-43cb-92C2-25804820EDAC}">
                        <c15:formulaRef>
                          <c15:sqref>'Top 20 en 2019'!$D$2:$D$21</c15:sqref>
                        </c15:formulaRef>
                      </c:ext>
                    </c:extLst>
                    <c:numCache>
                      <c:formatCode>General</c:formatCode>
                      <c:ptCount val="20"/>
                      <c:pt idx="0">
                        <c:v>748437</c:v>
                      </c:pt>
                      <c:pt idx="1">
                        <c:v>2043110</c:v>
                      </c:pt>
                      <c:pt idx="2">
                        <c:v>531345</c:v>
                      </c:pt>
                      <c:pt idx="3">
                        <c:v>184083</c:v>
                      </c:pt>
                      <c:pt idx="4">
                        <c:v>1175623</c:v>
                      </c:pt>
                      <c:pt idx="5">
                        <c:v>153287</c:v>
                      </c:pt>
                      <c:pt idx="6">
                        <c:v>335975</c:v>
                      </c:pt>
                      <c:pt idx="7">
                        <c:v>479979</c:v>
                      </c:pt>
                      <c:pt idx="8">
                        <c:v>1465278</c:v>
                      </c:pt>
                      <c:pt idx="9">
                        <c:v>191377</c:v>
                      </c:pt>
                      <c:pt idx="10">
                        <c:v>204452</c:v>
                      </c:pt>
                      <c:pt idx="11">
                        <c:v>229567</c:v>
                      </c:pt>
                      <c:pt idx="12">
                        <c:v>2608346</c:v>
                      </c:pt>
                      <c:pt idx="13">
                        <c:v>1644903</c:v>
                      </c:pt>
                      <c:pt idx="14">
                        <c:v>270582</c:v>
                      </c:pt>
                      <c:pt idx="15">
                        <c:v>116617</c:v>
                      </c:pt>
                      <c:pt idx="16">
                        <c:v>374070</c:v>
                      </c:pt>
                      <c:pt idx="17">
                        <c:v>364508</c:v>
                      </c:pt>
                      <c:pt idx="18">
                        <c:v>384239</c:v>
                      </c:pt>
                      <c:pt idx="19">
                        <c:v>861210</c:v>
                      </c:pt>
                    </c:numCache>
                  </c:numRef>
                </c:val>
                <c:extLst xmlns:c15="http://schemas.microsoft.com/office/drawing/2012/chart">
                  <c:ext xmlns:c16="http://schemas.microsoft.com/office/drawing/2014/chart" uri="{C3380CC4-5D6E-409C-BE32-E72D297353CC}">
                    <c16:uniqueId val="{00000002-B74A-49E9-BA4C-8BB9325705D5}"/>
                  </c:ext>
                </c:extLst>
              </c15:ser>
            </c15:filteredBarSeries>
          </c:ext>
        </c:extLst>
      </c:barChart>
      <c:catAx>
        <c:axId val="1623124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44961088"/>
        <c:crosses val="autoZero"/>
        <c:auto val="1"/>
        <c:lblAlgn val="ctr"/>
        <c:lblOffset val="100"/>
        <c:noMultiLvlLbl val="0"/>
      </c:catAx>
      <c:valAx>
        <c:axId val="1544961088"/>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3124912"/>
        <c:crosses val="autoZero"/>
        <c:crossBetween val="between"/>
      </c:valAx>
      <c:spPr>
        <a:noFill/>
        <a:ln>
          <a:noFill/>
        </a:ln>
        <a:effectLst/>
      </c:spPr>
    </c:plotArea>
    <c:legend>
      <c:legendPos val="b"/>
      <c:layout>
        <c:manualLayout>
          <c:xMode val="edge"/>
          <c:yMode val="edge"/>
          <c:x val="0.73426932744518025"/>
          <c:y val="0.53183943337799866"/>
          <c:w val="0.19469180935716374"/>
          <c:h val="0.1767652393432983"/>
        </c:manualLayout>
      </c:layout>
      <c:overlay val="0"/>
      <c:spPr>
        <a:solidFill>
          <a:sysClr val="window" lastClr="FFFFFF"/>
        </a:solidFill>
        <a:ln w="12700">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b="1" i="0" baseline="0">
                <a:solidFill>
                  <a:schemeClr val="accent1">
                    <a:lumMod val="50000"/>
                  </a:schemeClr>
                </a:solidFill>
                <a:effectLst/>
              </a:rPr>
              <a:t>Graphique 2 </a:t>
            </a:r>
            <a:r>
              <a:rPr lang="fr-FR" sz="1200" b="1" i="0" baseline="0">
                <a:effectLst/>
              </a:rPr>
              <a:t>- </a:t>
            </a:r>
            <a:r>
              <a:rPr lang="fr-FR" sz="1200" b="1" i="0" baseline="0">
                <a:solidFill>
                  <a:schemeClr val="tx1"/>
                </a:solidFill>
                <a:effectLst/>
              </a:rPr>
              <a:t>Taux de pauvreté et pourcentage de jeunes en difficultés de lecture (en 2018)</a:t>
            </a:r>
            <a:endParaRPr lang="fr-FR" sz="1200">
              <a:solidFill>
                <a:schemeClr val="tx1"/>
              </a:solidFill>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data!$D$1</c:f>
              <c:strCache>
                <c:ptCount val="1"/>
                <c:pt idx="0">
                  <c:v>Jeunes en difficultés de lecture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data!$C$2:$C$97</c:f>
              <c:numCache>
                <c:formatCode>General</c:formatCode>
                <c:ptCount val="96"/>
                <c:pt idx="0">
                  <c:v>10.3</c:v>
                </c:pt>
                <c:pt idx="1">
                  <c:v>18.399999999999999</c:v>
                </c:pt>
                <c:pt idx="2">
                  <c:v>15.5</c:v>
                </c:pt>
                <c:pt idx="3">
                  <c:v>16.8</c:v>
                </c:pt>
                <c:pt idx="4">
                  <c:v>13.9</c:v>
                </c:pt>
                <c:pt idx="5">
                  <c:v>15.8</c:v>
                </c:pt>
                <c:pt idx="6">
                  <c:v>14.4</c:v>
                </c:pt>
                <c:pt idx="7">
                  <c:v>18.899999999999999</c:v>
                </c:pt>
                <c:pt idx="8">
                  <c:v>18</c:v>
                </c:pt>
                <c:pt idx="9">
                  <c:v>16.2</c:v>
                </c:pt>
                <c:pt idx="10">
                  <c:v>20.7</c:v>
                </c:pt>
                <c:pt idx="11">
                  <c:v>14</c:v>
                </c:pt>
                <c:pt idx="12">
                  <c:v>18.7</c:v>
                </c:pt>
                <c:pt idx="13">
                  <c:v>12.4</c:v>
                </c:pt>
                <c:pt idx="14">
                  <c:v>13</c:v>
                </c:pt>
                <c:pt idx="15">
                  <c:v>15</c:v>
                </c:pt>
                <c:pt idx="16">
                  <c:v>12.8</c:v>
                </c:pt>
                <c:pt idx="17">
                  <c:v>14.3</c:v>
                </c:pt>
                <c:pt idx="18">
                  <c:v>13.1</c:v>
                </c:pt>
                <c:pt idx="19">
                  <c:v>11.2</c:v>
                </c:pt>
                <c:pt idx="20">
                  <c:v>11.7</c:v>
                </c:pt>
                <c:pt idx="21">
                  <c:v>18.7</c:v>
                </c:pt>
                <c:pt idx="22">
                  <c:v>16.3</c:v>
                </c:pt>
                <c:pt idx="23">
                  <c:v>12.1</c:v>
                </c:pt>
                <c:pt idx="24">
                  <c:v>14.8</c:v>
                </c:pt>
                <c:pt idx="25">
                  <c:v>12.5</c:v>
                </c:pt>
                <c:pt idx="26">
                  <c:v>12</c:v>
                </c:pt>
                <c:pt idx="27">
                  <c:v>10.6</c:v>
                </c:pt>
                <c:pt idx="28">
                  <c:v>16.100000000000001</c:v>
                </c:pt>
                <c:pt idx="29">
                  <c:v>20.6</c:v>
                </c:pt>
                <c:pt idx="30">
                  <c:v>19.8</c:v>
                </c:pt>
                <c:pt idx="31">
                  <c:v>13.3</c:v>
                </c:pt>
                <c:pt idx="32">
                  <c:v>14.9</c:v>
                </c:pt>
                <c:pt idx="33">
                  <c:v>12.6</c:v>
                </c:pt>
                <c:pt idx="34">
                  <c:v>19.7</c:v>
                </c:pt>
                <c:pt idx="35">
                  <c:v>10.5</c:v>
                </c:pt>
                <c:pt idx="36">
                  <c:v>14.5</c:v>
                </c:pt>
                <c:pt idx="37">
                  <c:v>13</c:v>
                </c:pt>
                <c:pt idx="38">
                  <c:v>11.3</c:v>
                </c:pt>
                <c:pt idx="39">
                  <c:v>11.8</c:v>
                </c:pt>
                <c:pt idx="40">
                  <c:v>11.8</c:v>
                </c:pt>
                <c:pt idx="41">
                  <c:v>12.6</c:v>
                </c:pt>
                <c:pt idx="42">
                  <c:v>15</c:v>
                </c:pt>
                <c:pt idx="43">
                  <c:v>12.1</c:v>
                </c:pt>
                <c:pt idx="44">
                  <c:v>10.3</c:v>
                </c:pt>
                <c:pt idx="45">
                  <c:v>13.2</c:v>
                </c:pt>
                <c:pt idx="46">
                  <c:v>15</c:v>
                </c:pt>
                <c:pt idx="47">
                  <c:v>17</c:v>
                </c:pt>
                <c:pt idx="48">
                  <c:v>14.5</c:v>
                </c:pt>
                <c:pt idx="49">
                  <c:v>11.4</c:v>
                </c:pt>
                <c:pt idx="50">
                  <c:v>12</c:v>
                </c:pt>
                <c:pt idx="51">
                  <c:v>14.4</c:v>
                </c:pt>
                <c:pt idx="52">
                  <c:v>14.9</c:v>
                </c:pt>
                <c:pt idx="53">
                  <c:v>11.5</c:v>
                </c:pt>
                <c:pt idx="54">
                  <c:v>15.4</c:v>
                </c:pt>
                <c:pt idx="55">
                  <c:v>14.5</c:v>
                </c:pt>
                <c:pt idx="56">
                  <c:v>11.2</c:v>
                </c:pt>
                <c:pt idx="57">
                  <c:v>15.3</c:v>
                </c:pt>
                <c:pt idx="58">
                  <c:v>15.7</c:v>
                </c:pt>
                <c:pt idx="59">
                  <c:v>19.100000000000001</c:v>
                </c:pt>
                <c:pt idx="60">
                  <c:v>12.9</c:v>
                </c:pt>
                <c:pt idx="61">
                  <c:v>15.4</c:v>
                </c:pt>
                <c:pt idx="62">
                  <c:v>19.3</c:v>
                </c:pt>
                <c:pt idx="63">
                  <c:v>13.2</c:v>
                </c:pt>
                <c:pt idx="64">
                  <c:v>12.3</c:v>
                </c:pt>
                <c:pt idx="65">
                  <c:v>15.4</c:v>
                </c:pt>
                <c:pt idx="66">
                  <c:v>21</c:v>
                </c:pt>
                <c:pt idx="67">
                  <c:v>13.7</c:v>
                </c:pt>
                <c:pt idx="68">
                  <c:v>12.9</c:v>
                </c:pt>
                <c:pt idx="69">
                  <c:v>14.2</c:v>
                </c:pt>
                <c:pt idx="70">
                  <c:v>13.2</c:v>
                </c:pt>
                <c:pt idx="71">
                  <c:v>13.1</c:v>
                </c:pt>
                <c:pt idx="72">
                  <c:v>13.1</c:v>
                </c:pt>
                <c:pt idx="73">
                  <c:v>10</c:v>
                </c:pt>
                <c:pt idx="74">
                  <c:v>8.9</c:v>
                </c:pt>
                <c:pt idx="75">
                  <c:v>15.2</c:v>
                </c:pt>
                <c:pt idx="76">
                  <c:v>14.9</c:v>
                </c:pt>
                <c:pt idx="77">
                  <c:v>11.8</c:v>
                </c:pt>
                <c:pt idx="78">
                  <c:v>9.6999999999999993</c:v>
                </c:pt>
                <c:pt idx="79">
                  <c:v>12.3</c:v>
                </c:pt>
                <c:pt idx="80">
                  <c:v>16.399999999999999</c:v>
                </c:pt>
                <c:pt idx="81">
                  <c:v>15.6</c:v>
                </c:pt>
                <c:pt idx="82">
                  <c:v>17</c:v>
                </c:pt>
                <c:pt idx="83">
                  <c:v>15.6</c:v>
                </c:pt>
                <c:pt idx="84">
                  <c:v>20</c:v>
                </c:pt>
                <c:pt idx="85">
                  <c:v>9.1999999999999993</c:v>
                </c:pt>
                <c:pt idx="86">
                  <c:v>14.3</c:v>
                </c:pt>
                <c:pt idx="87">
                  <c:v>15.5</c:v>
                </c:pt>
                <c:pt idx="88">
                  <c:v>15.4</c:v>
                </c:pt>
                <c:pt idx="89">
                  <c:v>14.5</c:v>
                </c:pt>
                <c:pt idx="90">
                  <c:v>14.5</c:v>
                </c:pt>
                <c:pt idx="91">
                  <c:v>13.1</c:v>
                </c:pt>
                <c:pt idx="92">
                  <c:v>11.9</c:v>
                </c:pt>
                <c:pt idx="93">
                  <c:v>28.4</c:v>
                </c:pt>
                <c:pt idx="94">
                  <c:v>16.600000000000001</c:v>
                </c:pt>
                <c:pt idx="95">
                  <c:v>17.2</c:v>
                </c:pt>
              </c:numCache>
            </c:numRef>
          </c:xVal>
          <c:yVal>
            <c:numRef>
              <c:f>data!$D$2:$D$97</c:f>
              <c:numCache>
                <c:formatCode>General</c:formatCode>
                <c:ptCount val="96"/>
                <c:pt idx="0">
                  <c:v>10.199999999999999</c:v>
                </c:pt>
                <c:pt idx="1">
                  <c:v>17.2</c:v>
                </c:pt>
                <c:pt idx="2">
                  <c:v>11.6</c:v>
                </c:pt>
                <c:pt idx="3">
                  <c:v>9.6</c:v>
                </c:pt>
                <c:pt idx="4">
                  <c:v>9.3000000000000007</c:v>
                </c:pt>
                <c:pt idx="5">
                  <c:v>8.4</c:v>
                </c:pt>
                <c:pt idx="6">
                  <c:v>10.3</c:v>
                </c:pt>
                <c:pt idx="7">
                  <c:v>13.1</c:v>
                </c:pt>
                <c:pt idx="8">
                  <c:v>9.9</c:v>
                </c:pt>
                <c:pt idx="9">
                  <c:v>12.3</c:v>
                </c:pt>
                <c:pt idx="10">
                  <c:v>13.1</c:v>
                </c:pt>
                <c:pt idx="11">
                  <c:v>10.6</c:v>
                </c:pt>
                <c:pt idx="12">
                  <c:v>12.5</c:v>
                </c:pt>
                <c:pt idx="13">
                  <c:v>10.5</c:v>
                </c:pt>
                <c:pt idx="14">
                  <c:v>9.9</c:v>
                </c:pt>
                <c:pt idx="15">
                  <c:v>15.2</c:v>
                </c:pt>
                <c:pt idx="16">
                  <c:v>10.9</c:v>
                </c:pt>
                <c:pt idx="17">
                  <c:v>14.4</c:v>
                </c:pt>
                <c:pt idx="18">
                  <c:v>11.8</c:v>
                </c:pt>
                <c:pt idx="19">
                  <c:v>10.3</c:v>
                </c:pt>
                <c:pt idx="20">
                  <c:v>12.1</c:v>
                </c:pt>
                <c:pt idx="21">
                  <c:v>13.7</c:v>
                </c:pt>
                <c:pt idx="22">
                  <c:v>10.9</c:v>
                </c:pt>
                <c:pt idx="23">
                  <c:v>12.7</c:v>
                </c:pt>
                <c:pt idx="24">
                  <c:v>10.9</c:v>
                </c:pt>
                <c:pt idx="25">
                  <c:v>13</c:v>
                </c:pt>
                <c:pt idx="26">
                  <c:v>11.9</c:v>
                </c:pt>
                <c:pt idx="27">
                  <c:v>8.9</c:v>
                </c:pt>
                <c:pt idx="28">
                  <c:v>7.9</c:v>
                </c:pt>
                <c:pt idx="29">
                  <c:v>8.8000000000000007</c:v>
                </c:pt>
                <c:pt idx="30">
                  <c:v>8.1999999999999993</c:v>
                </c:pt>
                <c:pt idx="31">
                  <c:v>8.5</c:v>
                </c:pt>
                <c:pt idx="32">
                  <c:v>10.6</c:v>
                </c:pt>
                <c:pt idx="33">
                  <c:v>11</c:v>
                </c:pt>
                <c:pt idx="34">
                  <c:v>8.8000000000000007</c:v>
                </c:pt>
                <c:pt idx="35">
                  <c:v>8.1999999999999993</c:v>
                </c:pt>
                <c:pt idx="36">
                  <c:v>13.6</c:v>
                </c:pt>
                <c:pt idx="37">
                  <c:v>10.6</c:v>
                </c:pt>
                <c:pt idx="38">
                  <c:v>9.1999999999999993</c:v>
                </c:pt>
                <c:pt idx="39">
                  <c:v>12.5</c:v>
                </c:pt>
                <c:pt idx="40">
                  <c:v>9.1999999999999993</c:v>
                </c:pt>
                <c:pt idx="41">
                  <c:v>12.6</c:v>
                </c:pt>
                <c:pt idx="42">
                  <c:v>11.2</c:v>
                </c:pt>
                <c:pt idx="43">
                  <c:v>12</c:v>
                </c:pt>
                <c:pt idx="44">
                  <c:v>6.3</c:v>
                </c:pt>
                <c:pt idx="45">
                  <c:v>13</c:v>
                </c:pt>
                <c:pt idx="46">
                  <c:v>11.1</c:v>
                </c:pt>
                <c:pt idx="47">
                  <c:v>12.5</c:v>
                </c:pt>
                <c:pt idx="48">
                  <c:v>10.6</c:v>
                </c:pt>
                <c:pt idx="49">
                  <c:v>9</c:v>
                </c:pt>
                <c:pt idx="50">
                  <c:v>13.3</c:v>
                </c:pt>
                <c:pt idx="51">
                  <c:v>11.3</c:v>
                </c:pt>
                <c:pt idx="52">
                  <c:v>12.5</c:v>
                </c:pt>
                <c:pt idx="53">
                  <c:v>11.5</c:v>
                </c:pt>
                <c:pt idx="54">
                  <c:v>9.5</c:v>
                </c:pt>
                <c:pt idx="55">
                  <c:v>11.3</c:v>
                </c:pt>
                <c:pt idx="56">
                  <c:v>10</c:v>
                </c:pt>
                <c:pt idx="57">
                  <c:v>9.6999999999999993</c:v>
                </c:pt>
                <c:pt idx="58">
                  <c:v>15.3</c:v>
                </c:pt>
                <c:pt idx="59">
                  <c:v>10.199999999999999</c:v>
                </c:pt>
                <c:pt idx="60">
                  <c:v>14.1</c:v>
                </c:pt>
                <c:pt idx="61">
                  <c:v>13.9</c:v>
                </c:pt>
                <c:pt idx="62">
                  <c:v>11.6</c:v>
                </c:pt>
                <c:pt idx="63">
                  <c:v>8.9</c:v>
                </c:pt>
                <c:pt idx="64">
                  <c:v>9.1999999999999993</c:v>
                </c:pt>
                <c:pt idx="65">
                  <c:v>11.6</c:v>
                </c:pt>
                <c:pt idx="66">
                  <c:v>12.9</c:v>
                </c:pt>
                <c:pt idx="67">
                  <c:v>11.4</c:v>
                </c:pt>
                <c:pt idx="68">
                  <c:v>12.6</c:v>
                </c:pt>
                <c:pt idx="69">
                  <c:v>7.7</c:v>
                </c:pt>
                <c:pt idx="70">
                  <c:v>13.2</c:v>
                </c:pt>
                <c:pt idx="71">
                  <c:v>13.5</c:v>
                </c:pt>
                <c:pt idx="72">
                  <c:v>13</c:v>
                </c:pt>
                <c:pt idx="73">
                  <c:v>9.8000000000000007</c:v>
                </c:pt>
                <c:pt idx="74">
                  <c:v>9.4</c:v>
                </c:pt>
                <c:pt idx="75">
                  <c:v>6</c:v>
                </c:pt>
                <c:pt idx="76">
                  <c:v>11.7</c:v>
                </c:pt>
                <c:pt idx="77">
                  <c:v>8</c:v>
                </c:pt>
                <c:pt idx="78">
                  <c:v>7.5</c:v>
                </c:pt>
                <c:pt idx="79">
                  <c:v>13.7</c:v>
                </c:pt>
                <c:pt idx="80">
                  <c:v>15.4</c:v>
                </c:pt>
                <c:pt idx="81">
                  <c:v>12.8</c:v>
                </c:pt>
                <c:pt idx="82">
                  <c:v>12.8</c:v>
                </c:pt>
                <c:pt idx="83">
                  <c:v>10.4</c:v>
                </c:pt>
                <c:pt idx="84">
                  <c:v>10.4</c:v>
                </c:pt>
                <c:pt idx="85">
                  <c:v>11.2</c:v>
                </c:pt>
                <c:pt idx="86">
                  <c:v>12.6</c:v>
                </c:pt>
                <c:pt idx="87">
                  <c:v>10.3</c:v>
                </c:pt>
                <c:pt idx="88">
                  <c:v>12</c:v>
                </c:pt>
                <c:pt idx="89">
                  <c:v>13.9</c:v>
                </c:pt>
                <c:pt idx="90">
                  <c:v>10.8</c:v>
                </c:pt>
                <c:pt idx="91">
                  <c:v>8.5</c:v>
                </c:pt>
                <c:pt idx="92">
                  <c:v>6.2</c:v>
                </c:pt>
                <c:pt idx="93">
                  <c:v>12.3</c:v>
                </c:pt>
                <c:pt idx="94">
                  <c:v>7.4</c:v>
                </c:pt>
                <c:pt idx="95">
                  <c:v>11.9</c:v>
                </c:pt>
              </c:numCache>
            </c:numRef>
          </c:yVal>
          <c:smooth val="0"/>
          <c:extLst>
            <c:ext xmlns:c16="http://schemas.microsoft.com/office/drawing/2014/chart" uri="{C3380CC4-5D6E-409C-BE32-E72D297353CC}">
              <c16:uniqueId val="{00000000-E0AA-4764-B8A9-33A19456F91F}"/>
            </c:ext>
          </c:extLst>
        </c:ser>
        <c:ser>
          <c:idx val="1"/>
          <c:order val="1"/>
          <c:tx>
            <c:strRef>
              <c:f>data!$B$98</c:f>
              <c:strCache>
                <c:ptCount val="1"/>
                <c:pt idx="0">
                  <c:v>Martinique</c:v>
                </c:pt>
              </c:strCache>
            </c:strRef>
          </c:tx>
          <c:spPr>
            <a:ln w="25400" cap="rnd">
              <a:noFill/>
              <a:round/>
            </a:ln>
            <a:effectLst/>
          </c:spPr>
          <c:marker>
            <c:symbol val="circle"/>
            <c:size val="5"/>
            <c:spPr>
              <a:solidFill>
                <a:schemeClr val="accent2"/>
              </a:solidFill>
              <a:ln w="9525">
                <a:solidFill>
                  <a:schemeClr val="accent2"/>
                </a:solidFill>
              </a:ln>
              <a:effectLst/>
            </c:spPr>
          </c:marker>
          <c:dPt>
            <c:idx val="0"/>
            <c:marker>
              <c:symbol val="circle"/>
              <c:size val="5"/>
              <c:spPr>
                <a:solidFill>
                  <a:schemeClr val="accent2"/>
                </a:solidFill>
                <a:ln w="9525">
                  <a:solidFill>
                    <a:schemeClr val="accent2">
                      <a:lumMod val="60000"/>
                      <a:lumOff val="40000"/>
                      <a:alpha val="96000"/>
                    </a:schemeClr>
                  </a:solidFill>
                </a:ln>
                <a:effectLst/>
              </c:spPr>
            </c:marker>
            <c:bubble3D val="0"/>
            <c:extLst>
              <c:ext xmlns:c16="http://schemas.microsoft.com/office/drawing/2014/chart" uri="{C3380CC4-5D6E-409C-BE32-E72D297353CC}">
                <c16:uniqueId val="{00000001-E0AA-4764-B8A9-33A19456F9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data!$C$98</c:f>
              <c:numCache>
                <c:formatCode>General</c:formatCode>
                <c:ptCount val="1"/>
                <c:pt idx="0">
                  <c:v>29.8</c:v>
                </c:pt>
              </c:numCache>
            </c:numRef>
          </c:xVal>
          <c:yVal>
            <c:numRef>
              <c:f>data!$D$98</c:f>
              <c:numCache>
                <c:formatCode>General</c:formatCode>
                <c:ptCount val="1"/>
                <c:pt idx="0">
                  <c:v>34</c:v>
                </c:pt>
              </c:numCache>
            </c:numRef>
          </c:yVal>
          <c:smooth val="0"/>
          <c:extLst>
            <c:ext xmlns:c16="http://schemas.microsoft.com/office/drawing/2014/chart" uri="{C3380CC4-5D6E-409C-BE32-E72D297353CC}">
              <c16:uniqueId val="{00000002-E0AA-4764-B8A9-33A19456F91F}"/>
            </c:ext>
          </c:extLst>
        </c:ser>
        <c:ser>
          <c:idx val="2"/>
          <c:order val="2"/>
          <c:tx>
            <c:strRef>
              <c:f>data!$B$99</c:f>
              <c:strCache>
                <c:ptCount val="1"/>
                <c:pt idx="0">
                  <c:v>La Réunion</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data!$C$99</c:f>
              <c:numCache>
                <c:formatCode>General</c:formatCode>
                <c:ptCount val="1"/>
                <c:pt idx="0">
                  <c:v>38.9</c:v>
                </c:pt>
              </c:numCache>
            </c:numRef>
          </c:xVal>
          <c:yVal>
            <c:numRef>
              <c:f>data!$D$99</c:f>
              <c:numCache>
                <c:formatCode>General</c:formatCode>
                <c:ptCount val="1"/>
                <c:pt idx="0">
                  <c:v>27.2</c:v>
                </c:pt>
              </c:numCache>
            </c:numRef>
          </c:yVal>
          <c:smooth val="0"/>
          <c:extLst>
            <c:ext xmlns:c16="http://schemas.microsoft.com/office/drawing/2014/chart" uri="{C3380CC4-5D6E-409C-BE32-E72D297353CC}">
              <c16:uniqueId val="{00000003-E0AA-4764-B8A9-33A19456F91F}"/>
            </c:ext>
          </c:extLst>
        </c:ser>
        <c:ser>
          <c:idx val="3"/>
          <c:order val="3"/>
          <c:tx>
            <c:strRef>
              <c:f>data!$B$100</c:f>
              <c:strCache>
                <c:ptCount val="1"/>
                <c:pt idx="0">
                  <c:v>Guadeloupe</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data!$C$100</c:f>
              <c:numCache>
                <c:formatCode>General</c:formatCode>
                <c:ptCount val="1"/>
                <c:pt idx="0">
                  <c:v>34.5</c:v>
                </c:pt>
              </c:numCache>
            </c:numRef>
          </c:xVal>
          <c:yVal>
            <c:numRef>
              <c:f>data!$D$100</c:f>
              <c:numCache>
                <c:formatCode>General</c:formatCode>
                <c:ptCount val="1"/>
                <c:pt idx="0">
                  <c:v>32</c:v>
                </c:pt>
              </c:numCache>
            </c:numRef>
          </c:yVal>
          <c:smooth val="0"/>
          <c:extLst>
            <c:ext xmlns:c16="http://schemas.microsoft.com/office/drawing/2014/chart" uri="{C3380CC4-5D6E-409C-BE32-E72D297353CC}">
              <c16:uniqueId val="{00000004-E0AA-4764-B8A9-33A19456F91F}"/>
            </c:ext>
          </c:extLst>
        </c:ser>
        <c:ser>
          <c:idx val="4"/>
          <c:order val="4"/>
          <c:tx>
            <c:strRef>
              <c:f>data!$B$101</c:f>
              <c:strCache>
                <c:ptCount val="1"/>
                <c:pt idx="0">
                  <c:v>Guyane</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data!$C$101</c:f>
              <c:numCache>
                <c:formatCode>General</c:formatCode>
                <c:ptCount val="1"/>
                <c:pt idx="0">
                  <c:v>52.9</c:v>
                </c:pt>
              </c:numCache>
            </c:numRef>
          </c:xVal>
          <c:yVal>
            <c:numRef>
              <c:f>data!$D$101</c:f>
              <c:numCache>
                <c:formatCode>General</c:formatCode>
                <c:ptCount val="1"/>
                <c:pt idx="0">
                  <c:v>73.7</c:v>
                </c:pt>
              </c:numCache>
            </c:numRef>
          </c:yVal>
          <c:smooth val="0"/>
          <c:extLst>
            <c:ext xmlns:c16="http://schemas.microsoft.com/office/drawing/2014/chart" uri="{C3380CC4-5D6E-409C-BE32-E72D297353CC}">
              <c16:uniqueId val="{00000005-E0AA-4764-B8A9-33A19456F91F}"/>
            </c:ext>
          </c:extLst>
        </c:ser>
        <c:ser>
          <c:idx val="5"/>
          <c:order val="5"/>
          <c:tx>
            <c:strRef>
              <c:f>data!$B$102</c:f>
              <c:strCache>
                <c:ptCount val="1"/>
                <c:pt idx="0">
                  <c:v>Mayotte</c:v>
                </c:pt>
              </c:strCache>
            </c:strRef>
          </c:tx>
          <c:spPr>
            <a:ln w="25400" cap="rnd">
              <a:no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data!$C$102</c:f>
              <c:numCache>
                <c:formatCode>General</c:formatCode>
                <c:ptCount val="1"/>
                <c:pt idx="0">
                  <c:v>77.3</c:v>
                </c:pt>
              </c:numCache>
            </c:numRef>
          </c:xVal>
          <c:yVal>
            <c:numRef>
              <c:f>data!$D$102</c:f>
              <c:numCache>
                <c:formatCode>General</c:formatCode>
                <c:ptCount val="1"/>
                <c:pt idx="0">
                  <c:v>51</c:v>
                </c:pt>
              </c:numCache>
            </c:numRef>
          </c:yVal>
          <c:smooth val="0"/>
          <c:extLst>
            <c:ext xmlns:c16="http://schemas.microsoft.com/office/drawing/2014/chart" uri="{C3380CC4-5D6E-409C-BE32-E72D297353CC}">
              <c16:uniqueId val="{00000006-E0AA-4764-B8A9-33A19456F91F}"/>
            </c:ext>
          </c:extLst>
        </c:ser>
        <c:dLbls>
          <c:showLegendKey val="0"/>
          <c:showVal val="0"/>
          <c:showCatName val="0"/>
          <c:showSerName val="0"/>
          <c:showPercent val="0"/>
          <c:showBubbleSize val="0"/>
        </c:dLbls>
        <c:axId val="1608688976"/>
        <c:axId val="1725429216"/>
      </c:scatterChart>
      <c:valAx>
        <c:axId val="160868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fr-FR" sz="900" b="1"/>
                  <a:t>Taux de pauvreté (en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25429216"/>
        <c:crosses val="autoZero"/>
        <c:crossBetween val="midCat"/>
      </c:valAx>
      <c:valAx>
        <c:axId val="172542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fr-FR" sz="900" b="1"/>
                  <a:t>% de jeunes en difficultés de</a:t>
                </a:r>
                <a:r>
                  <a:rPr lang="fr-FR" sz="900" b="1" baseline="0"/>
                  <a:t> lectture</a:t>
                </a:r>
                <a:endParaRPr lang="fr-FR" sz="900" b="1"/>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086889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0.04306</cdr:x>
      <cdr:y>0.92246</cdr:y>
    </cdr:from>
    <cdr:to>
      <cdr:x>0.59146</cdr:x>
      <cdr:y>0.9896</cdr:y>
    </cdr:to>
    <cdr:sp macro="" textlink="">
      <cdr:nvSpPr>
        <cdr:cNvPr id="2" name="Rectangle 1">
          <a:extLst xmlns:a="http://schemas.openxmlformats.org/drawingml/2006/main">
            <a:ext uri="{FF2B5EF4-FFF2-40B4-BE49-F238E27FC236}">
              <a16:creationId xmlns:a16="http://schemas.microsoft.com/office/drawing/2014/main" id="{11664911-A1A2-40C3-819B-BC3CA8585A77}"/>
            </a:ext>
          </a:extLst>
        </cdr:cNvPr>
        <cdr:cNvSpPr/>
      </cdr:nvSpPr>
      <cdr:spPr>
        <a:xfrm xmlns:a="http://schemas.openxmlformats.org/drawingml/2006/main">
          <a:off x="248072" y="4925682"/>
          <a:ext cx="3159179" cy="358493"/>
        </a:xfrm>
        <a:prstGeom xmlns:a="http://schemas.openxmlformats.org/drawingml/2006/main" prst="rect">
          <a:avLst/>
        </a:prstGeom>
        <a:noFill xmlns:a="http://schemas.openxmlformats.org/drawingml/2006/main"/>
        <a:ln xmlns:a="http://schemas.openxmlformats.org/drawingml/2006/main" w="12700">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rtl="0"/>
          <a:r>
            <a:rPr lang="fr-FR" sz="900" b="1" i="0" baseline="0">
              <a:solidFill>
                <a:sysClr val="windowText" lastClr="000000"/>
              </a:solidFill>
              <a:effectLst/>
              <a:latin typeface="+mn-lt"/>
              <a:ea typeface="+mn-ea"/>
              <a:cs typeface="Arial" panose="020B0604020202020204" pitchFamily="34" charset="0"/>
            </a:rPr>
            <a:t>Champ</a:t>
          </a:r>
          <a:r>
            <a:rPr lang="fr-FR" sz="900" b="0" i="0" baseline="0">
              <a:solidFill>
                <a:schemeClr val="tx1"/>
              </a:solidFill>
              <a:effectLst/>
              <a:latin typeface="+mn-lt"/>
              <a:ea typeface="+mn-ea"/>
              <a:cs typeface="Arial" panose="020B0604020202020204" pitchFamily="34" charset="0"/>
            </a:rPr>
            <a:t>: Les départments français en 2019.</a:t>
          </a:r>
          <a:endParaRPr lang="fr-FR" sz="900" b="1" i="0" baseline="0">
            <a:solidFill>
              <a:schemeClr val="tx1"/>
            </a:solidFill>
            <a:effectLst/>
            <a:latin typeface="+mn-lt"/>
            <a:ea typeface="+mn-ea"/>
            <a:cs typeface="Arial" panose="020B0604020202020204" pitchFamily="34" charset="0"/>
          </a:endParaRPr>
        </a:p>
        <a:p xmlns:a="http://schemas.openxmlformats.org/drawingml/2006/main">
          <a:pPr rtl="0"/>
          <a:r>
            <a:rPr lang="fr-FR" sz="900" b="1" i="0" baseline="0">
              <a:solidFill>
                <a:schemeClr val="tx1"/>
              </a:solidFill>
              <a:effectLst/>
              <a:latin typeface="+mn-lt"/>
              <a:ea typeface="+mn-ea"/>
              <a:cs typeface="Arial" panose="020B0604020202020204" pitchFamily="34" charset="0"/>
            </a:rPr>
            <a:t>Source</a:t>
          </a:r>
          <a:r>
            <a:rPr lang="fr-FR" sz="900" b="0" i="0" baseline="0">
              <a:solidFill>
                <a:schemeClr val="tx1"/>
              </a:solidFill>
              <a:effectLst/>
              <a:latin typeface="+mn-lt"/>
              <a:ea typeface="+mn-ea"/>
              <a:cs typeface="Arial" panose="020B0604020202020204" pitchFamily="34" charset="0"/>
            </a:rPr>
            <a:t>: Données de la Drees et calcul de l'auteur.</a:t>
          </a:r>
          <a:endParaRPr lang="fr-FR" sz="1000">
            <a:effectLst/>
            <a:latin typeface="+mn-lt"/>
            <a:cs typeface="Arial" panose="020B0604020202020204"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0.10594</cdr:x>
      <cdr:y>0.25058</cdr:y>
    </cdr:from>
    <cdr:to>
      <cdr:x>0.695</cdr:x>
      <cdr:y>0.4594</cdr:y>
    </cdr:to>
    <cdr:sp macro="" textlink="">
      <cdr:nvSpPr>
        <cdr:cNvPr id="2" name="Rectangle 1">
          <a:extLst xmlns:a="http://schemas.openxmlformats.org/drawingml/2006/main">
            <a:ext uri="{FF2B5EF4-FFF2-40B4-BE49-F238E27FC236}">
              <a16:creationId xmlns:a16="http://schemas.microsoft.com/office/drawing/2014/main" id="{F3E2FCFD-481D-4A60-9FA9-B7F738B6087D}"/>
            </a:ext>
          </a:extLst>
        </cdr:cNvPr>
        <cdr:cNvSpPr/>
      </cdr:nvSpPr>
      <cdr:spPr>
        <a:xfrm xmlns:a="http://schemas.openxmlformats.org/drawingml/2006/main">
          <a:off x="632220" y="931653"/>
          <a:ext cx="3515336" cy="776377"/>
        </a:xfrm>
        <a:prstGeom xmlns:a="http://schemas.openxmlformats.org/drawingml/2006/main" prst="rect">
          <a:avLst/>
        </a:prstGeom>
        <a:noFill xmlns:a="http://schemas.openxmlformats.org/drawingml/2006/main"/>
        <a:ln xmlns:a="http://schemas.openxmlformats.org/drawingml/2006/main" w="12700">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rtl="0"/>
          <a:r>
            <a:rPr lang="fr-FR" sz="900" b="1" i="0" baseline="0">
              <a:solidFill>
                <a:sysClr val="windowText" lastClr="000000"/>
              </a:solidFill>
              <a:effectLst/>
              <a:latin typeface="+mn-lt"/>
              <a:ea typeface="+mn-ea"/>
              <a:cs typeface="Arial" panose="020B0604020202020204" pitchFamily="34" charset="0"/>
            </a:rPr>
            <a:t>Champ</a:t>
          </a:r>
          <a:r>
            <a:rPr lang="fr-FR" sz="900" b="0" i="0" baseline="0">
              <a:solidFill>
                <a:schemeClr val="tx1"/>
              </a:solidFill>
              <a:effectLst/>
              <a:latin typeface="+mn-lt"/>
              <a:ea typeface="+mn-ea"/>
              <a:cs typeface="Arial" panose="020B0604020202020204" pitchFamily="34" charset="0"/>
            </a:rPr>
            <a:t>: Les départments français en 2018.</a:t>
          </a:r>
          <a:endParaRPr lang="fr-FR" sz="900" b="1" i="0" baseline="0">
            <a:solidFill>
              <a:schemeClr val="tx1"/>
            </a:solidFill>
            <a:effectLst/>
            <a:latin typeface="+mn-lt"/>
            <a:ea typeface="+mn-ea"/>
            <a:cs typeface="Arial" panose="020B0604020202020204" pitchFamily="34" charset="0"/>
          </a:endParaRPr>
        </a:p>
        <a:p xmlns:a="http://schemas.openxmlformats.org/drawingml/2006/main">
          <a:pPr rtl="0"/>
          <a:r>
            <a:rPr lang="fr-FR" sz="900" b="1" i="0" baseline="0">
              <a:solidFill>
                <a:schemeClr val="tx1"/>
              </a:solidFill>
              <a:effectLst/>
              <a:latin typeface="+mn-lt"/>
              <a:ea typeface="+mn-ea"/>
              <a:cs typeface="Arial" panose="020B0604020202020204" pitchFamily="34" charset="0"/>
            </a:rPr>
            <a:t>Source</a:t>
          </a:r>
          <a:r>
            <a:rPr lang="fr-FR" sz="900" b="0" i="0" baseline="0">
              <a:solidFill>
                <a:schemeClr val="tx1"/>
              </a:solidFill>
              <a:effectLst/>
              <a:latin typeface="+mn-lt"/>
              <a:ea typeface="+mn-ea"/>
              <a:cs typeface="Arial" panose="020B0604020202020204" pitchFamily="34" charset="0"/>
            </a:rPr>
            <a:t>: Données de la Depp et de l'Insee et calcul de l'auteur.</a:t>
          </a:r>
        </a:p>
        <a:p xmlns:a="http://schemas.openxmlformats.org/drawingml/2006/main">
          <a:pPr rtl="0"/>
          <a:r>
            <a:rPr lang="fr-FR" sz="900" b="0" i="0" baseline="0">
              <a:solidFill>
                <a:schemeClr val="tx1"/>
              </a:solidFill>
              <a:effectLst/>
              <a:latin typeface="+mn-lt"/>
              <a:ea typeface="+mn-ea"/>
              <a:cs typeface="Arial" panose="020B0604020202020204" pitchFamily="34" charset="0"/>
            </a:rPr>
            <a:t>Méthode: Le taux de pauvreté est le pourcentage de la population considérée comme pauvre, c'est à dire vivant sous le seuil de pauvreté monétaire, soit un revenu mensuel disponible de 1074 euros en 2018.</a:t>
          </a:r>
          <a:endParaRPr lang="fr-FR" sz="1000">
            <a:effectLst/>
            <a:latin typeface="+mn-lt"/>
            <a:cs typeface="Arial" panose="020B0604020202020204" pitchFamily="34" charset="0"/>
          </a:endParaRP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CAEC7-7A3D-43EB-A219-B03A7B45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9</Pages>
  <Words>2660</Words>
  <Characters>14630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MICHEL</dc:creator>
  <cp:keywords/>
  <dc:description/>
  <cp:lastModifiedBy>Mandy MICHEL</cp:lastModifiedBy>
  <cp:revision>180</cp:revision>
  <dcterms:created xsi:type="dcterms:W3CDTF">2022-06-20T14:43:00Z</dcterms:created>
  <dcterms:modified xsi:type="dcterms:W3CDTF">2022-07-01T12:15:00Z</dcterms:modified>
</cp:coreProperties>
</file>