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CA05 - Mandy He</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Our model’s accuracy is around 0.69, considered not a good model, but still in an acceptable range.</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According to the precision, the logistic regression model predicted patients are going to suffer from CVD, that patients have 70% of the time. And if the patient has CVD our model can identify it 84% of the time, based on recall score.</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AUC score of the model is 0.67. AUC score 1 represents a perfect classifier, and 0.5 represents a worthless classifier. As a result, our classifier is ok, but not good enough.</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In summary, our model is acceptable but still need further exploration in term of CVD patients’ feature, and we will also recommend doctors after use our model to diagnose CVD risk, still need to do other checks to accurate the diagnosis.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