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CC70" w14:textId="4F0F2F63" w:rsidR="005E3E35" w:rsidRPr="00234025" w:rsidRDefault="005E3E35" w:rsidP="00234025">
      <w:pPr>
        <w:rPr>
          <w:rFonts w:asciiTheme="majorHAnsi" w:hAnsiTheme="majorHAnsi" w:cstheme="majorHAnsi"/>
          <w:b/>
          <w:sz w:val="28"/>
          <w:szCs w:val="24"/>
        </w:rPr>
      </w:pPr>
      <w:r w:rsidRPr="00234025">
        <w:rPr>
          <w:rFonts w:asciiTheme="majorHAnsi" w:hAnsiTheme="majorHAnsi" w:cstheme="majorHAnsi"/>
          <w:b/>
          <w:sz w:val="28"/>
          <w:szCs w:val="24"/>
        </w:rPr>
        <w:t xml:space="preserve">Vorbereitungen </w:t>
      </w:r>
      <w:r w:rsidRPr="00234025">
        <w:rPr>
          <w:rFonts w:asciiTheme="majorHAnsi" w:hAnsiTheme="majorHAnsi" w:cstheme="majorHAnsi"/>
          <w:b/>
          <w:sz w:val="28"/>
          <w:szCs w:val="24"/>
          <w:u w:val="single"/>
        </w:rPr>
        <w:t>einen Tag vor</w:t>
      </w:r>
      <w:r w:rsidRPr="00234025">
        <w:rPr>
          <w:rFonts w:asciiTheme="majorHAnsi" w:hAnsiTheme="majorHAnsi" w:cstheme="majorHAnsi"/>
          <w:b/>
          <w:sz w:val="28"/>
          <w:szCs w:val="24"/>
        </w:rPr>
        <w:t xml:space="preserve"> Data Collection</w:t>
      </w:r>
    </w:p>
    <w:p w14:paraId="293CF1A1" w14:textId="77777777" w:rsidR="005E3E35" w:rsidRPr="00983BE4" w:rsidRDefault="0023402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="005E3E35"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 w:rsidR="005E3E35">
        <w:rPr>
          <w:rFonts w:asciiTheme="majorHAnsi" w:hAnsiTheme="majorHAnsi" w:cstheme="majorHAnsi"/>
          <w:sz w:val="24"/>
          <w:szCs w:val="24"/>
        </w:rPr>
        <w:t>8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220E7A97" w14:textId="77777777" w:rsidR="005E3E35" w:rsidRPr="00983BE4" w:rsidRDefault="0023402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Windows-Tablet und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>-Laptop laden</w:t>
      </w:r>
    </w:p>
    <w:p w14:paraId="2081C92D" w14:textId="77777777" w:rsidR="005E3E35" w:rsidRPr="00983BE4" w:rsidRDefault="0023402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Speicherkarten vorbereiten: ggf. alte Daten von SD-Speicherkarte sichern &amp; Karte</w:t>
      </w:r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2E0F806A" w14:textId="77777777" w:rsidR="005E3E35" w:rsidRPr="00983BE4" w:rsidRDefault="0023402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leere Speicherkarte in die Aufnahmeeinheiten einsetzen</w:t>
      </w:r>
    </w:p>
    <w:p w14:paraId="5454918C" w14:textId="34FE89E9" w:rsidR="005E3E35" w:rsidRPr="00983BE4" w:rsidRDefault="0023402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 w:rsidR="005E3E35">
        <w:rPr>
          <w:rFonts w:asciiTheme="majorHAnsi" w:hAnsiTheme="majorHAnsi" w:cstheme="majorHAnsi"/>
          <w:sz w:val="24"/>
          <w:szCs w:val="24"/>
        </w:rPr>
        <w:t>vorhanden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sind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5E3E35"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="005E3E35" w:rsidRPr="00983BE4">
        <w:rPr>
          <w:rFonts w:asciiTheme="majorHAnsi" w:hAnsiTheme="majorHAnsi" w:cstheme="majorHAnsi"/>
          <w:sz w:val="24"/>
          <w:szCs w:val="24"/>
        </w:rPr>
        <w:t>)</w:t>
      </w:r>
    </w:p>
    <w:p w14:paraId="4CA35827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25E026A0" w14:textId="4BCB2DA8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Studienraum 016, Vorbereitung des Raumes, Aufbau der Technik</w:t>
      </w:r>
    </w:p>
    <w:p w14:paraId="23367FE0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CD46D3E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Desinfektionsmittel auf Plätzen </w:t>
      </w:r>
    </w:p>
    <w:p w14:paraId="7C6FDE8D" w14:textId="77777777" w:rsidR="005E3E35" w:rsidRPr="00447782" w:rsidRDefault="00234025" w:rsidP="005E3E3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6AB9D150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759FE145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119213E6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2C120D89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B9E1656" w14:textId="77777777" w:rsidR="005E3E35" w:rsidRPr="001E3CE6" w:rsidRDefault="00234025" w:rsidP="005E3E3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5E3E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 für VP</w:t>
      </w:r>
    </w:p>
    <w:p w14:paraId="0ACBCBB8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47530997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(Laminierte) Skripts mit Störungen</w:t>
      </w:r>
    </w:p>
    <w:p w14:paraId="57A3C517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Fragebögen (SJT + EMU) ausdrucken</w:t>
      </w:r>
    </w:p>
    <w:p w14:paraId="0D8841C3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98812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EV-Erklärungen ausdrucken</w:t>
      </w:r>
    </w:p>
    <w:p w14:paraId="3F4F98AD" w14:textId="47E2050C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35868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Covid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>-Kontakterfassung ausdrucken</w:t>
      </w:r>
    </w:p>
    <w:p w14:paraId="44E88B5B" w14:textId="381F1B66" w:rsidR="001452B7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349370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452B7">
        <w:rPr>
          <w:rFonts w:asciiTheme="majorHAnsi" w:hAnsiTheme="majorHAnsi" w:cstheme="majorHAnsi"/>
          <w:sz w:val="24"/>
          <w:szCs w:val="24"/>
        </w:rPr>
        <w:t xml:space="preserve"> SRI ausdrucken</w:t>
      </w:r>
    </w:p>
    <w:p w14:paraId="6BA0FF95" w14:textId="77777777" w:rsidR="005E3E35" w:rsidRPr="00842023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A79F60F" w14:textId="77777777" w:rsidR="005E3E35" w:rsidRPr="00842023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3E16BE6" w14:textId="2AAFBD07" w:rsidR="005E3E35" w:rsidRPr="00BE47A1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BE47A1">
        <w:rPr>
          <w:rFonts w:asciiTheme="majorHAnsi" w:hAnsiTheme="majorHAnsi" w:cstheme="majorHAnsi"/>
          <w:sz w:val="24"/>
          <w:szCs w:val="24"/>
        </w:rPr>
        <w:t xml:space="preserve"> 1 Eye-Tracking-Brille mit Case (Ersatzbatterien, Linsen, </w:t>
      </w:r>
      <w:proofErr w:type="spellStart"/>
      <w:r w:rsidR="005E3E35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5E3E35"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 w:rsidR="005E3E35">
        <w:rPr>
          <w:rFonts w:asciiTheme="majorHAnsi" w:hAnsiTheme="majorHAnsi" w:cstheme="majorHAnsi"/>
          <w:sz w:val="24"/>
          <w:szCs w:val="24"/>
        </w:rPr>
        <w:t>SD-Karte</w:t>
      </w:r>
      <w:r>
        <w:rPr>
          <w:rFonts w:asciiTheme="majorHAnsi" w:hAnsiTheme="majorHAnsi" w:cstheme="majorHAnsi"/>
          <w:sz w:val="24"/>
          <w:szCs w:val="24"/>
        </w:rPr>
        <w:t>n</w:t>
      </w:r>
      <w:r w:rsidR="005E3E35"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9F53737" w14:textId="77777777" w:rsidR="005E3E35" w:rsidRPr="00842023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5E3E35">
        <w:rPr>
          <w:rFonts w:asciiTheme="majorHAnsi" w:hAnsiTheme="majorHAnsi" w:cstheme="majorHAnsi"/>
          <w:sz w:val="24"/>
          <w:szCs w:val="24"/>
        </w:rPr>
        <w:t xml:space="preserve"> + </w:t>
      </w:r>
      <w:r w:rsidR="005E3E35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1F53F899" w14:textId="77777777" w:rsidR="005E3E35" w:rsidRPr="00842023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1 Saughalterung für Kameras</w:t>
      </w:r>
    </w:p>
    <w:p w14:paraId="7374C139" w14:textId="77777777" w:rsidR="005E3E35" w:rsidRPr="00234025" w:rsidRDefault="0023402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61259806" w14:textId="32F373E2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Timecode System + </w:t>
      </w:r>
      <w:proofErr w:type="spellStart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0B183BC" w14:textId="4D4BAD92" w:rsidR="00234025" w:rsidRDefault="0023402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3529275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ZED Cam +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Gregors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Laptop</w:t>
      </w:r>
    </w:p>
    <w:p w14:paraId="38520BE6" w14:textId="5872434C" w:rsidR="00234025" w:rsidRPr="00234025" w:rsidRDefault="0023402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101280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Fitbit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Uhr</w:t>
      </w:r>
      <w:proofErr w:type="spellEnd"/>
    </w:p>
    <w:p w14:paraId="7A4602CE" w14:textId="77777777" w:rsidR="005E3E35" w:rsidRPr="00842023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AC2271">
        <w:rPr>
          <w:rFonts w:asciiTheme="majorHAnsi" w:hAnsiTheme="majorHAnsi" w:cstheme="majorHAnsi"/>
          <w:sz w:val="24"/>
          <w:szCs w:val="24"/>
        </w:rPr>
        <w:t>Tablet</w:t>
      </w:r>
      <w:r w:rsidR="005E3E35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6AE696DD" w14:textId="77777777" w:rsidR="005E3E35" w:rsidRPr="00842023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2B368A35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 w:rsidRPr="007D0C09">
        <w:rPr>
          <w:rFonts w:asciiTheme="majorHAnsi" w:hAnsiTheme="majorHAnsi" w:cstheme="majorHAnsi"/>
          <w:sz w:val="24"/>
          <w:szCs w:val="24"/>
        </w:rPr>
        <w:t>-Laptop</w:t>
      </w:r>
      <w:r w:rsidR="005E3E35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660D8B6" w14:textId="77777777" w:rsidR="005E3E35" w:rsidRPr="00122C01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Festplatte für Datensicherung</w:t>
      </w:r>
    </w:p>
    <w:p w14:paraId="261C34D3" w14:textId="77777777" w:rsidR="00234025" w:rsidRDefault="00234025" w:rsidP="005E3E35">
      <w:pPr>
        <w:rPr>
          <w:rFonts w:asciiTheme="majorHAnsi" w:hAnsiTheme="majorHAnsi" w:cstheme="majorHAnsi"/>
          <w:b/>
          <w:sz w:val="28"/>
        </w:rPr>
      </w:pPr>
    </w:p>
    <w:p w14:paraId="7910EA74" w14:textId="55E3FAE0" w:rsidR="005E3E35" w:rsidRPr="00870B99" w:rsidRDefault="005E3E35" w:rsidP="005E3E35">
      <w:pPr>
        <w:rPr>
          <w:rFonts w:asciiTheme="majorHAnsi" w:hAnsiTheme="majorHAnsi" w:cstheme="majorHAnsi"/>
          <w:b/>
          <w:i/>
          <w:sz w:val="28"/>
        </w:rPr>
      </w:pPr>
      <w:bookmarkStart w:id="0" w:name="_GoBack"/>
      <w:bookmarkEnd w:id="0"/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Gebäudeflur DR, Eintreffen aller Teilnehmenden</w:t>
      </w:r>
    </w:p>
    <w:p w14:paraId="18FF65EB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8F5B2ED" w14:textId="4B98A53A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richtig hinlegen</w:t>
      </w:r>
    </w:p>
    <w:p w14:paraId="52D76BDA" w14:textId="3F690B3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82776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Fitbit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anlegen</w:t>
      </w:r>
    </w:p>
    <w:p w14:paraId="3BE012D9" w14:textId="77777777" w:rsidR="00234025" w:rsidRPr="0023402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8C49ECE" w14:textId="7D20152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Workflow Synchronisierung von Audio- und </w:t>
      </w:r>
      <w:proofErr w:type="spellStart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Videorecordings</w:t>
      </w:r>
      <w:proofErr w:type="spellEnd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:</w:t>
      </w:r>
    </w:p>
    <w:p w14:paraId="4A0D170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733971B5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7DCC2ADB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1C950860" w14:textId="77777777" w:rsid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</w:t>
      </w:r>
      <w:r>
        <w:rPr>
          <w:rFonts w:asciiTheme="majorHAnsi" w:hAnsiTheme="majorHAnsi" w:cstheme="majorHAnsi"/>
          <w:sz w:val="24"/>
        </w:rPr>
        <w:t xml:space="preserve"> ausrichten:</w:t>
      </w:r>
    </w:p>
    <w:p w14:paraId="1C6F053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Alle Kameras einstellen auf: Video, 1080 | 50 | L </w:t>
      </w:r>
    </w:p>
    <w:p w14:paraId="6A290878" w14:textId="77777777" w:rsidR="005E3E35" w:rsidRPr="00870B99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lastRenderedPageBreak/>
        <w:t>Kameras sollten automatisch erkannt und zur Blink Hub-App hinzugefügt werden</w:t>
      </w:r>
    </w:p>
    <w:p w14:paraId="4336C17B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Kameras mit </w:t>
      </w:r>
      <w:proofErr w:type="spellStart"/>
      <w:r>
        <w:rPr>
          <w:rFonts w:asciiTheme="majorHAnsi" w:hAnsiTheme="majorHAnsi" w:cstheme="majorHAnsi"/>
          <w:sz w:val="24"/>
        </w:rPr>
        <w:t>SyncBacs</w:t>
      </w:r>
      <w:proofErr w:type="spellEnd"/>
      <w:r>
        <w:rPr>
          <w:rFonts w:asciiTheme="majorHAnsi" w:hAnsiTheme="majorHAnsi" w:cstheme="majorHAnsi"/>
          <w:sz w:val="24"/>
        </w:rPr>
        <w:t xml:space="preserve"> via Kabel verbinden </w:t>
      </w:r>
    </w:p>
    <w:p w14:paraId="26A95604" w14:textId="77777777" w:rsidR="005E3E35" w:rsidRPr="00C83768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highlight w:val="yellow"/>
        </w:rPr>
      </w:pPr>
      <w:r w:rsidRPr="00C83768">
        <w:rPr>
          <w:rFonts w:asciiTheme="majorHAnsi" w:hAnsiTheme="majorHAnsi" w:cstheme="majorHAnsi"/>
          <w:sz w:val="24"/>
          <w:highlight w:val="yellow"/>
        </w:rPr>
        <w:t xml:space="preserve">Kameras mit iPad ausrichten </w:t>
      </w:r>
      <w:r w:rsidRPr="00C83768">
        <w:rPr>
          <w:rFonts w:asciiTheme="majorHAnsi" w:hAnsiTheme="majorHAnsi" w:cstheme="majorHAnsi"/>
          <w:sz w:val="24"/>
          <w:highlight w:val="yellow"/>
        </w:rPr>
        <w:sym w:font="Wingdings" w:char="F0E0"/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erwünschter Bildausschnitt pro Kamera mit Screenshot dokumentieren </w:t>
      </w:r>
    </w:p>
    <w:p w14:paraId="4955921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Wichtig bei Ausrichtung mit GoPro-App: Kameranamen nicht umbenennen</w:t>
      </w:r>
    </w:p>
    <w:p w14:paraId="72D391B7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Kamerapositionierung im Raum:</w:t>
      </w:r>
    </w:p>
    <w:p w14:paraId="398A0D3F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Cam1: Plateau auf Schrank vorne</w:t>
      </w:r>
    </w:p>
    <w:p w14:paraId="002AF5CB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Cam2: Plateau auf Schrank seitlich </w:t>
      </w:r>
    </w:p>
    <w:p w14:paraId="0B24204D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Cam3: festes Stativ am Fenster seitlich</w:t>
      </w:r>
    </w:p>
    <w:p w14:paraId="03F7DC41" w14:textId="77777777" w:rsidR="005E3E35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Cam4: Plateau hinten</w:t>
      </w:r>
    </w:p>
    <w:p w14:paraId="56C966E5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077D401B" w14:textId="77777777" w:rsidR="005E3E35" w:rsidRPr="00870B99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Alle Kameras in Blink Hub App zur Gruppe A hinzufügen</w:t>
      </w:r>
    </w:p>
    <w:p w14:paraId="6B110161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Synchronisierung mit Blink Hub App: </w:t>
      </w:r>
      <w:r w:rsidRPr="00870B99">
        <w:rPr>
          <w:rFonts w:asciiTheme="majorHAnsi" w:hAnsiTheme="majorHAnsi" w:cstheme="majorHAnsi"/>
          <w:sz w:val="24"/>
        </w:rPr>
        <w:t>Achtung</w:t>
      </w:r>
      <w:r>
        <w:rPr>
          <w:rFonts w:asciiTheme="majorHAnsi" w:hAnsiTheme="majorHAnsi" w:cstheme="majorHAnsi"/>
          <w:sz w:val="24"/>
        </w:rPr>
        <w:t xml:space="preserve">, </w:t>
      </w:r>
      <w:r w:rsidRPr="00870B99">
        <w:rPr>
          <w:rFonts w:asciiTheme="majorHAnsi" w:hAnsiTheme="majorHAnsi" w:cstheme="majorHAnsi"/>
          <w:sz w:val="24"/>
        </w:rPr>
        <w:t>wenn Herz</w:t>
      </w:r>
      <w:r>
        <w:rPr>
          <w:rFonts w:asciiTheme="majorHAnsi" w:hAnsiTheme="majorHAnsi" w:cstheme="majorHAnsi"/>
          <w:sz w:val="24"/>
        </w:rPr>
        <w:t xml:space="preserve"> mit Ausrufezeichen</w:t>
      </w:r>
      <w:r w:rsidRPr="00870B99">
        <w:rPr>
          <w:rFonts w:asciiTheme="majorHAnsi" w:hAnsiTheme="majorHAnsi" w:cstheme="majorHAnsi"/>
          <w:sz w:val="24"/>
        </w:rPr>
        <w:t xml:space="preserve"> angezeigt wird</w:t>
      </w:r>
      <w:r>
        <w:rPr>
          <w:rFonts w:asciiTheme="majorHAnsi" w:hAnsiTheme="majorHAnsi" w:cstheme="majorHAnsi"/>
          <w:sz w:val="24"/>
        </w:rPr>
        <w:t xml:space="preserve">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Kamera nimmt nicht auf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aus- und anschalten</w:t>
      </w:r>
    </w:p>
    <w:p w14:paraId="066EE193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66D07747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667CC571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5BAF7A6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75F7D95F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46303EC7" w14:textId="68A76FB1" w:rsidR="005E3E35" w:rsidRP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69BAC046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0D5DDDEC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4CCFB112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7192BFC1" w14:textId="65176021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lastRenderedPageBreak/>
        <w:t>Einführung</w:t>
      </w:r>
    </w:p>
    <w:p w14:paraId="25D335C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2C27459" w14:textId="77777777" w:rsidR="005E3E35" w:rsidRPr="00CB4F98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Hygiene-Infoblatt zur Erfassung der Kontaktdaten</w:t>
      </w:r>
    </w:p>
    <w:p w14:paraId="68F6537F" w14:textId="77777777" w:rsidR="005E3E35" w:rsidRPr="00CB4F98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60F9A2A1" w14:textId="248F3F42" w:rsidR="005E3E35" w:rsidRP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5E3E35" w:rsidRPr="00CB4F98">
        <w:rPr>
          <w:rFonts w:asciiTheme="majorHAnsi" w:hAnsiTheme="majorHAnsi" w:cstheme="majorHAnsi"/>
          <w:sz w:val="24"/>
          <w:szCs w:val="24"/>
        </w:rPr>
        <w:t>Datenschutz</w:t>
      </w:r>
    </w:p>
    <w:p w14:paraId="47060976" w14:textId="77777777" w:rsidR="001452B7" w:rsidRDefault="001452B7" w:rsidP="005E3E35">
      <w:pPr>
        <w:rPr>
          <w:rFonts w:asciiTheme="majorHAnsi" w:hAnsiTheme="majorHAnsi" w:cstheme="majorHAnsi"/>
          <w:b/>
          <w:i/>
          <w:sz w:val="28"/>
        </w:rPr>
      </w:pPr>
    </w:p>
    <w:p w14:paraId="7635383B" w14:textId="64A93071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 – Unterrichtslektion</w:t>
      </w:r>
    </w:p>
    <w:p w14:paraId="7FD8B99E" w14:textId="29D1F1C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855D976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Ernie</w:t>
      </w:r>
    </w:p>
    <w:p w14:paraId="50844F78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Eye-Tracking-Brille </w:t>
      </w:r>
    </w:p>
    <w:p w14:paraId="7EE992FF" w14:textId="63E0EF99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4754BD1D" w14:textId="6C22FC55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2436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Kalibrierungsfläche </w:t>
      </w:r>
    </w:p>
    <w:p w14:paraId="61B929C2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1783F1B0" w14:textId="4F0F5899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2 farbige Bälle für Kennenlernspiel </w:t>
      </w:r>
      <w:proofErr w:type="spellStart"/>
      <w:r w:rsidR="005E3E3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544A5F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AC82C98" w14:textId="754B645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Eye-Tracking-Recordings:</w:t>
      </w:r>
    </w:p>
    <w:p w14:paraId="0C637294" w14:textId="77777777" w:rsidR="005E3E35" w:rsidRPr="004F7E49" w:rsidRDefault="005E3E35" w:rsidP="005E3E3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5E2F4373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563B68A5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402A61ED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34FB8EB9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319F2FF1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42FEF722" w14:textId="77777777" w:rsidR="005E3E35" w:rsidRPr="00684A47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>
        <w:rPr>
          <w:rFonts w:asciiTheme="majorHAnsi" w:hAnsiTheme="majorHAnsi" w:cstheme="majorHAnsi"/>
          <w:sz w:val="24"/>
        </w:rPr>
        <w:t xml:space="preserve"> verbinden</w:t>
      </w:r>
    </w:p>
    <w:p w14:paraId="4A5BB13D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AAB3B7D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lastRenderedPageBreak/>
        <w:t>Batterie- und Speicherstand auf dem Tobii Glasses Controller Software Dashboard überprüfen</w:t>
      </w:r>
    </w:p>
    <w:p w14:paraId="56160B71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26C1D082" w14:textId="35F457B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>
        <w:rPr>
          <w:rFonts w:asciiTheme="majorHAnsi" w:hAnsiTheme="majorHAnsi" w:cstheme="majorHAnsi"/>
          <w:sz w:val="24"/>
        </w:rPr>
        <w:t xml:space="preserve"> </w:t>
      </w:r>
      <w:r w:rsidRPr="005A35C2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Participant</w:t>
      </w:r>
      <w:proofErr w:type="spellEnd"/>
      <w:r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>
        <w:rPr>
          <w:rFonts w:asciiTheme="majorHAnsi" w:hAnsiTheme="majorHAnsi" w:cstheme="majorHAnsi"/>
          <w:sz w:val="24"/>
        </w:rPr>
        <w:t>Novice</w:t>
      </w:r>
      <w:proofErr w:type="spellEnd"/>
      <w:r>
        <w:rPr>
          <w:rFonts w:asciiTheme="majorHAnsi" w:hAnsiTheme="majorHAnsi" w:cstheme="majorHAnsi"/>
          <w:sz w:val="24"/>
        </w:rPr>
        <w:t>; Gender: Male/</w:t>
      </w:r>
      <w:proofErr w:type="spellStart"/>
      <w:r>
        <w:rPr>
          <w:rFonts w:asciiTheme="majorHAnsi" w:hAnsiTheme="majorHAnsi" w:cstheme="majorHAnsi"/>
          <w:sz w:val="24"/>
        </w:rPr>
        <w:t>Female</w:t>
      </w:r>
      <w:proofErr w:type="spellEnd"/>
      <w:r>
        <w:rPr>
          <w:rFonts w:asciiTheme="majorHAnsi" w:hAnsiTheme="majorHAnsi" w:cstheme="majorHAnsi"/>
          <w:sz w:val="24"/>
        </w:rPr>
        <w:t>/Diverse)</w:t>
      </w:r>
    </w:p>
    <w:p w14:paraId="0C03B786" w14:textId="7777777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>LEKTION aufnehmen</w:t>
      </w:r>
    </w:p>
    <w:p w14:paraId="2F52D795" w14:textId="77777777" w:rsidR="00234025" w:rsidRDefault="00234025" w:rsidP="005E3E35">
      <w:pPr>
        <w:spacing w:line="360" w:lineRule="auto"/>
        <w:rPr>
          <w:rFonts w:asciiTheme="majorHAnsi" w:hAnsiTheme="majorHAnsi" w:cstheme="majorHAnsi"/>
          <w:b/>
          <w:i/>
          <w:sz w:val="28"/>
          <w:highlight w:val="yellow"/>
          <w:lang w:val="en-US"/>
        </w:rPr>
      </w:pPr>
    </w:p>
    <w:p w14:paraId="7E3B75B8" w14:textId="1F4EDBCC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  <w:lang w:val="en-US"/>
        </w:rPr>
        <w:t>TEIL II – Stimulated Recall Interviews</w:t>
      </w:r>
    </w:p>
    <w:p w14:paraId="4A200416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5E3E35">
        <w:rPr>
          <w:rFonts w:asciiTheme="majorHAnsi" w:hAnsiTheme="majorHAnsi" w:cstheme="majorHAnsi"/>
          <w:b/>
          <w:sz w:val="24"/>
          <w:szCs w:val="24"/>
          <w:u w:val="single"/>
        </w:rPr>
        <w:t>Medien / Materialien</w:t>
      </w:r>
      <w:r w:rsidRPr="005E3E35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BEA551B" w14:textId="7D56B7B0" w:rsidR="001452B7" w:rsidRPr="001452B7" w:rsidRDefault="00234025" w:rsidP="001452B7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335872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452B7" w:rsidRP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1452B7">
        <w:rPr>
          <w:rFonts w:asciiTheme="majorHAnsi" w:hAnsiTheme="majorHAnsi" w:cstheme="majorHAnsi"/>
          <w:sz w:val="24"/>
          <w:szCs w:val="24"/>
        </w:rPr>
        <w:t>SRI ausdrucken</w:t>
      </w:r>
    </w:p>
    <w:p w14:paraId="49499DBA" w14:textId="4AF53475" w:rsidR="005E3E35" w:rsidRPr="005E3E35" w:rsidRDefault="00234025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Ernie für Eye-Tracking-Video</w:t>
      </w:r>
    </w:p>
    <w:p w14:paraId="2834CB54" w14:textId="77777777" w:rsidR="005E3E35" w:rsidRPr="005E3E35" w:rsidRDefault="00234025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Audiorekorder </w:t>
      </w:r>
    </w:p>
    <w:p w14:paraId="50D69468" w14:textId="4042B223" w:rsidR="005E3E35" w:rsidRDefault="00234025" w:rsidP="0023402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1452B7">
        <w:rPr>
          <w:rFonts w:asciiTheme="majorHAnsi" w:hAnsiTheme="majorHAnsi" w:cstheme="majorHAnsi"/>
          <w:sz w:val="24"/>
          <w:szCs w:val="24"/>
        </w:rPr>
        <w:t>OBS Software</w:t>
      </w:r>
    </w:p>
    <w:p w14:paraId="59B8BD9B" w14:textId="77777777" w:rsidR="00234025" w:rsidRPr="00234025" w:rsidRDefault="00234025" w:rsidP="00234025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09C17A6" w14:textId="75A48DEA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II – SJT zur Erfassung des strategischen Wissens über Klassenführung</w:t>
      </w:r>
    </w:p>
    <w:p w14:paraId="1F440EB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0F4C93D" w14:textId="77777777" w:rsidR="005E3E3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-Laptop </w:t>
      </w:r>
    </w:p>
    <w:p w14:paraId="326C56E4" w14:textId="1EFD37F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71FB6BE8" w14:textId="5BC425ED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II – Offene Fragen, Danksagung, Verabschiedung</w:t>
      </w:r>
    </w:p>
    <w:p w14:paraId="5567909A" w14:textId="7777777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6990D8A" w14:textId="4B408644" w:rsidR="005E3E35" w:rsidRPr="00CB4F98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Kugelschreiber mit Karte als Dankeschö</w:t>
      </w:r>
      <w:r>
        <w:rPr>
          <w:rFonts w:asciiTheme="majorHAnsi" w:hAnsiTheme="majorHAnsi" w:cstheme="majorHAnsi"/>
          <w:sz w:val="24"/>
          <w:szCs w:val="24"/>
        </w:rPr>
        <w:t>n</w:t>
      </w:r>
    </w:p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642CD" w14:textId="77777777" w:rsidR="00234025" w:rsidRDefault="002340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B433" w14:textId="77777777" w:rsidR="00234025" w:rsidRDefault="002340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7753" w14:textId="77777777" w:rsidR="00234025" w:rsidRDefault="002340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726336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13B577B9" w14:textId="77777777" w:rsidR="00234025" w:rsidRDefault="00234025" w:rsidP="00234025">
    <w:pPr>
      <w:rPr>
        <w:rFonts w:asciiTheme="majorHAnsi" w:hAnsiTheme="majorHAnsi" w:cstheme="majorHAnsi"/>
        <w:sz w:val="20"/>
      </w:rPr>
    </w:pPr>
  </w:p>
  <w:p w14:paraId="0A9C5FE5" w14:textId="77777777" w:rsidR="00234025" w:rsidRDefault="00234025" w:rsidP="00AF5C06">
    <w:pPr>
      <w:rPr>
        <w:rFonts w:asciiTheme="majorHAnsi" w:hAnsiTheme="majorHAnsi" w:cstheme="majorHAnsi"/>
        <w:b/>
      </w:rPr>
    </w:pPr>
  </w:p>
  <w:p w14:paraId="27F05E4E" w14:textId="6509B065" w:rsidR="00234025" w:rsidRPr="00234025" w:rsidRDefault="00234025" w:rsidP="00234025">
    <w:pPr>
      <w:jc w:val="right"/>
      <w:rPr>
        <w:rFonts w:asciiTheme="majorHAnsi" w:hAnsiTheme="majorHAnsi" w:cstheme="majorHAnsi"/>
        <w:b/>
      </w:rPr>
    </w:pPr>
    <w:r w:rsidRPr="00234025">
      <w:rPr>
        <w:rFonts w:asciiTheme="majorHAnsi" w:hAnsiTheme="majorHAnsi" w:cstheme="majorHAnsi"/>
        <w:b/>
      </w:rPr>
      <w:t>VP-ID:</w:t>
    </w:r>
    <w:r>
      <w:rPr>
        <w:rFonts w:asciiTheme="majorHAnsi" w:hAnsiTheme="majorHAnsi" w:cstheme="majorHAnsi"/>
        <w:b/>
      </w:rPr>
      <w:t xml:space="preserve"> </w:t>
    </w:r>
    <w:r>
      <w:rPr>
        <w:rFonts w:asciiTheme="majorHAnsi" w:hAnsiTheme="majorHAnsi" w:cstheme="majorHAnsi"/>
        <w:b/>
      </w:rPr>
      <w:tab/>
    </w:r>
    <w:r w:rsidRPr="00234025">
      <w:rPr>
        <w:rFonts w:asciiTheme="majorHAnsi" w:hAnsiTheme="majorHAnsi" w:cstheme="majorHAnsi"/>
        <w:b/>
      </w:rPr>
      <w:t>Datum:</w:t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 w:rsidRPr="00234025">
      <w:rPr>
        <w:rFonts w:asciiTheme="majorHAnsi" w:hAnsiTheme="majorHAnsi" w:cstheme="majorHAnsi"/>
        <w:b/>
      </w:rPr>
      <w:t>Skript:</w:t>
    </w:r>
  </w:p>
  <w:p w14:paraId="331294D7" w14:textId="387D73BC" w:rsidR="00AF5C06" w:rsidRPr="00234025" w:rsidRDefault="005E3E35" w:rsidP="00AF5C06">
    <w:pPr>
      <w:rPr>
        <w:rFonts w:asciiTheme="majorHAnsi" w:hAnsiTheme="majorHAnsi" w:cstheme="majorHAnsi"/>
        <w:b/>
      </w:rPr>
    </w:pPr>
    <w:r w:rsidRPr="00234025">
      <w:rPr>
        <w:rFonts w:asciiTheme="majorHAnsi" w:hAnsiTheme="majorHAnsi" w:cstheme="majorHAnsi"/>
        <w:b/>
        <w:sz w:val="40"/>
      </w:rPr>
      <w:t>Workflow &amp; Checkliste Materialien / Technik</w:t>
    </w:r>
    <w:r w:rsidR="00234025">
      <w:rPr>
        <w:rFonts w:asciiTheme="majorHAnsi" w:hAnsiTheme="majorHAnsi" w:cstheme="majorHAnsi"/>
        <w:b/>
        <w:sz w:val="40"/>
      </w:rPr>
      <w:t xml:space="preserve"> </w:t>
    </w:r>
    <w:r w:rsidR="00234025" w:rsidRPr="00234025">
      <w:rPr>
        <w:rFonts w:asciiTheme="majorHAnsi" w:hAnsiTheme="majorHAnsi" w:cstheme="majorHAnsi"/>
        <w:b/>
      </w:rPr>
      <w:t>STUDIE ProVisioNET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0A2A6" w14:textId="77777777" w:rsidR="00234025" w:rsidRDefault="002340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6AA1"/>
    <w:multiLevelType w:val="hybridMultilevel"/>
    <w:tmpl w:val="7A72D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1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18"/>
  </w:num>
  <w:num w:numId="8">
    <w:abstractNumId w:val="0"/>
  </w:num>
  <w:num w:numId="9">
    <w:abstractNumId w:val="20"/>
  </w:num>
  <w:num w:numId="10">
    <w:abstractNumId w:val="3"/>
  </w:num>
  <w:num w:numId="11">
    <w:abstractNumId w:val="15"/>
  </w:num>
  <w:num w:numId="12">
    <w:abstractNumId w:val="12"/>
  </w:num>
  <w:num w:numId="13">
    <w:abstractNumId w:val="7"/>
  </w:num>
  <w:num w:numId="14">
    <w:abstractNumId w:val="19"/>
  </w:num>
  <w:num w:numId="15">
    <w:abstractNumId w:val="10"/>
  </w:num>
  <w:num w:numId="16">
    <w:abstractNumId w:val="6"/>
  </w:num>
  <w:num w:numId="17">
    <w:abstractNumId w:val="8"/>
  </w:num>
  <w:num w:numId="18">
    <w:abstractNumId w:val="9"/>
  </w:num>
  <w:num w:numId="19">
    <w:abstractNumId w:val="17"/>
  </w:num>
  <w:num w:numId="20">
    <w:abstractNumId w:val="14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452B7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34025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E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B8E7-2814-4940-A389-6BD6EC41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cp:lastPrinted>2021-07-20T14:14:00Z</cp:lastPrinted>
  <dcterms:created xsi:type="dcterms:W3CDTF">2021-07-20T14:14:00Z</dcterms:created>
  <dcterms:modified xsi:type="dcterms:W3CDTF">2021-07-20T14:14:00Z</dcterms:modified>
</cp:coreProperties>
</file>