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D0E6" w14:textId="25F831EF" w:rsidR="00A8546B" w:rsidRDefault="00DB5115" w:rsidP="00803825">
      <w:pPr>
        <w:pStyle w:val="Kopfzeile"/>
        <w:ind w:left="283"/>
        <w:rPr>
          <w:sz w:val="18"/>
        </w:rPr>
      </w:pPr>
      <w:r w:rsidRPr="00803825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F05C1E2" wp14:editId="15FC4C94">
                <wp:simplePos x="0" y="0"/>
                <wp:positionH relativeFrom="margin">
                  <wp:posOffset>3024505</wp:posOffset>
                </wp:positionH>
                <wp:positionV relativeFrom="paragraph">
                  <wp:posOffset>558</wp:posOffset>
                </wp:positionV>
                <wp:extent cx="3257550" cy="1404620"/>
                <wp:effectExtent l="0" t="0" r="0" b="7620"/>
                <wp:wrapThrough wrapText="bothSides">
                  <wp:wrapPolygon edited="0">
                    <wp:start x="0" y="0"/>
                    <wp:lineTo x="0" y="21303"/>
                    <wp:lineTo x="21474" y="21303"/>
                    <wp:lineTo x="21474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6D39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r w:rsidRPr="00DB5115">
                              <w:rPr>
                                <w:sz w:val="16"/>
                              </w:rPr>
                              <w:t xml:space="preserve">Erziehungswissenschaftliche Fakultät </w:t>
                            </w:r>
                          </w:p>
                          <w:p w14:paraId="4733E62B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</w:p>
                          <w:p w14:paraId="2D11DDE2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b/>
                                <w:sz w:val="16"/>
                              </w:rPr>
                            </w:pPr>
                            <w:r w:rsidRPr="00DB5115">
                              <w:rPr>
                                <w:b/>
                                <w:sz w:val="16"/>
                              </w:rPr>
                              <w:t>Empirische Schul- und Unterrichtsforschung</w:t>
                            </w:r>
                          </w:p>
                          <w:p w14:paraId="2179EDE9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proofErr w:type="spellStart"/>
                            <w:r w:rsidRPr="00DB5115">
                              <w:rPr>
                                <w:sz w:val="16"/>
                              </w:rPr>
                              <w:t>Dittrichring</w:t>
                            </w:r>
                            <w:proofErr w:type="spellEnd"/>
                            <w:r w:rsidRPr="00DB5115">
                              <w:rPr>
                                <w:sz w:val="16"/>
                              </w:rPr>
                              <w:t xml:space="preserve"> 5-7</w:t>
                            </w:r>
                          </w:p>
                          <w:p w14:paraId="5DA8D012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r w:rsidRPr="00DB5115">
                              <w:rPr>
                                <w:sz w:val="16"/>
                              </w:rPr>
                              <w:t>D-04109 Leipzig</w:t>
                            </w:r>
                          </w:p>
                          <w:p w14:paraId="304326DF" w14:textId="77777777" w:rsidR="00CB588F" w:rsidRPr="00DB5115" w:rsidRDefault="00CB588F" w:rsidP="00803825">
                            <w:pPr>
                              <w:pStyle w:val="Kopfzeile"/>
                              <w:ind w:left="283"/>
                              <w:rPr>
                                <w:sz w:val="16"/>
                              </w:rPr>
                            </w:pPr>
                            <w:r w:rsidRPr="00DB5115">
                              <w:rPr>
                                <w:sz w:val="16"/>
                              </w:rPr>
                              <w:t>Tel.: 0 341 97 31 570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5C1E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8.15pt;margin-top:.05pt;width:256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" stroked="f">
                <v:textbox style="mso-fit-shape-to-text:t">
                  <w:txbxContent>
                    <w:p w14:paraId="1C5D6D39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r w:rsidRPr="00DB5115">
                        <w:rPr>
                          <w:sz w:val="16"/>
                        </w:rPr>
                        <w:t xml:space="preserve">Erziehungswissenschaftliche Fakultät </w:t>
                      </w:r>
                    </w:p>
                    <w:p w14:paraId="4733E62B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</w:p>
                    <w:p w14:paraId="2D11DDE2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b/>
                          <w:sz w:val="16"/>
                        </w:rPr>
                      </w:pPr>
                      <w:r w:rsidRPr="00DB5115">
                        <w:rPr>
                          <w:b/>
                          <w:sz w:val="16"/>
                        </w:rPr>
                        <w:t>Empirische Schul- und Unterrichtsforschung</w:t>
                      </w:r>
                    </w:p>
                    <w:p w14:paraId="2179EDE9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proofErr w:type="spellStart"/>
                      <w:r w:rsidRPr="00DB5115">
                        <w:rPr>
                          <w:sz w:val="16"/>
                        </w:rPr>
                        <w:t>Dittrichring</w:t>
                      </w:r>
                      <w:proofErr w:type="spellEnd"/>
                      <w:r w:rsidRPr="00DB5115">
                        <w:rPr>
                          <w:sz w:val="16"/>
                        </w:rPr>
                        <w:t xml:space="preserve"> 5-7</w:t>
                      </w:r>
                    </w:p>
                    <w:p w14:paraId="5DA8D012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r w:rsidRPr="00DB5115">
                        <w:rPr>
                          <w:sz w:val="16"/>
                        </w:rPr>
                        <w:t>D-04109 Leipzig</w:t>
                      </w:r>
                    </w:p>
                    <w:p w14:paraId="304326DF" w14:textId="77777777" w:rsidR="00CB588F" w:rsidRPr="00DB5115" w:rsidRDefault="00CB588F" w:rsidP="00803825">
                      <w:pPr>
                        <w:pStyle w:val="Kopfzeile"/>
                        <w:ind w:left="283"/>
                        <w:rPr>
                          <w:sz w:val="16"/>
                        </w:rPr>
                      </w:pPr>
                      <w:r w:rsidRPr="00DB5115">
                        <w:rPr>
                          <w:sz w:val="16"/>
                        </w:rPr>
                        <w:t>Tel.: 0 341 97 31 570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03825"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14CDADCB" wp14:editId="4FB7360D">
            <wp:simplePos x="0" y="0"/>
            <wp:positionH relativeFrom="column">
              <wp:posOffset>5080</wp:posOffset>
            </wp:positionH>
            <wp:positionV relativeFrom="paragraph">
              <wp:posOffset>3810</wp:posOffset>
            </wp:positionV>
            <wp:extent cx="2501265" cy="774065"/>
            <wp:effectExtent l="0" t="0" r="0" b="6985"/>
            <wp:wrapThrough wrapText="bothSides">
              <wp:wrapPolygon edited="0">
                <wp:start x="2139" y="0"/>
                <wp:lineTo x="0" y="3189"/>
                <wp:lineTo x="0" y="14353"/>
                <wp:lineTo x="329" y="17542"/>
                <wp:lineTo x="1810" y="21263"/>
                <wp:lineTo x="2139" y="21263"/>
                <wp:lineTo x="7896" y="21263"/>
                <wp:lineTo x="7896" y="17011"/>
                <wp:lineTo x="12832" y="17011"/>
                <wp:lineTo x="18919" y="12226"/>
                <wp:lineTo x="18754" y="8505"/>
                <wp:lineTo x="19412" y="5847"/>
                <wp:lineTo x="18425" y="4784"/>
                <wp:lineTo x="7896" y="0"/>
                <wp:lineTo x="2139" y="0"/>
              </wp:wrapPolygon>
            </wp:wrapThrough>
            <wp:docPr id="2284" name="Bild 2284" descr="UniLeipzig_Logo_Web_RGB_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UniLeipzig_Logo_Web_RGB_@2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8" t="17407" b="17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1EEE2" w14:textId="77777777" w:rsidR="00803825" w:rsidRDefault="00803825" w:rsidP="00803825">
      <w:pPr>
        <w:pStyle w:val="Kopfzeile"/>
        <w:ind w:left="283"/>
        <w:rPr>
          <w:sz w:val="18"/>
        </w:rPr>
      </w:pPr>
    </w:p>
    <w:p w14:paraId="45961A16" w14:textId="77777777" w:rsidR="00803825" w:rsidRDefault="00803825" w:rsidP="00803825">
      <w:pPr>
        <w:pStyle w:val="Kopfzeile"/>
        <w:ind w:left="283"/>
        <w:rPr>
          <w:sz w:val="18"/>
        </w:rPr>
      </w:pPr>
    </w:p>
    <w:p w14:paraId="2A738A7F" w14:textId="77777777" w:rsidR="00803825" w:rsidRDefault="00803825" w:rsidP="00803825">
      <w:pPr>
        <w:pStyle w:val="Kopfzeile"/>
        <w:ind w:left="283"/>
        <w:rPr>
          <w:sz w:val="18"/>
        </w:rPr>
      </w:pPr>
    </w:p>
    <w:p w14:paraId="14E7C5C1" w14:textId="77777777" w:rsidR="00C91A75" w:rsidRDefault="00C91A75" w:rsidP="001C6B50">
      <w:pPr>
        <w:pStyle w:val="Kopfzeile"/>
        <w:spacing w:line="276" w:lineRule="auto"/>
        <w:jc w:val="both"/>
        <w:rPr>
          <w:b/>
          <w:sz w:val="24"/>
        </w:rPr>
      </w:pPr>
    </w:p>
    <w:p w14:paraId="2B158233" w14:textId="77777777" w:rsidR="00C91A75" w:rsidRDefault="00C91A75" w:rsidP="001C6B50">
      <w:pPr>
        <w:pStyle w:val="Kopfzeile"/>
        <w:spacing w:line="276" w:lineRule="auto"/>
        <w:jc w:val="both"/>
        <w:rPr>
          <w:b/>
          <w:sz w:val="24"/>
        </w:rPr>
      </w:pPr>
    </w:p>
    <w:p w14:paraId="45B5508E" w14:textId="779EFEB8" w:rsidR="00803825" w:rsidRPr="00A72FB6" w:rsidRDefault="007A33F1" w:rsidP="007A33F1">
      <w:pPr>
        <w:pStyle w:val="Kopfzeile"/>
        <w:spacing w:line="276" w:lineRule="auto"/>
        <w:jc w:val="center"/>
        <w:rPr>
          <w:b/>
          <w:sz w:val="24"/>
        </w:rPr>
      </w:pPr>
      <w:r>
        <w:rPr>
          <w:b/>
          <w:sz w:val="24"/>
        </w:rPr>
        <w:t>Kurzb</w:t>
      </w:r>
      <w:r w:rsidR="00771393" w:rsidRPr="00A72FB6">
        <w:rPr>
          <w:b/>
          <w:sz w:val="24"/>
        </w:rPr>
        <w:t xml:space="preserve">eschreibung der </w:t>
      </w:r>
      <w:r w:rsidR="00756399" w:rsidRPr="00A72FB6">
        <w:rPr>
          <w:b/>
          <w:sz w:val="24"/>
        </w:rPr>
        <w:t xml:space="preserve">Studie </w:t>
      </w:r>
      <w:proofErr w:type="spellStart"/>
      <w:r w:rsidR="00756399" w:rsidRPr="00A72FB6">
        <w:rPr>
          <w:b/>
          <w:sz w:val="24"/>
        </w:rPr>
        <w:t>ProVis</w:t>
      </w:r>
      <w:r w:rsidR="005C0913">
        <w:rPr>
          <w:b/>
          <w:sz w:val="24"/>
        </w:rPr>
        <w:t>io</w:t>
      </w:r>
      <w:r w:rsidR="00756399" w:rsidRPr="00A72FB6">
        <w:rPr>
          <w:b/>
          <w:sz w:val="24"/>
        </w:rPr>
        <w:t>NET</w:t>
      </w:r>
      <w:proofErr w:type="spellEnd"/>
      <w:r w:rsidR="00803825" w:rsidRPr="00A72FB6">
        <w:rPr>
          <w:b/>
          <w:sz w:val="24"/>
        </w:rPr>
        <w:t xml:space="preserve"> </w:t>
      </w:r>
      <w:r w:rsidRPr="0036515C">
        <w:rPr>
          <w:sz w:val="22"/>
          <w:szCs w:val="22"/>
        </w:rPr>
        <w:t>(</w:t>
      </w:r>
      <w:r w:rsidRPr="0036515C">
        <w:rPr>
          <w:b/>
          <w:sz w:val="22"/>
          <w:szCs w:val="22"/>
        </w:rPr>
        <w:t>P</w:t>
      </w:r>
      <w:r w:rsidRPr="0036515C">
        <w:rPr>
          <w:sz w:val="22"/>
          <w:szCs w:val="22"/>
        </w:rPr>
        <w:t xml:space="preserve">rofessional </w:t>
      </w:r>
      <w:r w:rsidRPr="0036515C">
        <w:rPr>
          <w:b/>
          <w:sz w:val="22"/>
          <w:szCs w:val="22"/>
        </w:rPr>
        <w:t>V</w:t>
      </w:r>
      <w:r w:rsidRPr="005C0913">
        <w:rPr>
          <w:b/>
          <w:sz w:val="22"/>
          <w:szCs w:val="22"/>
        </w:rPr>
        <w:t>is</w:t>
      </w:r>
      <w:r w:rsidRPr="0036515C">
        <w:rPr>
          <w:sz w:val="22"/>
          <w:szCs w:val="22"/>
        </w:rPr>
        <w:t xml:space="preserve">ion </w:t>
      </w:r>
      <w:proofErr w:type="spellStart"/>
      <w:r w:rsidRPr="0036515C">
        <w:rPr>
          <w:sz w:val="22"/>
          <w:szCs w:val="22"/>
        </w:rPr>
        <w:t>of</w:t>
      </w:r>
      <w:proofErr w:type="spellEnd"/>
      <w:r w:rsidRPr="0036515C">
        <w:rPr>
          <w:sz w:val="22"/>
          <w:szCs w:val="22"/>
        </w:rPr>
        <w:t xml:space="preserve"> </w:t>
      </w:r>
      <w:proofErr w:type="spellStart"/>
      <w:r w:rsidRPr="0036515C">
        <w:rPr>
          <w:b/>
          <w:sz w:val="22"/>
          <w:szCs w:val="22"/>
        </w:rPr>
        <w:t>N</w:t>
      </w:r>
      <w:r w:rsidRPr="0036515C">
        <w:rPr>
          <w:sz w:val="22"/>
          <w:szCs w:val="22"/>
        </w:rPr>
        <w:t>ovice</w:t>
      </w:r>
      <w:proofErr w:type="spellEnd"/>
      <w:r w:rsidRPr="0036515C">
        <w:rPr>
          <w:sz w:val="22"/>
          <w:szCs w:val="22"/>
        </w:rPr>
        <w:t xml:space="preserve"> and </w:t>
      </w:r>
      <w:r w:rsidRPr="0036515C">
        <w:rPr>
          <w:b/>
          <w:sz w:val="22"/>
          <w:szCs w:val="22"/>
        </w:rPr>
        <w:t>E</w:t>
      </w:r>
      <w:r w:rsidRPr="0036515C">
        <w:rPr>
          <w:sz w:val="22"/>
          <w:szCs w:val="22"/>
        </w:rPr>
        <w:t xml:space="preserve">xpert </w:t>
      </w:r>
      <w:r w:rsidRPr="0036515C">
        <w:rPr>
          <w:b/>
          <w:sz w:val="22"/>
          <w:szCs w:val="22"/>
        </w:rPr>
        <w:t>T</w:t>
      </w:r>
      <w:r w:rsidRPr="0036515C">
        <w:rPr>
          <w:sz w:val="22"/>
          <w:szCs w:val="22"/>
        </w:rPr>
        <w:t>eachers)</w:t>
      </w:r>
      <w:r>
        <w:rPr>
          <w:sz w:val="22"/>
          <w:szCs w:val="22"/>
        </w:rPr>
        <w:t xml:space="preserve"> </w:t>
      </w:r>
      <w:r w:rsidR="00771393" w:rsidRPr="00A72FB6">
        <w:rPr>
          <w:b/>
          <w:sz w:val="24"/>
        </w:rPr>
        <w:t xml:space="preserve">Promotionsvorhabens </w:t>
      </w:r>
      <w:r w:rsidR="00756399" w:rsidRPr="00A72FB6">
        <w:rPr>
          <w:b/>
          <w:sz w:val="24"/>
        </w:rPr>
        <w:t>von Mandy Klatt</w:t>
      </w:r>
      <w:r w:rsidR="003F6D11">
        <w:rPr>
          <w:b/>
          <w:sz w:val="24"/>
        </w:rPr>
        <w:t xml:space="preserve"> (Empirische Schul- und Unterrichtsforschung)</w:t>
      </w:r>
    </w:p>
    <w:p w14:paraId="30F301B7" w14:textId="18C1C2AC" w:rsidR="00567C99" w:rsidRPr="0036515C" w:rsidRDefault="00567C99" w:rsidP="00DB5F8F">
      <w:pPr>
        <w:pStyle w:val="Kopfzeile"/>
        <w:spacing w:line="276" w:lineRule="auto"/>
        <w:jc w:val="both"/>
        <w:rPr>
          <w:sz w:val="22"/>
          <w:szCs w:val="22"/>
        </w:rPr>
      </w:pPr>
    </w:p>
    <w:p w14:paraId="26432F74" w14:textId="7D8B307B" w:rsidR="00DE1352" w:rsidRDefault="00DE1352" w:rsidP="00DE1352">
      <w:pPr>
        <w:pStyle w:val="Kopfzeile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DE1352">
        <w:rPr>
          <w:b/>
          <w:sz w:val="22"/>
          <w:szCs w:val="22"/>
        </w:rPr>
        <w:t>Forschungshintergrund</w:t>
      </w:r>
      <w:r w:rsidRPr="00DE1352">
        <w:rPr>
          <w:sz w:val="22"/>
          <w:szCs w:val="22"/>
        </w:rPr>
        <w:t xml:space="preserve"> </w:t>
      </w:r>
    </w:p>
    <w:p w14:paraId="70A8D9A0" w14:textId="3AB4956D" w:rsidR="00DE1352" w:rsidRDefault="00DE1352" w:rsidP="00DE1352">
      <w:pPr>
        <w:pStyle w:val="Kopfzeile"/>
        <w:spacing w:line="276" w:lineRule="auto"/>
        <w:jc w:val="both"/>
        <w:rPr>
          <w:sz w:val="22"/>
          <w:szCs w:val="22"/>
        </w:rPr>
      </w:pPr>
      <w:r w:rsidRPr="00563922">
        <w:rPr>
          <w:sz w:val="22"/>
          <w:szCs w:val="22"/>
        </w:rPr>
        <w:t>Der Umgang mit Störungen im Klassenzimmer ist ein entscheidender Aspekt effektive</w:t>
      </w:r>
      <w:r>
        <w:rPr>
          <w:sz w:val="22"/>
          <w:szCs w:val="22"/>
        </w:rPr>
        <w:t>r Klassenführung</w:t>
      </w:r>
      <w:r w:rsidRPr="00563922">
        <w:rPr>
          <w:sz w:val="22"/>
          <w:szCs w:val="22"/>
        </w:rPr>
        <w:t xml:space="preserve"> (</w:t>
      </w:r>
      <w:proofErr w:type="spellStart"/>
      <w:r w:rsidRPr="00563922">
        <w:rPr>
          <w:sz w:val="22"/>
          <w:szCs w:val="22"/>
        </w:rPr>
        <w:t>Evertson</w:t>
      </w:r>
      <w:proofErr w:type="spellEnd"/>
      <w:r w:rsidRPr="00563922">
        <w:rPr>
          <w:sz w:val="22"/>
          <w:szCs w:val="22"/>
        </w:rPr>
        <w:t xml:space="preserve"> &amp; Weinstein, 2006; Kounin, 2006). </w:t>
      </w:r>
      <w:r>
        <w:rPr>
          <w:sz w:val="22"/>
          <w:szCs w:val="22"/>
        </w:rPr>
        <w:t xml:space="preserve">Lehrpersonen </w:t>
      </w:r>
      <w:r w:rsidR="005C0913">
        <w:rPr>
          <w:sz w:val="22"/>
          <w:szCs w:val="22"/>
        </w:rPr>
        <w:t xml:space="preserve">müssen </w:t>
      </w:r>
      <w:r w:rsidR="005C0913" w:rsidRPr="00563922">
        <w:rPr>
          <w:sz w:val="22"/>
          <w:szCs w:val="22"/>
        </w:rPr>
        <w:t>im Klassenzimmer</w:t>
      </w:r>
      <w:r w:rsidR="005C0913">
        <w:rPr>
          <w:sz w:val="22"/>
          <w:szCs w:val="22"/>
        </w:rPr>
        <w:t xml:space="preserve"> </w:t>
      </w:r>
      <w:r>
        <w:rPr>
          <w:sz w:val="22"/>
          <w:szCs w:val="22"/>
        </w:rPr>
        <w:t>relevante</w:t>
      </w:r>
      <w:r w:rsidRPr="00563922">
        <w:rPr>
          <w:sz w:val="22"/>
          <w:szCs w:val="22"/>
        </w:rPr>
        <w:t xml:space="preserve"> Ereignisse schnell bemerken und angemessen darauf reagieren. Diese Fähigkeit</w:t>
      </w:r>
      <w:r w:rsidR="002E70AE">
        <w:rPr>
          <w:sz w:val="22"/>
          <w:szCs w:val="22"/>
        </w:rPr>
        <w:t xml:space="preserve"> wird </w:t>
      </w:r>
      <w:r w:rsidRPr="00563922">
        <w:rPr>
          <w:sz w:val="22"/>
          <w:szCs w:val="22"/>
        </w:rPr>
        <w:t xml:space="preserve">als </w:t>
      </w:r>
      <w:r>
        <w:rPr>
          <w:sz w:val="22"/>
          <w:szCs w:val="22"/>
        </w:rPr>
        <w:t>„Pro</w:t>
      </w:r>
      <w:r w:rsidR="00DB5115">
        <w:rPr>
          <w:sz w:val="22"/>
          <w:szCs w:val="22"/>
        </w:rPr>
        <w:softHyphen/>
      </w:r>
      <w:r>
        <w:rPr>
          <w:sz w:val="22"/>
          <w:szCs w:val="22"/>
        </w:rPr>
        <w:t>fessional Vision“</w:t>
      </w:r>
      <w:r w:rsidRPr="00563922">
        <w:rPr>
          <w:sz w:val="22"/>
          <w:szCs w:val="22"/>
        </w:rPr>
        <w:t xml:space="preserve"> bezeichnet (Goodwin, 1994</w:t>
      </w:r>
      <w:r w:rsidR="002E70AE">
        <w:rPr>
          <w:sz w:val="22"/>
          <w:szCs w:val="22"/>
        </w:rPr>
        <w:t>) und lässt</w:t>
      </w:r>
      <w:r w:rsidR="00F53C66">
        <w:rPr>
          <w:sz w:val="22"/>
          <w:szCs w:val="22"/>
        </w:rPr>
        <w:t xml:space="preserve"> sich</w:t>
      </w:r>
      <w:r w:rsidR="002E70AE">
        <w:rPr>
          <w:sz w:val="22"/>
          <w:szCs w:val="22"/>
        </w:rPr>
        <w:t xml:space="preserve"> unterglieder</w:t>
      </w:r>
      <w:r w:rsidR="00F53C66">
        <w:rPr>
          <w:sz w:val="22"/>
          <w:szCs w:val="22"/>
        </w:rPr>
        <w:t xml:space="preserve">n </w:t>
      </w:r>
      <w:r w:rsidR="002E70AE">
        <w:rPr>
          <w:sz w:val="22"/>
          <w:szCs w:val="22"/>
        </w:rPr>
        <w:t>in die Aspekte „</w:t>
      </w:r>
      <w:proofErr w:type="spellStart"/>
      <w:r w:rsidR="002E70AE">
        <w:rPr>
          <w:sz w:val="22"/>
          <w:szCs w:val="22"/>
        </w:rPr>
        <w:t>Noticing</w:t>
      </w:r>
      <w:proofErr w:type="spellEnd"/>
      <w:r w:rsidR="002E70AE">
        <w:rPr>
          <w:sz w:val="22"/>
          <w:szCs w:val="22"/>
        </w:rPr>
        <w:t>“ und „</w:t>
      </w:r>
      <w:proofErr w:type="spellStart"/>
      <w:r w:rsidR="002E70AE">
        <w:rPr>
          <w:sz w:val="22"/>
          <w:szCs w:val="22"/>
        </w:rPr>
        <w:t>knowledged-based</w:t>
      </w:r>
      <w:proofErr w:type="spellEnd"/>
      <w:r w:rsidR="002E70AE">
        <w:rPr>
          <w:sz w:val="22"/>
          <w:szCs w:val="22"/>
        </w:rPr>
        <w:t xml:space="preserve"> </w:t>
      </w:r>
      <w:proofErr w:type="spellStart"/>
      <w:r w:rsidR="002E70AE">
        <w:rPr>
          <w:sz w:val="22"/>
          <w:szCs w:val="22"/>
        </w:rPr>
        <w:t>reasoning</w:t>
      </w:r>
      <w:proofErr w:type="spellEnd"/>
      <w:r w:rsidR="002E70AE">
        <w:rPr>
          <w:sz w:val="22"/>
          <w:szCs w:val="22"/>
        </w:rPr>
        <w:t>“ (</w:t>
      </w:r>
      <w:proofErr w:type="spellStart"/>
      <w:r w:rsidR="002E70AE" w:rsidRPr="00563922">
        <w:rPr>
          <w:sz w:val="22"/>
          <w:szCs w:val="22"/>
        </w:rPr>
        <w:t>Sherin</w:t>
      </w:r>
      <w:proofErr w:type="spellEnd"/>
      <w:r w:rsidR="002E70AE" w:rsidRPr="00563922">
        <w:rPr>
          <w:sz w:val="22"/>
          <w:szCs w:val="22"/>
        </w:rPr>
        <w:t>,</w:t>
      </w:r>
      <w:r w:rsidR="002E70AE">
        <w:rPr>
          <w:sz w:val="22"/>
          <w:szCs w:val="22"/>
        </w:rPr>
        <w:t xml:space="preserve"> </w:t>
      </w:r>
      <w:r w:rsidR="002E70AE" w:rsidRPr="00563922">
        <w:rPr>
          <w:sz w:val="22"/>
          <w:szCs w:val="22"/>
        </w:rPr>
        <w:t>2007)</w:t>
      </w:r>
      <w:r w:rsidRPr="00563922">
        <w:rPr>
          <w:sz w:val="22"/>
          <w:szCs w:val="22"/>
        </w:rPr>
        <w:t>.</w:t>
      </w:r>
      <w:r w:rsidR="002E70AE">
        <w:rPr>
          <w:sz w:val="22"/>
          <w:szCs w:val="22"/>
        </w:rPr>
        <w:t xml:space="preserve"> In der</w:t>
      </w:r>
      <w:r w:rsidRPr="00563922">
        <w:rPr>
          <w:sz w:val="22"/>
          <w:szCs w:val="22"/>
        </w:rPr>
        <w:t xml:space="preserve"> </w:t>
      </w:r>
      <w:proofErr w:type="spellStart"/>
      <w:r w:rsidRPr="00563922">
        <w:rPr>
          <w:sz w:val="22"/>
          <w:szCs w:val="22"/>
        </w:rPr>
        <w:t>Expertiseforschung</w:t>
      </w:r>
      <w:proofErr w:type="spellEnd"/>
      <w:r w:rsidRPr="00563922">
        <w:rPr>
          <w:sz w:val="22"/>
          <w:szCs w:val="22"/>
        </w:rPr>
        <w:t xml:space="preserve"> </w:t>
      </w:r>
      <w:r w:rsidR="002E70AE">
        <w:rPr>
          <w:sz w:val="22"/>
          <w:szCs w:val="22"/>
        </w:rPr>
        <w:t>wurden</w:t>
      </w:r>
      <w:r w:rsidRPr="00563922">
        <w:rPr>
          <w:sz w:val="22"/>
          <w:szCs w:val="22"/>
        </w:rPr>
        <w:t xml:space="preserve"> Unterschiede zwischen angehenden und erfahrenen Lehrkräften </w:t>
      </w:r>
      <w:r w:rsidR="005C0913">
        <w:rPr>
          <w:sz w:val="22"/>
          <w:szCs w:val="22"/>
        </w:rPr>
        <w:t>im Bereich der professionellen Wahrnehmung</w:t>
      </w:r>
      <w:r w:rsidR="002E70AE">
        <w:rPr>
          <w:sz w:val="22"/>
          <w:szCs w:val="22"/>
        </w:rPr>
        <w:t xml:space="preserve"> festgestellt</w:t>
      </w:r>
      <w:r>
        <w:rPr>
          <w:sz w:val="22"/>
          <w:szCs w:val="22"/>
        </w:rPr>
        <w:t xml:space="preserve"> </w:t>
      </w:r>
      <w:r w:rsidRPr="00563922">
        <w:rPr>
          <w:sz w:val="22"/>
          <w:szCs w:val="22"/>
        </w:rPr>
        <w:t xml:space="preserve">(Lachner, </w:t>
      </w:r>
      <w:proofErr w:type="spellStart"/>
      <w:r w:rsidRPr="00563922">
        <w:rPr>
          <w:sz w:val="22"/>
          <w:szCs w:val="22"/>
        </w:rPr>
        <w:t>Jarodzka</w:t>
      </w:r>
      <w:proofErr w:type="spellEnd"/>
      <w:r w:rsidRPr="00563922">
        <w:rPr>
          <w:sz w:val="22"/>
          <w:szCs w:val="22"/>
        </w:rPr>
        <w:t xml:space="preserve"> &amp; </w:t>
      </w:r>
      <w:proofErr w:type="spellStart"/>
      <w:r w:rsidRPr="00563922">
        <w:rPr>
          <w:sz w:val="22"/>
          <w:szCs w:val="22"/>
        </w:rPr>
        <w:t>Nückles</w:t>
      </w:r>
      <w:proofErr w:type="spellEnd"/>
      <w:r w:rsidRPr="00563922">
        <w:rPr>
          <w:sz w:val="22"/>
          <w:szCs w:val="22"/>
        </w:rPr>
        <w:t>, 2016)</w:t>
      </w:r>
      <w:r w:rsidR="007A33F1">
        <w:rPr>
          <w:sz w:val="22"/>
          <w:szCs w:val="22"/>
        </w:rPr>
        <w:t xml:space="preserve">. </w:t>
      </w:r>
    </w:p>
    <w:p w14:paraId="4A2A09C6" w14:textId="77777777" w:rsidR="00DE1352" w:rsidRDefault="00DE1352" w:rsidP="00DE1352">
      <w:pPr>
        <w:pStyle w:val="Kopfzeile"/>
        <w:spacing w:line="276" w:lineRule="auto"/>
        <w:jc w:val="both"/>
        <w:rPr>
          <w:sz w:val="22"/>
          <w:szCs w:val="22"/>
        </w:rPr>
      </w:pPr>
    </w:p>
    <w:p w14:paraId="3498BD73" w14:textId="0CD065CB" w:rsidR="00563922" w:rsidRPr="00DE1352" w:rsidRDefault="00756399" w:rsidP="00563922">
      <w:pPr>
        <w:pStyle w:val="Kopfzeile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36515C">
        <w:rPr>
          <w:b/>
          <w:sz w:val="22"/>
          <w:szCs w:val="22"/>
        </w:rPr>
        <w:t xml:space="preserve">Untersuchungsziel und Forschungsfrage der Studie </w:t>
      </w:r>
    </w:p>
    <w:p w14:paraId="5C561035" w14:textId="6B221C49" w:rsidR="00756399" w:rsidRPr="0036515C" w:rsidRDefault="00756399" w:rsidP="00756399">
      <w:pPr>
        <w:pStyle w:val="Kopfzeile"/>
        <w:spacing w:line="276" w:lineRule="auto"/>
        <w:jc w:val="both"/>
        <w:rPr>
          <w:sz w:val="22"/>
          <w:szCs w:val="22"/>
        </w:rPr>
      </w:pPr>
      <w:r w:rsidRPr="0036515C">
        <w:rPr>
          <w:sz w:val="22"/>
          <w:szCs w:val="22"/>
        </w:rPr>
        <w:t xml:space="preserve">Bei der </w:t>
      </w:r>
      <w:r w:rsidR="00DE1352">
        <w:rPr>
          <w:sz w:val="22"/>
          <w:szCs w:val="22"/>
        </w:rPr>
        <w:t xml:space="preserve">geplanten </w:t>
      </w:r>
      <w:r w:rsidRPr="0036515C">
        <w:rPr>
          <w:sz w:val="22"/>
          <w:szCs w:val="22"/>
        </w:rPr>
        <w:t xml:space="preserve">Studie </w:t>
      </w:r>
      <w:proofErr w:type="spellStart"/>
      <w:r w:rsidRPr="00DE1352">
        <w:rPr>
          <w:b/>
          <w:sz w:val="22"/>
          <w:szCs w:val="22"/>
        </w:rPr>
        <w:t>ProVis</w:t>
      </w:r>
      <w:r w:rsidR="005C0913">
        <w:rPr>
          <w:b/>
          <w:sz w:val="22"/>
          <w:szCs w:val="22"/>
        </w:rPr>
        <w:t>io</w:t>
      </w:r>
      <w:r w:rsidRPr="00DE1352">
        <w:rPr>
          <w:b/>
          <w:sz w:val="22"/>
          <w:szCs w:val="22"/>
        </w:rPr>
        <w:t>NET</w:t>
      </w:r>
      <w:proofErr w:type="spellEnd"/>
      <w:r w:rsidRPr="00DE1352">
        <w:rPr>
          <w:b/>
          <w:sz w:val="22"/>
          <w:szCs w:val="22"/>
        </w:rPr>
        <w:t xml:space="preserve"> </w:t>
      </w:r>
      <w:r w:rsidRPr="0036515C">
        <w:rPr>
          <w:sz w:val="22"/>
          <w:szCs w:val="22"/>
        </w:rPr>
        <w:t>handelt es sich um eine Laborstudie, bei der in einem quasi-experimentellen Querschnitt-Studiendesign untersucht wird</w:t>
      </w:r>
      <w:r w:rsidR="007A33F1">
        <w:rPr>
          <w:sz w:val="22"/>
          <w:szCs w:val="22"/>
        </w:rPr>
        <w:t xml:space="preserve">, ob die </w:t>
      </w:r>
      <w:r w:rsidRPr="0036515C">
        <w:rPr>
          <w:sz w:val="22"/>
          <w:szCs w:val="22"/>
        </w:rPr>
        <w:t xml:space="preserve">Unterrichtserfahrung von Lehrpersonen einen Einfluss auf die Wahrnehmung </w:t>
      </w:r>
      <w:r w:rsidR="007A33F1">
        <w:rPr>
          <w:sz w:val="22"/>
          <w:szCs w:val="22"/>
        </w:rPr>
        <w:t xml:space="preserve">und Interpretation </w:t>
      </w:r>
      <w:r w:rsidRPr="0036515C">
        <w:rPr>
          <w:sz w:val="22"/>
          <w:szCs w:val="22"/>
        </w:rPr>
        <w:t xml:space="preserve">von Unterrichtsstörungen hat. Ziel ist es herauszufinden, ob </w:t>
      </w:r>
      <w:r w:rsidR="007A33F1">
        <w:rPr>
          <w:sz w:val="22"/>
          <w:szCs w:val="22"/>
        </w:rPr>
        <w:t xml:space="preserve">zum einen </w:t>
      </w:r>
      <w:r w:rsidR="002E70AE">
        <w:rPr>
          <w:sz w:val="22"/>
          <w:szCs w:val="22"/>
        </w:rPr>
        <w:t>im Bereich des „</w:t>
      </w:r>
      <w:proofErr w:type="spellStart"/>
      <w:r w:rsidR="002E70AE">
        <w:rPr>
          <w:sz w:val="22"/>
          <w:szCs w:val="22"/>
        </w:rPr>
        <w:t>Noticings</w:t>
      </w:r>
      <w:proofErr w:type="spellEnd"/>
      <w:r w:rsidR="002E70AE">
        <w:rPr>
          <w:sz w:val="22"/>
          <w:szCs w:val="22"/>
        </w:rPr>
        <w:t xml:space="preserve">“ </w:t>
      </w:r>
      <w:r w:rsidRPr="0036515C">
        <w:rPr>
          <w:sz w:val="22"/>
          <w:szCs w:val="22"/>
        </w:rPr>
        <w:t xml:space="preserve">in </w:t>
      </w:r>
      <w:r w:rsidR="007A33F1">
        <w:rPr>
          <w:sz w:val="22"/>
          <w:szCs w:val="22"/>
        </w:rPr>
        <w:t>einem</w:t>
      </w:r>
      <w:r w:rsidRPr="0036515C">
        <w:rPr>
          <w:sz w:val="22"/>
          <w:szCs w:val="22"/>
        </w:rPr>
        <w:t xml:space="preserve"> kontrollierten Kontext Unterschiede in der Allokation von </w:t>
      </w:r>
      <w:r w:rsidR="002E70AE">
        <w:rPr>
          <w:sz w:val="22"/>
          <w:szCs w:val="22"/>
        </w:rPr>
        <w:t xml:space="preserve">selektiver </w:t>
      </w:r>
      <w:r w:rsidRPr="0036515C">
        <w:rPr>
          <w:sz w:val="22"/>
          <w:szCs w:val="22"/>
        </w:rPr>
        <w:t xml:space="preserve">Aufmerksamkeit zwischen den </w:t>
      </w:r>
      <w:proofErr w:type="spellStart"/>
      <w:r w:rsidRPr="0036515C">
        <w:rPr>
          <w:sz w:val="22"/>
          <w:szCs w:val="22"/>
        </w:rPr>
        <w:t>Expertisegruppen</w:t>
      </w:r>
      <w:proofErr w:type="spellEnd"/>
      <w:r w:rsidRPr="0036515C">
        <w:rPr>
          <w:sz w:val="22"/>
          <w:szCs w:val="22"/>
        </w:rPr>
        <w:t xml:space="preserve"> </w:t>
      </w:r>
      <w:r w:rsidR="007A33F1">
        <w:rPr>
          <w:sz w:val="22"/>
          <w:szCs w:val="22"/>
        </w:rPr>
        <w:t xml:space="preserve">festgestellt werden, zum anderen </w:t>
      </w:r>
      <w:r w:rsidR="002E70AE">
        <w:rPr>
          <w:sz w:val="22"/>
          <w:szCs w:val="22"/>
        </w:rPr>
        <w:t>im Bereich des „Knowledge-</w:t>
      </w:r>
      <w:proofErr w:type="spellStart"/>
      <w:r w:rsidR="002E70AE">
        <w:rPr>
          <w:sz w:val="22"/>
          <w:szCs w:val="22"/>
        </w:rPr>
        <w:t>based</w:t>
      </w:r>
      <w:proofErr w:type="spellEnd"/>
      <w:r w:rsidR="002E70AE">
        <w:rPr>
          <w:sz w:val="22"/>
          <w:szCs w:val="22"/>
        </w:rPr>
        <w:t xml:space="preserve"> </w:t>
      </w:r>
      <w:proofErr w:type="spellStart"/>
      <w:r w:rsidR="002E70AE">
        <w:rPr>
          <w:sz w:val="22"/>
          <w:szCs w:val="22"/>
        </w:rPr>
        <w:t>Reasonings</w:t>
      </w:r>
      <w:proofErr w:type="spellEnd"/>
      <w:r w:rsidR="002E70AE">
        <w:rPr>
          <w:sz w:val="22"/>
          <w:szCs w:val="22"/>
        </w:rPr>
        <w:t>“</w:t>
      </w:r>
      <w:r w:rsidR="00F53C66">
        <w:rPr>
          <w:sz w:val="22"/>
          <w:szCs w:val="22"/>
        </w:rPr>
        <w:t>, um relevante Ereignisse zu beschreiben, zu erklären und Handlungsalternativen zu generieren</w:t>
      </w:r>
      <w:r w:rsidR="002E70AE">
        <w:rPr>
          <w:sz w:val="22"/>
          <w:szCs w:val="22"/>
        </w:rPr>
        <w:t xml:space="preserve">. </w:t>
      </w:r>
      <w:bookmarkStart w:id="0" w:name="_GoBack"/>
      <w:bookmarkEnd w:id="0"/>
    </w:p>
    <w:p w14:paraId="2BCE751B" w14:textId="77777777" w:rsidR="00771393" w:rsidRPr="0036515C" w:rsidRDefault="00771393" w:rsidP="00756399">
      <w:pPr>
        <w:pStyle w:val="Kopfzeile"/>
        <w:spacing w:line="276" w:lineRule="auto"/>
        <w:jc w:val="both"/>
        <w:rPr>
          <w:sz w:val="22"/>
          <w:szCs w:val="22"/>
        </w:rPr>
      </w:pPr>
    </w:p>
    <w:p w14:paraId="4E72499D" w14:textId="4B4EEB26" w:rsidR="00771393" w:rsidRPr="0036515C" w:rsidRDefault="00756399" w:rsidP="00C91A75">
      <w:pPr>
        <w:pStyle w:val="Kopfzeile"/>
        <w:numPr>
          <w:ilvl w:val="0"/>
          <w:numId w:val="9"/>
        </w:numPr>
        <w:spacing w:line="276" w:lineRule="auto"/>
        <w:jc w:val="both"/>
        <w:rPr>
          <w:b/>
          <w:sz w:val="22"/>
          <w:szCs w:val="22"/>
        </w:rPr>
      </w:pPr>
      <w:r w:rsidRPr="0036515C">
        <w:rPr>
          <w:b/>
          <w:sz w:val="22"/>
          <w:szCs w:val="22"/>
        </w:rPr>
        <w:t xml:space="preserve">Rekrutierung der </w:t>
      </w:r>
      <w:r w:rsidR="00771393" w:rsidRPr="0036515C">
        <w:rPr>
          <w:b/>
          <w:sz w:val="22"/>
          <w:szCs w:val="22"/>
        </w:rPr>
        <w:t>Versuchspersonen</w:t>
      </w:r>
    </w:p>
    <w:p w14:paraId="74BEAE96" w14:textId="48F340B3" w:rsidR="00771393" w:rsidRPr="0036515C" w:rsidRDefault="00771393" w:rsidP="00771393">
      <w:pPr>
        <w:pStyle w:val="Kopfzeile"/>
        <w:spacing w:line="276" w:lineRule="auto"/>
        <w:jc w:val="both"/>
        <w:rPr>
          <w:sz w:val="22"/>
          <w:szCs w:val="22"/>
        </w:rPr>
      </w:pPr>
      <w:r w:rsidRPr="0036515C">
        <w:rPr>
          <w:sz w:val="22"/>
          <w:szCs w:val="22"/>
        </w:rPr>
        <w:t xml:space="preserve">Für die Stichprobenrekrutierung der </w:t>
      </w:r>
      <w:proofErr w:type="spellStart"/>
      <w:proofErr w:type="gramStart"/>
      <w:r w:rsidRPr="0036515C">
        <w:rPr>
          <w:sz w:val="22"/>
          <w:szCs w:val="22"/>
        </w:rPr>
        <w:t>Proband:innen</w:t>
      </w:r>
      <w:proofErr w:type="spellEnd"/>
      <w:proofErr w:type="gramEnd"/>
      <w:r w:rsidRPr="0036515C">
        <w:rPr>
          <w:sz w:val="22"/>
          <w:szCs w:val="22"/>
        </w:rPr>
        <w:t xml:space="preserve"> (</w:t>
      </w:r>
      <w:r w:rsidR="00697E43">
        <w:rPr>
          <w:sz w:val="22"/>
          <w:szCs w:val="22"/>
        </w:rPr>
        <w:t>geplant:</w:t>
      </w:r>
      <w:r w:rsidR="00697E43" w:rsidRPr="0036515C">
        <w:rPr>
          <w:sz w:val="22"/>
          <w:szCs w:val="22"/>
        </w:rPr>
        <w:t xml:space="preserve"> </w:t>
      </w:r>
      <w:r w:rsidRPr="00C91A75">
        <w:rPr>
          <w:i/>
          <w:sz w:val="22"/>
          <w:szCs w:val="22"/>
        </w:rPr>
        <w:t xml:space="preserve">N </w:t>
      </w:r>
      <w:r w:rsidRPr="0036515C">
        <w:rPr>
          <w:sz w:val="22"/>
          <w:szCs w:val="22"/>
        </w:rPr>
        <w:t xml:space="preserve">= </w:t>
      </w:r>
      <w:r w:rsidR="005C0913">
        <w:rPr>
          <w:sz w:val="22"/>
          <w:szCs w:val="22"/>
        </w:rPr>
        <w:t>52</w:t>
      </w:r>
      <w:r w:rsidRPr="0036515C">
        <w:rPr>
          <w:sz w:val="22"/>
          <w:szCs w:val="22"/>
        </w:rPr>
        <w:t xml:space="preserve">) werden </w:t>
      </w:r>
      <w:r w:rsidR="005C0913">
        <w:rPr>
          <w:sz w:val="22"/>
          <w:szCs w:val="22"/>
        </w:rPr>
        <w:t>Lehrpersonen</w:t>
      </w:r>
      <w:r w:rsidRPr="0036515C">
        <w:rPr>
          <w:sz w:val="22"/>
          <w:szCs w:val="22"/>
        </w:rPr>
        <w:t xml:space="preserve"> </w:t>
      </w:r>
      <w:r w:rsidR="005C0913">
        <w:rPr>
          <w:sz w:val="22"/>
          <w:szCs w:val="22"/>
        </w:rPr>
        <w:t xml:space="preserve">der Stadt Leipzig </w:t>
      </w:r>
      <w:r w:rsidR="0036515C" w:rsidRPr="0036515C">
        <w:rPr>
          <w:sz w:val="22"/>
          <w:szCs w:val="22"/>
        </w:rPr>
        <w:t xml:space="preserve">sowie Studierende der Universität Leipzig </w:t>
      </w:r>
      <w:r w:rsidRPr="0036515C">
        <w:rPr>
          <w:sz w:val="22"/>
          <w:szCs w:val="22"/>
        </w:rPr>
        <w:t xml:space="preserve">kontaktiert. Die Auswahl der </w:t>
      </w:r>
      <w:proofErr w:type="spellStart"/>
      <w:proofErr w:type="gramStart"/>
      <w:r w:rsidRPr="0036515C">
        <w:rPr>
          <w:sz w:val="22"/>
          <w:szCs w:val="22"/>
        </w:rPr>
        <w:t>Proband:innen</w:t>
      </w:r>
      <w:proofErr w:type="spellEnd"/>
      <w:proofErr w:type="gramEnd"/>
      <w:r w:rsidRPr="0036515C">
        <w:rPr>
          <w:sz w:val="22"/>
          <w:szCs w:val="22"/>
        </w:rPr>
        <w:t xml:space="preserve"> erfolgt nach Ext</w:t>
      </w:r>
      <w:r w:rsidR="00DB5115">
        <w:rPr>
          <w:sz w:val="22"/>
          <w:szCs w:val="22"/>
        </w:rPr>
        <w:softHyphen/>
      </w:r>
      <w:r w:rsidRPr="0036515C">
        <w:rPr>
          <w:sz w:val="22"/>
          <w:szCs w:val="22"/>
        </w:rPr>
        <w:t>remgruppen, wobei die Berufserfahrung das entscheidende Kriterium für die Auswahl darstellt</w:t>
      </w:r>
      <w:r w:rsidR="005C0913">
        <w:rPr>
          <w:sz w:val="22"/>
          <w:szCs w:val="22"/>
        </w:rPr>
        <w:t xml:space="preserve"> (Palmer et al., 2005).</w:t>
      </w:r>
      <w:r w:rsidRPr="0036515C">
        <w:rPr>
          <w:sz w:val="22"/>
          <w:szCs w:val="22"/>
        </w:rPr>
        <w:t xml:space="preserve"> </w:t>
      </w:r>
    </w:p>
    <w:p w14:paraId="02AFE84B" w14:textId="77777777" w:rsidR="00771393" w:rsidRPr="0036515C" w:rsidRDefault="00771393" w:rsidP="00771393">
      <w:pPr>
        <w:pStyle w:val="Kopfzeile"/>
        <w:spacing w:line="276" w:lineRule="auto"/>
        <w:jc w:val="both"/>
        <w:rPr>
          <w:sz w:val="22"/>
          <w:szCs w:val="22"/>
        </w:rPr>
      </w:pPr>
    </w:p>
    <w:p w14:paraId="2A65BB0B" w14:textId="23504FB3" w:rsidR="00756399" w:rsidRPr="0036515C" w:rsidRDefault="00756399" w:rsidP="00C91A75">
      <w:pPr>
        <w:pStyle w:val="Kopfzeile"/>
        <w:numPr>
          <w:ilvl w:val="0"/>
          <w:numId w:val="9"/>
        </w:numPr>
        <w:spacing w:line="276" w:lineRule="auto"/>
        <w:jc w:val="both"/>
        <w:rPr>
          <w:b/>
          <w:sz w:val="22"/>
          <w:szCs w:val="22"/>
        </w:rPr>
      </w:pPr>
      <w:r w:rsidRPr="0036515C">
        <w:rPr>
          <w:b/>
          <w:sz w:val="22"/>
          <w:szCs w:val="22"/>
        </w:rPr>
        <w:t>Ablauf</w:t>
      </w:r>
      <w:r w:rsidR="00771393" w:rsidRPr="0036515C">
        <w:rPr>
          <w:b/>
          <w:sz w:val="22"/>
          <w:szCs w:val="22"/>
        </w:rPr>
        <w:t xml:space="preserve"> der Studie </w:t>
      </w:r>
    </w:p>
    <w:p w14:paraId="3D2DF13F" w14:textId="185BE1A9" w:rsidR="007A33F1" w:rsidRDefault="00771393" w:rsidP="007A33F1">
      <w:pPr>
        <w:spacing w:line="276" w:lineRule="auto"/>
        <w:jc w:val="both"/>
      </w:pPr>
      <w:r w:rsidRPr="0036515C">
        <w:rPr>
          <w:sz w:val="22"/>
          <w:szCs w:val="22"/>
        </w:rPr>
        <w:t xml:space="preserve">Für die </w:t>
      </w:r>
      <w:r w:rsidR="00C91A75">
        <w:rPr>
          <w:sz w:val="22"/>
          <w:szCs w:val="22"/>
        </w:rPr>
        <w:t>Studie</w:t>
      </w:r>
      <w:r w:rsidRPr="0036515C">
        <w:rPr>
          <w:sz w:val="22"/>
          <w:szCs w:val="22"/>
        </w:rPr>
        <w:t xml:space="preserve"> </w:t>
      </w:r>
      <w:r w:rsidR="005C0913">
        <w:rPr>
          <w:sz w:val="22"/>
          <w:szCs w:val="22"/>
        </w:rPr>
        <w:t xml:space="preserve">werden (angehende) Lehrpersonen </w:t>
      </w:r>
      <w:r w:rsidR="003F6D11" w:rsidRPr="0036515C">
        <w:rPr>
          <w:sz w:val="22"/>
          <w:szCs w:val="22"/>
        </w:rPr>
        <w:t>in den Räumen des</w:t>
      </w:r>
      <w:r w:rsidRPr="0036515C">
        <w:rPr>
          <w:sz w:val="22"/>
          <w:szCs w:val="22"/>
        </w:rPr>
        <w:t xml:space="preserve"> mobilen Labors der </w:t>
      </w:r>
      <w:r w:rsidR="003F6D11" w:rsidRPr="0036515C">
        <w:rPr>
          <w:sz w:val="22"/>
          <w:szCs w:val="22"/>
        </w:rPr>
        <w:t>E</w:t>
      </w:r>
      <w:r w:rsidRPr="0036515C">
        <w:rPr>
          <w:sz w:val="22"/>
          <w:szCs w:val="22"/>
        </w:rPr>
        <w:t xml:space="preserve">mpirische Schul- und Unterrichtsforschung aufgezeichnet. </w:t>
      </w:r>
      <w:r w:rsidR="007A33F1">
        <w:rPr>
          <w:sz w:val="22"/>
          <w:szCs w:val="22"/>
        </w:rPr>
        <w:t xml:space="preserve">In einem ersten Teil werden die Versuchspersonen </w:t>
      </w:r>
      <w:r w:rsidRPr="0036515C">
        <w:rPr>
          <w:sz w:val="22"/>
          <w:szCs w:val="22"/>
        </w:rPr>
        <w:t>gebeten, ein</w:t>
      </w:r>
      <w:r w:rsidR="00C91A75">
        <w:rPr>
          <w:sz w:val="22"/>
          <w:szCs w:val="22"/>
        </w:rPr>
        <w:t xml:space="preserve">e Lektion </w:t>
      </w:r>
      <w:r w:rsidRPr="0036515C">
        <w:rPr>
          <w:sz w:val="22"/>
          <w:szCs w:val="22"/>
        </w:rPr>
        <w:t>à 1</w:t>
      </w:r>
      <w:r w:rsidR="003F6D11" w:rsidRPr="0036515C">
        <w:rPr>
          <w:sz w:val="22"/>
          <w:szCs w:val="22"/>
        </w:rPr>
        <w:t xml:space="preserve">0 </w:t>
      </w:r>
      <w:r w:rsidRPr="0036515C">
        <w:rPr>
          <w:sz w:val="22"/>
          <w:szCs w:val="22"/>
        </w:rPr>
        <w:t>min zu halten. Die Durchführung</w:t>
      </w:r>
      <w:r w:rsidR="00C91A75">
        <w:rPr>
          <w:sz w:val="22"/>
          <w:szCs w:val="22"/>
        </w:rPr>
        <w:t xml:space="preserve"> </w:t>
      </w:r>
      <w:r w:rsidRPr="0036515C">
        <w:rPr>
          <w:sz w:val="22"/>
          <w:szCs w:val="22"/>
        </w:rPr>
        <w:t>beträgt</w:t>
      </w:r>
      <w:r w:rsidR="00DB5115">
        <w:rPr>
          <w:sz w:val="22"/>
          <w:szCs w:val="22"/>
        </w:rPr>
        <w:t xml:space="preserve"> ca.</w:t>
      </w:r>
      <w:r w:rsidR="00C91A75">
        <w:rPr>
          <w:sz w:val="22"/>
          <w:szCs w:val="22"/>
        </w:rPr>
        <w:t xml:space="preserve"> </w:t>
      </w:r>
      <w:r w:rsidR="003F6D11" w:rsidRPr="0036515C">
        <w:rPr>
          <w:sz w:val="22"/>
          <w:szCs w:val="22"/>
        </w:rPr>
        <w:t xml:space="preserve">3 h. Während einer </w:t>
      </w:r>
      <w:r w:rsidR="00C91A75">
        <w:rPr>
          <w:sz w:val="22"/>
          <w:szCs w:val="22"/>
        </w:rPr>
        <w:t>Lektion</w:t>
      </w:r>
      <w:r w:rsidR="003F6D11" w:rsidRPr="0036515C">
        <w:rPr>
          <w:sz w:val="22"/>
          <w:szCs w:val="22"/>
        </w:rPr>
        <w:t xml:space="preserve"> </w:t>
      </w:r>
      <w:r w:rsidR="007A33F1">
        <w:rPr>
          <w:sz w:val="22"/>
          <w:szCs w:val="22"/>
        </w:rPr>
        <w:t>agieren</w:t>
      </w:r>
      <w:r w:rsidRPr="0036515C">
        <w:rPr>
          <w:sz w:val="22"/>
          <w:szCs w:val="22"/>
        </w:rPr>
        <w:t xml:space="preserve"> drei </w:t>
      </w:r>
      <w:r w:rsidR="007A33F1">
        <w:rPr>
          <w:sz w:val="22"/>
          <w:szCs w:val="22"/>
        </w:rPr>
        <w:t xml:space="preserve">Hilfskräfte </w:t>
      </w:r>
      <w:r w:rsidRPr="0036515C">
        <w:rPr>
          <w:sz w:val="22"/>
          <w:szCs w:val="22"/>
        </w:rPr>
        <w:t xml:space="preserve">als Unterrichtsklasse. </w:t>
      </w:r>
      <w:r w:rsidR="003F6D11" w:rsidRPr="0036515C">
        <w:rPr>
          <w:sz w:val="22"/>
          <w:szCs w:val="22"/>
        </w:rPr>
        <w:t>„Die Klasse“</w:t>
      </w:r>
      <w:r w:rsidRPr="0036515C">
        <w:rPr>
          <w:sz w:val="22"/>
          <w:szCs w:val="22"/>
        </w:rPr>
        <w:t xml:space="preserve"> </w:t>
      </w:r>
      <w:r w:rsidR="003F6D11" w:rsidRPr="0036515C">
        <w:rPr>
          <w:sz w:val="22"/>
          <w:szCs w:val="22"/>
        </w:rPr>
        <w:t xml:space="preserve">erhält </w:t>
      </w:r>
      <w:r w:rsidRPr="0036515C">
        <w:rPr>
          <w:sz w:val="22"/>
          <w:szCs w:val="22"/>
        </w:rPr>
        <w:t xml:space="preserve">in einem </w:t>
      </w:r>
      <w:r w:rsidR="00697E43">
        <w:rPr>
          <w:sz w:val="22"/>
          <w:szCs w:val="22"/>
        </w:rPr>
        <w:t>vorbereiteten</w:t>
      </w:r>
      <w:r w:rsidRPr="0036515C">
        <w:rPr>
          <w:sz w:val="22"/>
          <w:szCs w:val="22"/>
        </w:rPr>
        <w:t xml:space="preserve"> Skript Verhal</w:t>
      </w:r>
      <w:r w:rsidR="00DB5115">
        <w:rPr>
          <w:sz w:val="22"/>
          <w:szCs w:val="22"/>
        </w:rPr>
        <w:softHyphen/>
      </w:r>
      <w:r w:rsidRPr="0036515C">
        <w:rPr>
          <w:sz w:val="22"/>
          <w:szCs w:val="22"/>
        </w:rPr>
        <w:t>tensanweisungen, um typische Ereignisse im Klassenzimmer zu simulieren</w:t>
      </w:r>
      <w:r w:rsidR="00DE1352">
        <w:rPr>
          <w:sz w:val="22"/>
          <w:szCs w:val="22"/>
        </w:rPr>
        <w:t xml:space="preserve">. </w:t>
      </w:r>
      <w:r w:rsidR="002E70AE">
        <w:rPr>
          <w:sz w:val="22"/>
          <w:szCs w:val="22"/>
        </w:rPr>
        <w:t xml:space="preserve">Die Lehrperson wird aufgefordert, so natürlich wie möglich zu handeln. </w:t>
      </w:r>
      <w:r w:rsidRPr="0036515C">
        <w:rPr>
          <w:sz w:val="22"/>
          <w:szCs w:val="22"/>
        </w:rPr>
        <w:t xml:space="preserve">Durch den Einsatz von mobilem Eye-Tracker wird </w:t>
      </w:r>
      <w:r w:rsidR="0036515C" w:rsidRPr="0036515C">
        <w:rPr>
          <w:sz w:val="22"/>
          <w:szCs w:val="22"/>
        </w:rPr>
        <w:t>das Blickverhalten</w:t>
      </w:r>
      <w:r w:rsidRPr="0036515C">
        <w:rPr>
          <w:sz w:val="22"/>
          <w:szCs w:val="22"/>
        </w:rPr>
        <w:t xml:space="preserve"> der</w:t>
      </w:r>
      <w:r w:rsidR="0036515C" w:rsidRPr="0036515C">
        <w:rPr>
          <w:sz w:val="22"/>
          <w:szCs w:val="22"/>
        </w:rPr>
        <w:t xml:space="preserve"> Lehrpersonen</w:t>
      </w:r>
      <w:r w:rsidRPr="0036515C">
        <w:rPr>
          <w:sz w:val="22"/>
          <w:szCs w:val="22"/>
        </w:rPr>
        <w:t xml:space="preserve"> erfasst. </w:t>
      </w:r>
      <w:r w:rsidR="00DB5115">
        <w:rPr>
          <w:sz w:val="22"/>
          <w:szCs w:val="22"/>
        </w:rPr>
        <w:t>Weitere</w:t>
      </w:r>
      <w:r w:rsidRPr="0036515C">
        <w:rPr>
          <w:sz w:val="22"/>
          <w:szCs w:val="22"/>
        </w:rPr>
        <w:t xml:space="preserve"> Geräusche und Stimmen werden mit</w:t>
      </w:r>
      <w:r w:rsidR="00DB5115">
        <w:rPr>
          <w:sz w:val="22"/>
          <w:szCs w:val="22"/>
        </w:rPr>
        <w:softHyphen/>
      </w:r>
      <w:r w:rsidRPr="0036515C">
        <w:rPr>
          <w:sz w:val="22"/>
          <w:szCs w:val="22"/>
        </w:rPr>
        <w:t>hilfe eines Audiorekorders</w:t>
      </w:r>
      <w:r w:rsidR="00C91A75">
        <w:rPr>
          <w:sz w:val="22"/>
          <w:szCs w:val="22"/>
        </w:rPr>
        <w:t xml:space="preserve"> aufgenommen</w:t>
      </w:r>
      <w:r w:rsidRPr="0036515C">
        <w:rPr>
          <w:sz w:val="22"/>
          <w:szCs w:val="22"/>
        </w:rPr>
        <w:t xml:space="preserve">. Bewegungen, Mimik und Gesten der </w:t>
      </w:r>
      <w:proofErr w:type="spellStart"/>
      <w:proofErr w:type="gramStart"/>
      <w:r w:rsidRPr="0036515C">
        <w:rPr>
          <w:sz w:val="22"/>
          <w:szCs w:val="22"/>
        </w:rPr>
        <w:t>Proband</w:t>
      </w:r>
      <w:r w:rsidR="0036515C" w:rsidRPr="0036515C">
        <w:rPr>
          <w:sz w:val="22"/>
          <w:szCs w:val="22"/>
        </w:rPr>
        <w:t>:</w:t>
      </w:r>
      <w:r w:rsidRPr="0036515C">
        <w:rPr>
          <w:sz w:val="22"/>
          <w:szCs w:val="22"/>
        </w:rPr>
        <w:t>innen</w:t>
      </w:r>
      <w:proofErr w:type="spellEnd"/>
      <w:proofErr w:type="gramEnd"/>
      <w:r w:rsidRPr="0036515C">
        <w:rPr>
          <w:sz w:val="22"/>
          <w:szCs w:val="22"/>
        </w:rPr>
        <w:t xml:space="preserve"> werden von vier Kameras aus verschiedenen Winkeln </w:t>
      </w:r>
      <w:r w:rsidR="00C91A75">
        <w:rPr>
          <w:sz w:val="22"/>
          <w:szCs w:val="22"/>
        </w:rPr>
        <w:t>aufgezeichnet</w:t>
      </w:r>
      <w:r w:rsidRPr="0036515C">
        <w:rPr>
          <w:sz w:val="22"/>
          <w:szCs w:val="22"/>
        </w:rPr>
        <w:t xml:space="preserve">. </w:t>
      </w:r>
      <w:r w:rsidR="007A33F1">
        <w:rPr>
          <w:sz w:val="22"/>
        </w:rPr>
        <w:t xml:space="preserve">In einem zweiten Teil </w:t>
      </w:r>
      <w:r w:rsidR="007A33F1" w:rsidRPr="007A33F1">
        <w:rPr>
          <w:sz w:val="22"/>
        </w:rPr>
        <w:t>wird die Lehrperson einige Minuten nach der Lektion gebeten mittels video-</w:t>
      </w:r>
      <w:proofErr w:type="spellStart"/>
      <w:r w:rsidR="007A33F1" w:rsidRPr="007A33F1">
        <w:rPr>
          <w:sz w:val="22"/>
        </w:rPr>
        <w:t>stimulated</w:t>
      </w:r>
      <w:proofErr w:type="spellEnd"/>
      <w:r w:rsidR="007A33F1" w:rsidRPr="007A33F1">
        <w:rPr>
          <w:sz w:val="22"/>
        </w:rPr>
        <w:t xml:space="preserve"> Recall, das eigene Video mit Blickpunkt komplett zu schauen</w:t>
      </w:r>
      <w:r w:rsidR="007A33F1">
        <w:rPr>
          <w:sz w:val="22"/>
        </w:rPr>
        <w:t xml:space="preserve"> und </w:t>
      </w:r>
      <w:r w:rsidR="007A33F1" w:rsidRPr="007A33F1">
        <w:rPr>
          <w:sz w:val="22"/>
        </w:rPr>
        <w:t xml:space="preserve">laut denkend alles zu kommentieren, was sie sieht. </w:t>
      </w:r>
    </w:p>
    <w:p w14:paraId="389E69D0" w14:textId="304E1A12" w:rsidR="00C91A75" w:rsidRDefault="00C91A75" w:rsidP="00771393">
      <w:pPr>
        <w:pStyle w:val="Kopfzeile"/>
        <w:spacing w:line="276" w:lineRule="auto"/>
        <w:jc w:val="both"/>
        <w:rPr>
          <w:sz w:val="22"/>
          <w:szCs w:val="22"/>
        </w:rPr>
      </w:pPr>
    </w:p>
    <w:p w14:paraId="3F4ADF49" w14:textId="56366A12" w:rsidR="00C91A75" w:rsidRPr="00DB5115" w:rsidRDefault="00C91A75" w:rsidP="00771393">
      <w:pPr>
        <w:pStyle w:val="Kopfzeile"/>
        <w:spacing w:line="276" w:lineRule="auto"/>
        <w:jc w:val="both"/>
        <w:rPr>
          <w:b/>
          <w:sz w:val="20"/>
          <w:szCs w:val="22"/>
        </w:rPr>
      </w:pPr>
      <w:r w:rsidRPr="00DB5115">
        <w:rPr>
          <w:b/>
          <w:sz w:val="20"/>
          <w:szCs w:val="22"/>
        </w:rPr>
        <w:t>Literatur</w:t>
      </w:r>
    </w:p>
    <w:p w14:paraId="009027B5" w14:textId="26FFD5BB" w:rsidR="00C91A75" w:rsidRPr="005C0913" w:rsidRDefault="00C91A75" w:rsidP="005C0913">
      <w:pPr>
        <w:pStyle w:val="Kopfzeile"/>
        <w:spacing w:line="276" w:lineRule="auto"/>
        <w:jc w:val="both"/>
        <w:rPr>
          <w:sz w:val="16"/>
          <w:szCs w:val="22"/>
          <w:lang w:val="en-US"/>
        </w:rPr>
      </w:pPr>
      <w:proofErr w:type="spellStart"/>
      <w:r w:rsidRPr="00DB5115">
        <w:rPr>
          <w:b/>
          <w:bCs/>
          <w:sz w:val="16"/>
          <w:szCs w:val="22"/>
        </w:rPr>
        <w:t>Evertson</w:t>
      </w:r>
      <w:proofErr w:type="spellEnd"/>
      <w:r w:rsidRPr="00DB5115">
        <w:rPr>
          <w:sz w:val="16"/>
          <w:szCs w:val="22"/>
        </w:rPr>
        <w:t xml:space="preserve">, C. M., &amp; </w:t>
      </w:r>
      <w:r w:rsidRPr="00DB5115">
        <w:rPr>
          <w:b/>
          <w:bCs/>
          <w:sz w:val="16"/>
          <w:szCs w:val="22"/>
        </w:rPr>
        <w:t>Weinstein</w:t>
      </w:r>
      <w:r w:rsidRPr="00DB5115">
        <w:rPr>
          <w:sz w:val="16"/>
          <w:szCs w:val="22"/>
        </w:rPr>
        <w:t xml:space="preserve">, C. S. (Hrsg.). </w:t>
      </w:r>
      <w:r w:rsidRPr="00DB5115">
        <w:rPr>
          <w:sz w:val="16"/>
          <w:szCs w:val="22"/>
          <w:lang w:val="en-US"/>
        </w:rPr>
        <w:t xml:space="preserve">(2006). Handbook of classroom management: Research, practice, and contemporary issues. Lawrence Erlbaum Associates Publishers. ● </w:t>
      </w:r>
      <w:r w:rsidRPr="00DB5115">
        <w:rPr>
          <w:b/>
          <w:bCs/>
          <w:sz w:val="16"/>
          <w:szCs w:val="22"/>
          <w:lang w:val="en-US"/>
        </w:rPr>
        <w:t>Goodwin</w:t>
      </w:r>
      <w:r w:rsidRPr="00DB5115">
        <w:rPr>
          <w:sz w:val="16"/>
          <w:szCs w:val="22"/>
          <w:lang w:val="en-US"/>
        </w:rPr>
        <w:t xml:space="preserve">, C. (1994). Professional vision. </w:t>
      </w:r>
      <w:r w:rsidRPr="005C0913">
        <w:rPr>
          <w:sz w:val="16"/>
          <w:szCs w:val="22"/>
          <w:lang w:val="en-US"/>
        </w:rPr>
        <w:t>American Anthropologist, 96(3), 606–633.</w:t>
      </w:r>
      <w:r w:rsidR="00DB5115" w:rsidRPr="005C0913">
        <w:rPr>
          <w:sz w:val="16"/>
          <w:szCs w:val="22"/>
          <w:lang w:val="en-US"/>
        </w:rPr>
        <w:t xml:space="preserve"> </w:t>
      </w:r>
      <w:r w:rsidR="00DB5115" w:rsidRPr="00DB5115">
        <w:rPr>
          <w:sz w:val="16"/>
          <w:szCs w:val="22"/>
        </w:rPr>
        <w:t xml:space="preserve">● </w:t>
      </w:r>
      <w:r w:rsidR="00DB5115" w:rsidRPr="00DB5115">
        <w:rPr>
          <w:b/>
          <w:sz w:val="16"/>
          <w:szCs w:val="22"/>
        </w:rPr>
        <w:t>Kounin</w:t>
      </w:r>
      <w:r w:rsidR="00DB5115" w:rsidRPr="00DB5115">
        <w:rPr>
          <w:sz w:val="16"/>
          <w:szCs w:val="22"/>
        </w:rPr>
        <w:t>, J. S. (2006). Techniken der Klassenführung</w:t>
      </w:r>
      <w:r w:rsidR="00DB5115">
        <w:rPr>
          <w:sz w:val="16"/>
          <w:szCs w:val="22"/>
        </w:rPr>
        <w:t xml:space="preserve">. </w:t>
      </w:r>
      <w:r w:rsidR="00DB5115" w:rsidRPr="00DB5115">
        <w:rPr>
          <w:sz w:val="16"/>
          <w:szCs w:val="22"/>
        </w:rPr>
        <w:t xml:space="preserve">Münster: Waxmann. </w:t>
      </w:r>
      <w:r w:rsidRPr="00DB5115">
        <w:rPr>
          <w:sz w:val="16"/>
          <w:szCs w:val="22"/>
        </w:rPr>
        <w:t>●</w:t>
      </w:r>
      <w:r w:rsidR="00DB5115" w:rsidRPr="00DB5115">
        <w:rPr>
          <w:sz w:val="16"/>
          <w:szCs w:val="22"/>
        </w:rPr>
        <w:t xml:space="preserve"> </w:t>
      </w:r>
      <w:r w:rsidRPr="00DB5115">
        <w:rPr>
          <w:b/>
          <w:bCs/>
          <w:sz w:val="16"/>
          <w:szCs w:val="22"/>
        </w:rPr>
        <w:t>Lachner</w:t>
      </w:r>
      <w:r w:rsidRPr="00DB5115">
        <w:rPr>
          <w:sz w:val="16"/>
          <w:szCs w:val="22"/>
        </w:rPr>
        <w:t xml:space="preserve">, A., </w:t>
      </w:r>
      <w:proofErr w:type="spellStart"/>
      <w:r w:rsidRPr="00DB5115">
        <w:rPr>
          <w:b/>
          <w:bCs/>
          <w:sz w:val="16"/>
          <w:szCs w:val="22"/>
        </w:rPr>
        <w:t>Jarodzka</w:t>
      </w:r>
      <w:proofErr w:type="spellEnd"/>
      <w:r w:rsidRPr="00DB5115">
        <w:rPr>
          <w:sz w:val="16"/>
          <w:szCs w:val="22"/>
        </w:rPr>
        <w:t xml:space="preserve">, H., &amp; </w:t>
      </w:r>
      <w:proofErr w:type="spellStart"/>
      <w:r w:rsidRPr="00DB5115">
        <w:rPr>
          <w:b/>
          <w:bCs/>
          <w:sz w:val="16"/>
          <w:szCs w:val="22"/>
        </w:rPr>
        <w:t>Nückles</w:t>
      </w:r>
      <w:proofErr w:type="spellEnd"/>
      <w:r w:rsidRPr="00DB5115">
        <w:rPr>
          <w:sz w:val="16"/>
          <w:szCs w:val="22"/>
        </w:rPr>
        <w:t xml:space="preserve">, M. (2016). </w:t>
      </w:r>
      <w:r w:rsidRPr="00DB5115">
        <w:rPr>
          <w:sz w:val="16"/>
          <w:szCs w:val="22"/>
          <w:lang w:val="en-US"/>
        </w:rPr>
        <w:t xml:space="preserve">What makes an expert teacher? Investigating teachers’ professional vision and discourse abilities. </w:t>
      </w:r>
      <w:r w:rsidRPr="005C0913">
        <w:rPr>
          <w:sz w:val="16"/>
          <w:szCs w:val="22"/>
          <w:lang w:val="en-US"/>
        </w:rPr>
        <w:t xml:space="preserve">Instructional Science, 44(3), 197-203. </w:t>
      </w:r>
      <w:r w:rsidRPr="00DB5115">
        <w:rPr>
          <w:sz w:val="16"/>
          <w:szCs w:val="22"/>
          <w:lang w:val="en-US"/>
        </w:rPr>
        <w:t xml:space="preserve">● </w:t>
      </w:r>
      <w:proofErr w:type="spellStart"/>
      <w:r w:rsidRPr="00DB5115">
        <w:rPr>
          <w:b/>
          <w:bCs/>
          <w:sz w:val="16"/>
          <w:szCs w:val="22"/>
          <w:lang w:val="en-US"/>
        </w:rPr>
        <w:t>Sherin</w:t>
      </w:r>
      <w:proofErr w:type="spellEnd"/>
      <w:r w:rsidRPr="00DB5115">
        <w:rPr>
          <w:sz w:val="16"/>
          <w:szCs w:val="22"/>
          <w:lang w:val="en-US"/>
        </w:rPr>
        <w:t>, M. G. (2007). The development of teachers’ professional vision in video clubs. Video Research in the Learning Sciences, 383–395.</w:t>
      </w:r>
      <w:r w:rsidR="005C0913">
        <w:rPr>
          <w:sz w:val="16"/>
          <w:szCs w:val="22"/>
          <w:lang w:val="en-US"/>
        </w:rPr>
        <w:t xml:space="preserve"> </w:t>
      </w:r>
      <w:r w:rsidR="005C0913" w:rsidRPr="00DB5115">
        <w:rPr>
          <w:sz w:val="16"/>
          <w:szCs w:val="22"/>
          <w:lang w:val="en-US"/>
        </w:rPr>
        <w:t>●</w:t>
      </w:r>
      <w:r w:rsidR="005C0913">
        <w:rPr>
          <w:sz w:val="16"/>
          <w:szCs w:val="22"/>
          <w:lang w:val="en-US"/>
        </w:rPr>
        <w:t xml:space="preserve"> </w:t>
      </w:r>
      <w:r w:rsidR="005C0913" w:rsidRPr="005C0913">
        <w:rPr>
          <w:b/>
          <w:sz w:val="16"/>
          <w:szCs w:val="22"/>
          <w:lang w:val="en-US"/>
        </w:rPr>
        <w:t>Palmer</w:t>
      </w:r>
      <w:r w:rsidR="005C0913" w:rsidRPr="005C0913">
        <w:rPr>
          <w:sz w:val="16"/>
          <w:szCs w:val="22"/>
          <w:lang w:val="en-US"/>
        </w:rPr>
        <w:t xml:space="preserve">, D. J., </w:t>
      </w:r>
      <w:proofErr w:type="spellStart"/>
      <w:r w:rsidR="005C0913" w:rsidRPr="005C0913">
        <w:rPr>
          <w:b/>
          <w:sz w:val="16"/>
          <w:szCs w:val="22"/>
          <w:lang w:val="en-US"/>
        </w:rPr>
        <w:t>Stough</w:t>
      </w:r>
      <w:proofErr w:type="spellEnd"/>
      <w:r w:rsidR="005C0913" w:rsidRPr="005C0913">
        <w:rPr>
          <w:sz w:val="16"/>
          <w:szCs w:val="22"/>
          <w:lang w:val="en-US"/>
        </w:rPr>
        <w:t xml:space="preserve">, L. M., </w:t>
      </w:r>
      <w:proofErr w:type="spellStart"/>
      <w:r w:rsidR="005C0913" w:rsidRPr="005C0913">
        <w:rPr>
          <w:b/>
          <w:sz w:val="16"/>
          <w:szCs w:val="22"/>
          <w:lang w:val="en-US"/>
        </w:rPr>
        <w:t>Burdenski</w:t>
      </w:r>
      <w:proofErr w:type="spellEnd"/>
      <w:r w:rsidR="005C0913" w:rsidRPr="005C0913">
        <w:rPr>
          <w:sz w:val="16"/>
          <w:szCs w:val="22"/>
          <w:lang w:val="en-US"/>
        </w:rPr>
        <w:t xml:space="preserve">, T. K., &amp; </w:t>
      </w:r>
      <w:r w:rsidR="005C0913" w:rsidRPr="005C0913">
        <w:rPr>
          <w:b/>
          <w:sz w:val="16"/>
          <w:szCs w:val="22"/>
          <w:lang w:val="en-US"/>
        </w:rPr>
        <w:t>Gonzales</w:t>
      </w:r>
      <w:r w:rsidR="005C0913" w:rsidRPr="005C0913">
        <w:rPr>
          <w:sz w:val="16"/>
          <w:szCs w:val="22"/>
          <w:lang w:val="en-US"/>
        </w:rPr>
        <w:t>, M. (2005). Identifying</w:t>
      </w:r>
      <w:r w:rsidR="005C0913">
        <w:rPr>
          <w:sz w:val="16"/>
          <w:szCs w:val="22"/>
          <w:lang w:val="en-US"/>
        </w:rPr>
        <w:t xml:space="preserve"> </w:t>
      </w:r>
      <w:r w:rsidR="005C0913" w:rsidRPr="005C0913">
        <w:rPr>
          <w:sz w:val="16"/>
          <w:szCs w:val="22"/>
          <w:lang w:val="en-US"/>
        </w:rPr>
        <w:t>teacher expertise: An examination of researchers’ decision making. Educational</w:t>
      </w:r>
      <w:r w:rsidR="005C0913">
        <w:rPr>
          <w:sz w:val="16"/>
          <w:szCs w:val="22"/>
          <w:lang w:val="en-US"/>
        </w:rPr>
        <w:t xml:space="preserve"> </w:t>
      </w:r>
      <w:r w:rsidR="005C0913" w:rsidRPr="005C0913">
        <w:rPr>
          <w:sz w:val="16"/>
          <w:szCs w:val="22"/>
          <w:lang w:val="en-US"/>
        </w:rPr>
        <w:t>Psychologist, 40(1), 13–25.</w:t>
      </w:r>
    </w:p>
    <w:sectPr w:rsidR="00C91A75" w:rsidRPr="005C0913" w:rsidSect="00DB5115">
      <w:footerReference w:type="default" r:id="rId8"/>
      <w:pgSz w:w="11906" w:h="16838"/>
      <w:pgMar w:top="1134" w:right="1134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60A0F" w14:textId="77777777" w:rsidR="00F0675F" w:rsidRDefault="00F0675F" w:rsidP="002D05CF">
      <w:r>
        <w:separator/>
      </w:r>
    </w:p>
  </w:endnote>
  <w:endnote w:type="continuationSeparator" w:id="0">
    <w:p w14:paraId="670D445B" w14:textId="77777777" w:rsidR="00F0675F" w:rsidRDefault="00F0675F" w:rsidP="002D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227044"/>
      <w:docPartObj>
        <w:docPartGallery w:val="Page Numbers (Bottom of Page)"/>
        <w:docPartUnique/>
      </w:docPartObj>
    </w:sdtPr>
    <w:sdtEndPr/>
    <w:sdtContent>
      <w:p w14:paraId="7080F966" w14:textId="7C37711E" w:rsidR="00CB588F" w:rsidRDefault="00CB58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9F0B4A" w14:textId="77777777" w:rsidR="00CB588F" w:rsidRDefault="00CB58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C8740" w14:textId="77777777" w:rsidR="00F0675F" w:rsidRDefault="00F0675F" w:rsidP="002D05CF">
      <w:r>
        <w:separator/>
      </w:r>
    </w:p>
  </w:footnote>
  <w:footnote w:type="continuationSeparator" w:id="0">
    <w:p w14:paraId="35187114" w14:textId="77777777" w:rsidR="00F0675F" w:rsidRDefault="00F0675F" w:rsidP="002D0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437"/>
    <w:multiLevelType w:val="hybridMultilevel"/>
    <w:tmpl w:val="F46A1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65548"/>
    <w:multiLevelType w:val="hybridMultilevel"/>
    <w:tmpl w:val="C832AC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7A9B"/>
    <w:multiLevelType w:val="multilevel"/>
    <w:tmpl w:val="A684A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6E56B2"/>
    <w:multiLevelType w:val="multilevel"/>
    <w:tmpl w:val="A684A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D23CFF"/>
    <w:multiLevelType w:val="hybridMultilevel"/>
    <w:tmpl w:val="756889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48ED"/>
    <w:multiLevelType w:val="hybridMultilevel"/>
    <w:tmpl w:val="BD4ECB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29DB"/>
    <w:multiLevelType w:val="hybridMultilevel"/>
    <w:tmpl w:val="BD4ECB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F4241"/>
    <w:multiLevelType w:val="hybridMultilevel"/>
    <w:tmpl w:val="8CD09338"/>
    <w:lvl w:ilvl="0" w:tplc="28B65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3302"/>
    <w:multiLevelType w:val="hybridMultilevel"/>
    <w:tmpl w:val="E702C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25"/>
    <w:rsid w:val="000459E5"/>
    <w:rsid w:val="00073666"/>
    <w:rsid w:val="000B5925"/>
    <w:rsid w:val="000D3DD6"/>
    <w:rsid w:val="000F298B"/>
    <w:rsid w:val="000F2E1E"/>
    <w:rsid w:val="00102382"/>
    <w:rsid w:val="00151F3B"/>
    <w:rsid w:val="001B6DA8"/>
    <w:rsid w:val="001C6B50"/>
    <w:rsid w:val="001F67CC"/>
    <w:rsid w:val="002C213C"/>
    <w:rsid w:val="002D05CF"/>
    <w:rsid w:val="002E70AE"/>
    <w:rsid w:val="0032706C"/>
    <w:rsid w:val="00332B69"/>
    <w:rsid w:val="00332C6F"/>
    <w:rsid w:val="0036515C"/>
    <w:rsid w:val="00385583"/>
    <w:rsid w:val="003A2B98"/>
    <w:rsid w:val="003D1083"/>
    <w:rsid w:val="003F6D11"/>
    <w:rsid w:val="004059C8"/>
    <w:rsid w:val="00431590"/>
    <w:rsid w:val="00440267"/>
    <w:rsid w:val="00497862"/>
    <w:rsid w:val="004A232B"/>
    <w:rsid w:val="004B2164"/>
    <w:rsid w:val="004B6B86"/>
    <w:rsid w:val="005350B2"/>
    <w:rsid w:val="00563922"/>
    <w:rsid w:val="00567C99"/>
    <w:rsid w:val="005859BE"/>
    <w:rsid w:val="005B2970"/>
    <w:rsid w:val="005C0913"/>
    <w:rsid w:val="005F45FA"/>
    <w:rsid w:val="006701D2"/>
    <w:rsid w:val="00697E43"/>
    <w:rsid w:val="00712275"/>
    <w:rsid w:val="007529E6"/>
    <w:rsid w:val="00756399"/>
    <w:rsid w:val="00771393"/>
    <w:rsid w:val="007A33F1"/>
    <w:rsid w:val="00803825"/>
    <w:rsid w:val="0085282C"/>
    <w:rsid w:val="008C74C3"/>
    <w:rsid w:val="008F64C2"/>
    <w:rsid w:val="008F6B94"/>
    <w:rsid w:val="009363C6"/>
    <w:rsid w:val="00981F8F"/>
    <w:rsid w:val="009967D7"/>
    <w:rsid w:val="00A33788"/>
    <w:rsid w:val="00A46D30"/>
    <w:rsid w:val="00A72FB6"/>
    <w:rsid w:val="00A8546B"/>
    <w:rsid w:val="00AA1E70"/>
    <w:rsid w:val="00B17B5D"/>
    <w:rsid w:val="00B7524D"/>
    <w:rsid w:val="00B75774"/>
    <w:rsid w:val="00B8205C"/>
    <w:rsid w:val="00BD41C3"/>
    <w:rsid w:val="00C11282"/>
    <w:rsid w:val="00C25EE4"/>
    <w:rsid w:val="00C73CD8"/>
    <w:rsid w:val="00C8468F"/>
    <w:rsid w:val="00C91A75"/>
    <w:rsid w:val="00CB588F"/>
    <w:rsid w:val="00CC34E6"/>
    <w:rsid w:val="00DB5115"/>
    <w:rsid w:val="00DB5F8F"/>
    <w:rsid w:val="00DE1352"/>
    <w:rsid w:val="00DF638E"/>
    <w:rsid w:val="00E25972"/>
    <w:rsid w:val="00E71DB8"/>
    <w:rsid w:val="00EA76C2"/>
    <w:rsid w:val="00F0675F"/>
    <w:rsid w:val="00F1111F"/>
    <w:rsid w:val="00F502CD"/>
    <w:rsid w:val="00F53C66"/>
    <w:rsid w:val="00F53E3E"/>
    <w:rsid w:val="00F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1F488C"/>
  <w15:chartTrackingRefBased/>
  <w15:docId w15:val="{04746ECD-E2A4-4B2F-BCCF-01CDA27D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3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6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803825"/>
    <w:pPr>
      <w:tabs>
        <w:tab w:val="center" w:pos="4536"/>
        <w:tab w:val="right" w:pos="9072"/>
      </w:tabs>
    </w:pPr>
    <w:rPr>
      <w:sz w:val="12"/>
      <w:szCs w:val="12"/>
    </w:rPr>
  </w:style>
  <w:style w:type="character" w:customStyle="1" w:styleId="KopfzeileZchn">
    <w:name w:val="Kopfzeile Zchn"/>
    <w:basedOn w:val="Absatz-Standardschriftart"/>
    <w:link w:val="Kopfzeile"/>
    <w:semiHidden/>
    <w:rsid w:val="00803825"/>
    <w:rPr>
      <w:rFonts w:ascii="Times New Roman" w:eastAsia="Times New Roman" w:hAnsi="Times New Roman" w:cs="Times New Roman"/>
      <w:sz w:val="12"/>
      <w:szCs w:val="1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38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80382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D05CF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D05CF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D05CF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C21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213C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213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21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213C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13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13C"/>
    <w:rPr>
      <w:rFonts w:ascii="Segoe UI" w:eastAsia="Times New Roman" w:hAnsi="Segoe UI" w:cs="Segoe UI"/>
      <w:sz w:val="18"/>
      <w:szCs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D10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108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63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2021-04-14T13:07:00Z</dcterms:created>
  <dcterms:modified xsi:type="dcterms:W3CDTF">2021-05-05T09:44:00Z</dcterms:modified>
</cp:coreProperties>
</file>