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eyes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teacher</w:t>
      </w:r>
    </w:p>
    <w:p>
      <w:pPr>
        <w:pStyle w:val="Abstract"/>
      </w:pPr>
    </w:p>
    <w:p>
      <w:pPr>
        <w:pStyle w:val="SourceCode"/>
      </w:pPr>
      <w:r>
        <w:rPr>
          <w:rStyle w:val="CommentTok"/>
        </w:rPr>
        <w:t xml:space="preserve"># Seed for random number generation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rand_seed)</w:t>
      </w:r>
    </w:p>
    <w:bookmarkStart w:id="20" w:name="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Packages</w:t>
      </w:r>
    </w:p>
    <w:p>
      <w:pPr>
        <w:pStyle w:val="SourceCode"/>
      </w:pPr>
      <w:r>
        <w:rPr>
          <w:rStyle w:val="CommentTok"/>
        </w:rPr>
        <w:t xml:space="preserve"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 xml:space="preserve"># if this line is ommitted, each table using the summarize function will be accompanied with a warning from the console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(needs)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bookmarkEnd w:id="20"/>
    <w:bookmarkStart w:id="25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Participants</w:t>
      </w:r>
    </w:p>
    <w:p>
      <w:pPr>
        <w:pStyle w:val="FirstParagraph"/>
      </w:pPr>
      <w:r>
        <w:t xml:space="preserve">Table 2.1:</w:t>
      </w:r>
    </w:p>
    <w:p>
      <w:pPr>
        <w:pStyle w:val="TableCaption"/>
      </w:pPr>
      <w:r>
        <w:rPr>
          <w:iCs/>
          <w:i/>
        </w:rPr>
        <w:t xml:space="preserve">Demographic Information and Teaching Experience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Exp.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 Exp.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End w:id="21"/>
    <w:bookmarkStart w:id="22" w:name="material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Material</w:t>
      </w:r>
    </w:p>
    <w:bookmarkEnd w:id="22"/>
    <w:bookmarkStart w:id="23" w:name="procedur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Procedure</w:t>
      </w:r>
    </w:p>
    <w:bookmarkEnd w:id="23"/>
    <w:bookmarkStart w:id="24" w:name="data-analysi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4.1.3; R Core Team 2020)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ARTofR</w:t>
      </w:r>
      <w:r>
        <w:t xml:space="preserve"> </w:t>
      </w:r>
      <w:r>
        <w:t xml:space="preserve">(Version 0.4.1; Zhang 2021)</w:t>
      </w:r>
      <w:r>
        <w:t xml:space="preserve">,</w:t>
      </w:r>
      <w:r>
        <w:t xml:space="preserve"> </w:t>
      </w:r>
      <w:r>
        <w:rPr>
          <w:iCs/>
          <w:i/>
        </w:rPr>
        <w:t xml:space="preserve">cowplot</w:t>
      </w:r>
      <w:r>
        <w:t xml:space="preserve"> </w:t>
      </w:r>
      <w:r>
        <w:t xml:space="preserve">(Version 1.1.1; Wilke 2020)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1.0.8; Wickham et al. 2020)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0.5.1; Wickham 2020a)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3.3.5; Wickham 2016)</w:t>
      </w:r>
      <w:r>
        <w:t xml:space="preserve">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(Version 2.3; Auguie 2017)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1.8.0; Grolemund and Wickham 2011)</w:t>
      </w:r>
      <w:r>
        <w:t xml:space="preserve">,</w:t>
      </w:r>
      <w:r>
        <w:t xml:space="preserve"> </w:t>
      </w:r>
      <w:r>
        <w:rPr>
          <w:iCs/>
          <w:i/>
        </w:rPr>
        <w:t xml:space="preserve">needs</w:t>
      </w:r>
      <w:r>
        <w:t xml:space="preserve"> </w:t>
      </w:r>
      <w:r>
        <w:t xml:space="preserve">(Version 0.0.3; Katz 2016)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0.1.0.9999; Aust and Barth 2020)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0.3.4; Henry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2.1.2; Wickham and Hester 2020)</w:t>
      </w:r>
      <w:r>
        <w:t xml:space="preserve">,</w:t>
      </w:r>
      <w:r>
        <w:t xml:space="preserve"> </w:t>
      </w:r>
      <w:r>
        <w:rPr>
          <w:iCs/>
          <w:i/>
        </w:rPr>
        <w:t xml:space="preserve">readxl</w:t>
      </w:r>
      <w:r>
        <w:t xml:space="preserve"> </w:t>
      </w:r>
      <w:r>
        <w:t xml:space="preserve">(Version 1.4.0; Wickham and Bryan 2019)</w:t>
      </w:r>
      <w:r>
        <w:t xml:space="preserve">,</w:t>
      </w:r>
      <w:r>
        <w:t xml:space="preserve"> </w:t>
      </w:r>
      <w:r>
        <w:rPr>
          <w:iCs/>
          <w:i/>
        </w:rPr>
        <w:t xml:space="preserve">rlang</w:t>
      </w:r>
      <w:r>
        <w:t xml:space="preserve"> </w:t>
      </w:r>
      <w:r>
        <w:t xml:space="preserve">(Version 1.0.2; Henry and Wickham 2021)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1.4.0; Wickham 2019)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3.1.6; Müller and Wickham 2020)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1.2.0; Wickham 2020b)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1.3.1; Wickham et al. 2019)</w:t>
      </w:r>
      <w:r>
        <w:t xml:space="preserve">,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 2022)</w:t>
      </w:r>
      <w:r>
        <w:t xml:space="preserve">,</w:t>
      </w:r>
      <w:r>
        <w:t xml:space="preserve"> </w:t>
      </w:r>
      <w:r>
        <w:rPr>
          <w:iCs/>
          <w:i/>
        </w:rPr>
        <w:t xml:space="preserve">viridis</w:t>
      </w:r>
      <w:r>
        <w:t xml:space="preserve"> </w:t>
      </w:r>
      <w:r>
        <w:t xml:space="preserve">(Version 0.6.2; Garnier 2018a, 2018b)</w:t>
      </w:r>
      <w:r>
        <w:t xml:space="preserve">, and</w:t>
      </w:r>
      <w:r>
        <w:t xml:space="preserve"> </w:t>
      </w:r>
      <w:r>
        <w:rPr>
          <w:iCs/>
          <w:i/>
        </w:rPr>
        <w:t xml:space="preserve">viridisLite</w:t>
      </w:r>
      <w:r>
        <w:t xml:space="preserve"> </w:t>
      </w:r>
      <w:r>
        <w:t xml:space="preserve">(Version 0.4.0; Garnier 2018b)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r>
        <w:br w:type="page"/>
      </w:r>
    </w:p>
    <w:bookmarkEnd w:id="27"/>
    <w:bookmarkStart w:id="71" w:name="referen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bookmarkStart w:id="70" w:name="refs"/>
    <w:bookmarkStart w:id="29" w:name="ref-R-gridExtra"/>
    <w:p>
      <w:pPr>
        <w:pStyle w:val="Bibliography"/>
      </w:pPr>
      <w:r>
        <w:t xml:space="preserve">Auguie, Baptiste. 2017.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https://CRAN.R-project.org/package=gridExtra</w:t>
        </w:r>
      </w:hyperlink>
      <w:r>
        <w:t xml:space="preserve">.</w:t>
      </w:r>
    </w:p>
    <w:bookmarkEnd w:id="29"/>
    <w:bookmarkStart w:id="31" w:name="ref-R-papaja"/>
    <w:p>
      <w:pPr>
        <w:pStyle w:val="Bibliography"/>
      </w:pPr>
      <w:r>
        <w:t xml:space="preserve">Aust, Frederik, and Marius Barth. 2020.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https://github.com/crsh/papaja</w:t>
        </w:r>
      </w:hyperlink>
      <w:r>
        <w:t xml:space="preserve">.</w:t>
      </w:r>
    </w:p>
    <w:bookmarkEnd w:id="31"/>
    <w:bookmarkStart w:id="33" w:name="ref-R-tinylabels"/>
    <w:p>
      <w:pPr>
        <w:pStyle w:val="Bibliography"/>
      </w:pPr>
      <w:r>
        <w:t xml:space="preserve">Barth, Marius. 2022.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https://cran.r-project.org/package=tinylabels</w:t>
        </w:r>
      </w:hyperlink>
      <w:r>
        <w:t xml:space="preserve">.</w:t>
      </w:r>
    </w:p>
    <w:bookmarkEnd w:id="33"/>
    <w:bookmarkStart w:id="35" w:name="ref-R-viridis"/>
    <w:p>
      <w:pPr>
        <w:pStyle w:val="Bibliography"/>
      </w:pPr>
      <w:r>
        <w:t xml:space="preserve">Garnier, Simon. 2018a.</w:t>
      </w:r>
      <w:r>
        <w:t xml:space="preserve"> </w:t>
      </w:r>
      <w:r>
        <w:rPr>
          <w:iCs/>
          <w:i/>
        </w:rPr>
        <w:t xml:space="preserve">Viridis: Default Color Maps from ’Matplotlib’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https://CRAN.R-project.org/package=viridis</w:t>
        </w:r>
      </w:hyperlink>
      <w:r>
        <w:t xml:space="preserve">.</w:t>
      </w:r>
    </w:p>
    <w:bookmarkEnd w:id="35"/>
    <w:bookmarkStart w:id="37" w:name="ref-R-viridisLite"/>
    <w:p>
      <w:pPr>
        <w:pStyle w:val="Bibliography"/>
      </w:pPr>
      <w:r>
        <w:t xml:space="preserve">———. 2018b.</w:t>
      </w:r>
      <w:r>
        <w:t xml:space="preserve"> </w:t>
      </w:r>
      <w:r>
        <w:rPr>
          <w:iCs/>
          <w:i/>
        </w:rPr>
        <w:t xml:space="preserve">viridisLite: Default Color Maps from ’Matplotlib’ (Lite Version)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https://CRAN.R-project.org/package=viridisLite</w:t>
        </w:r>
      </w:hyperlink>
      <w:r>
        <w:t xml:space="preserve">.</w:t>
      </w:r>
    </w:p>
    <w:bookmarkEnd w:id="37"/>
    <w:bookmarkStart w:id="39" w:name="ref-R-lubridate"/>
    <w:p>
      <w:pPr>
        <w:pStyle w:val="Bibliography"/>
      </w:pPr>
      <w:r>
        <w:t xml:space="preserve">Grolemund, Garrett, and Hadley Wickham. 2011.</w:t>
      </w:r>
      <w:r>
        <w:t xml:space="preserve"> </w:t>
      </w:r>
      <w:r>
        <w:t xml:space="preserve">“Dates and Times Made Easy with</w:t>
      </w:r>
      <w:r>
        <w:t xml:space="preserve"> </w:t>
      </w:r>
      <w:r>
        <w:t xml:space="preserve">lubridate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40 (3): 1–25.</w:t>
      </w:r>
      <w:r>
        <w:t xml:space="preserve"> </w:t>
      </w:r>
      <w:hyperlink r:id="rId38">
        <w:r>
          <w:rPr>
            <w:rStyle w:val="Hyperlink"/>
          </w:rPr>
          <w:t xml:space="preserve">https://www.jstatsoft.org/v40/i03/</w:t>
        </w:r>
      </w:hyperlink>
      <w:r>
        <w:t xml:space="preserve">.</w:t>
      </w:r>
    </w:p>
    <w:bookmarkEnd w:id="39"/>
    <w:bookmarkStart w:id="41" w:name="ref-R-purrr"/>
    <w:p>
      <w:pPr>
        <w:pStyle w:val="Bibliography"/>
      </w:pPr>
      <w:r>
        <w:t xml:space="preserve">Henry, Lionel, and Hadley Wickham. 2020.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https://CRAN.R-project.org/package=purrr</w:t>
        </w:r>
      </w:hyperlink>
      <w:r>
        <w:t xml:space="preserve">.</w:t>
      </w:r>
    </w:p>
    <w:bookmarkEnd w:id="41"/>
    <w:bookmarkStart w:id="43" w:name="ref-R-rlang"/>
    <w:p>
      <w:pPr>
        <w:pStyle w:val="Bibliography"/>
      </w:pPr>
      <w:r>
        <w:t xml:space="preserve">———. 2021.</w:t>
      </w:r>
      <w:r>
        <w:t xml:space="preserve"> </w:t>
      </w:r>
      <w:r>
        <w:rPr>
          <w:iCs/>
          <w:i/>
        </w:rPr>
        <w:t xml:space="preserve">Rlang: Functions for Base Types and Core r and ’Tidyverse’ Features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https://CRAN.R-project.org/package=rlang</w:t>
        </w:r>
      </w:hyperlink>
      <w:r>
        <w:t xml:space="preserve">.</w:t>
      </w:r>
    </w:p>
    <w:bookmarkEnd w:id="43"/>
    <w:bookmarkStart w:id="45" w:name="ref-R-needs"/>
    <w:p>
      <w:pPr>
        <w:pStyle w:val="Bibliography"/>
      </w:pPr>
      <w:r>
        <w:t xml:space="preserve">Katz, Josh. 2016.</w:t>
      </w:r>
      <w:r>
        <w:t xml:space="preserve"> </w:t>
      </w:r>
      <w:r>
        <w:rPr>
          <w:iCs/>
          <w:i/>
        </w:rPr>
        <w:t xml:space="preserve">Needs: Attaches and Installs Packages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https://CRAN.R-project.org/package=needs</w:t>
        </w:r>
      </w:hyperlink>
      <w:r>
        <w:t xml:space="preserve">.</w:t>
      </w:r>
    </w:p>
    <w:bookmarkEnd w:id="45"/>
    <w:bookmarkStart w:id="47" w:name="ref-R-tibble"/>
    <w:p>
      <w:pPr>
        <w:pStyle w:val="Bibliography"/>
      </w:pPr>
      <w:r>
        <w:t xml:space="preserve">Müller, Kirill, and Hadley Wickham. 2020.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https://CRAN.R-project.org/package=tibble</w:t>
        </w:r>
      </w:hyperlink>
      <w:r>
        <w:t xml:space="preserve">.</w:t>
      </w:r>
    </w:p>
    <w:bookmarkEnd w:id="47"/>
    <w:bookmarkStart w:id="49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9"/>
    <w:bookmarkStart w:id="51" w:name="ref-R-ggplot2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50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51"/>
    <w:bookmarkStart w:id="53" w:name="ref-R-stringr"/>
    <w:p>
      <w:pPr>
        <w:pStyle w:val="Bibliography"/>
      </w:pPr>
      <w:r>
        <w:t xml:space="preserve">———.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53"/>
    <w:bookmarkStart w:id="55" w:name="ref-R-forcats"/>
    <w:p>
      <w:pPr>
        <w:pStyle w:val="Bibliography"/>
      </w:pPr>
      <w:r>
        <w:t xml:space="preserve">———. 2020a.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https://CRAN.R-project.org/package=forcats</w:t>
        </w:r>
      </w:hyperlink>
      <w:r>
        <w:t xml:space="preserve">.</w:t>
      </w:r>
    </w:p>
    <w:bookmarkEnd w:id="55"/>
    <w:bookmarkStart w:id="57" w:name="ref-R-tidyr"/>
    <w:p>
      <w:pPr>
        <w:pStyle w:val="Bibliography"/>
      </w:pPr>
      <w:r>
        <w:t xml:space="preserve">———. 2020b.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https://CRAN.R-project.org/package=tidyr</w:t>
        </w:r>
      </w:hyperlink>
      <w:r>
        <w:t xml:space="preserve">.</w:t>
      </w:r>
    </w:p>
    <w:bookmarkEnd w:id="57"/>
    <w:bookmarkStart w:id="59" w:name="ref-R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5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59"/>
    <w:bookmarkStart w:id="61" w:name="ref-R-readxl"/>
    <w:p>
      <w:pPr>
        <w:pStyle w:val="Bibliography"/>
      </w:pPr>
      <w:r>
        <w:t xml:space="preserve">Wickham, Hadley, and Jennifer Bryan. 2019.</w:t>
      </w:r>
      <w:r>
        <w:t xml:space="preserve"> </w:t>
      </w:r>
      <w:r>
        <w:rPr>
          <w:iCs/>
          <w:i/>
        </w:rPr>
        <w:t xml:space="preserve">Readxl: Read Excel Files</w:t>
      </w:r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https://CRAN.R-project.org/package=readxl</w:t>
        </w:r>
      </w:hyperlink>
      <w:r>
        <w:t xml:space="preserve">.</w:t>
      </w:r>
    </w:p>
    <w:bookmarkEnd w:id="61"/>
    <w:bookmarkStart w:id="63" w:name="ref-R-dplyr"/>
    <w:p>
      <w:pPr>
        <w:pStyle w:val="Bibliography"/>
      </w:pPr>
      <w:r>
        <w:t xml:space="preserve">Wickham, Hadley, Romain François, Lionel Henry, and Kirill Müller. 2020.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63"/>
    <w:bookmarkStart w:id="65" w:name="ref-R-readr"/>
    <w:p>
      <w:pPr>
        <w:pStyle w:val="Bibliography"/>
      </w:pPr>
      <w:r>
        <w:t xml:space="preserve">Wickham, Hadley, and Jim Hester. 2020.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https://CRAN.R-project.org/package=readr</w:t>
        </w:r>
      </w:hyperlink>
      <w:r>
        <w:t xml:space="preserve">.</w:t>
      </w:r>
    </w:p>
    <w:bookmarkEnd w:id="65"/>
    <w:bookmarkStart w:id="67" w:name="ref-R-cowplot"/>
    <w:p>
      <w:pPr>
        <w:pStyle w:val="Bibliography"/>
      </w:pPr>
      <w:r>
        <w:t xml:space="preserve">Wilke, Claus O. 2020.</w:t>
      </w:r>
      <w:r>
        <w:t xml:space="preserve"> </w:t>
      </w:r>
      <w:r>
        <w:rPr>
          <w:iCs/>
          <w:i/>
        </w:rPr>
        <w:t xml:space="preserve">Cowplot: Streamlined Plot Theme and Plot Annotations for ’Ggplot2’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https://CRAN.R-project.org/package=cowplot</w:t>
        </w:r>
      </w:hyperlink>
      <w:r>
        <w:t xml:space="preserve">.</w:t>
      </w:r>
    </w:p>
    <w:bookmarkEnd w:id="67"/>
    <w:bookmarkStart w:id="69" w:name="ref-R-ARTofR"/>
    <w:p>
      <w:pPr>
        <w:pStyle w:val="Bibliography"/>
      </w:pPr>
      <w:r>
        <w:t xml:space="preserve">Zhang, Huanyuan. 2021.</w:t>
      </w:r>
      <w:r>
        <w:t xml:space="preserve"> </w:t>
      </w:r>
      <w:r>
        <w:rPr>
          <w:iCs/>
          <w:i/>
        </w:rPr>
        <w:t xml:space="preserve">ARTofR: Who Ever Care about the [Art of r] Scripts?</w:t>
      </w:r>
      <w:r>
        <w:t xml:space="preserve"> </w:t>
      </w:r>
      <w:hyperlink r:id="rId68">
        <w:r>
          <w:rPr>
            <w:rStyle w:val="Hyperlink"/>
          </w:rPr>
          <w:t xml:space="preserve">https://CRAN.R-project.org/package=ARTofR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RAN.R-project.org/package=ARTofR" TargetMode="External" /><Relationship Type="http://schemas.openxmlformats.org/officeDocument/2006/relationships/hyperlink" Id="rId66" Target="https://CRAN.R-project.org/package=cowplot" TargetMode="External" /><Relationship Type="http://schemas.openxmlformats.org/officeDocument/2006/relationships/hyperlink" Id="rId62" Target="https://CRAN.R-project.org/package=dplyr" TargetMode="External" /><Relationship Type="http://schemas.openxmlformats.org/officeDocument/2006/relationships/hyperlink" Id="rId54" Target="https://CRAN.R-project.org/package=forcats" TargetMode="External" /><Relationship Type="http://schemas.openxmlformats.org/officeDocument/2006/relationships/hyperlink" Id="rId28" Target="https://CRAN.R-project.org/package=gridExtra" TargetMode="External" /><Relationship Type="http://schemas.openxmlformats.org/officeDocument/2006/relationships/hyperlink" Id="rId44" Target="https://CRAN.R-project.org/package=needs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64" Target="https://CRAN.R-project.org/package=readr" TargetMode="External" /><Relationship Type="http://schemas.openxmlformats.org/officeDocument/2006/relationships/hyperlink" Id="rId60" Target="https://CRAN.R-project.org/package=readxl" TargetMode="External" /><Relationship Type="http://schemas.openxmlformats.org/officeDocument/2006/relationships/hyperlink" Id="rId42" Target="https://CRAN.R-project.org/package=rlang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6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viridis" TargetMode="External" /><Relationship Type="http://schemas.openxmlformats.org/officeDocument/2006/relationships/hyperlink" Id="rId36" Target="https://CRAN.R-project.org/package=viridisLite" TargetMode="External" /><Relationship Type="http://schemas.openxmlformats.org/officeDocument/2006/relationships/hyperlink" Id="rId32" Target="https://cran.r-project.org/package=tinylabels" TargetMode="External" /><Relationship Type="http://schemas.openxmlformats.org/officeDocument/2006/relationships/hyperlink" Id="rId58" Target="https://doi.org/10.21105/joss.01686" TargetMode="External" /><Relationship Type="http://schemas.openxmlformats.org/officeDocument/2006/relationships/hyperlink" Id="rId50" Target="https://ggplot2.tidyverse.org" TargetMode="External" /><Relationship Type="http://schemas.openxmlformats.org/officeDocument/2006/relationships/hyperlink" Id="rId30" Target="https://github.com/crsh/papaja" TargetMode="External" /><Relationship Type="http://schemas.openxmlformats.org/officeDocument/2006/relationships/hyperlink" Id="rId48" Target="https://www.R-project.org/" TargetMode="External" /><Relationship Type="http://schemas.openxmlformats.org/officeDocument/2006/relationships/hyperlink" Id="rId38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</dc:title>
  <dc:creator/>
  <cp:keywords/>
  <dcterms:created xsi:type="dcterms:W3CDTF">2022-06-08T15:23:33Z</dcterms:created>
  <dcterms:modified xsi:type="dcterms:W3CDTF">2022-06-08T15:23:33Z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authornote">
    <vt:lpwstr>Ethics Approval All study procedures were carried out in accordance with the ethical standards of the University’s Institutional Review Board. The authors received a positive vote on the study procedures from the Ethics Committee Board of Leipzig University.Consent to Participate All participants gave informed consent.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bookdown::word_document2</vt:lpwstr>
  </property>
  <property fmtid="{D5CDD505-2E9C-101B-9397-08002B2CF9AE}" pid="15" name="shorttitle">
    <vt:lpwstr>Visual attention in teaching and learning processes</vt:lpwstr>
  </property>
  <property fmtid="{D5CDD505-2E9C-101B-9397-08002B2CF9AE}" pid="16" name="tablelist">
    <vt:lpwstr>False</vt:lpwstr>
  </property>
  <property fmtid="{D5CDD505-2E9C-101B-9397-08002B2CF9AE}" pid="17" name="wordcount">
    <vt:lpwstr>XXX</vt:lpwstr>
  </property>
</Properties>
</file>