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4BEB4" w14:textId="46405407" w:rsidR="00BD5BB0" w:rsidRDefault="00A15999">
      <w:pPr>
        <w:pStyle w:val="Titel"/>
      </w:pPr>
      <w:proofErr w:type="spellStart"/>
      <w:r>
        <w:t>ProVisioNET</w:t>
      </w:r>
      <w:proofErr w:type="spellEnd"/>
    </w:p>
    <w:p w14:paraId="1714BEB9" w14:textId="77777777" w:rsidR="00BD5BB0" w:rsidRDefault="00954841">
      <w:pPr>
        <w:pStyle w:val="berschrift1"/>
      </w:pPr>
      <w:bookmarkStart w:id="0" w:name="methods"/>
      <w:r>
        <w:rPr>
          <w:rStyle w:val="SectionNumber"/>
        </w:rPr>
        <w:t>2</w:t>
      </w:r>
      <w:r>
        <w:tab/>
        <w:t>Methods</w:t>
      </w:r>
    </w:p>
    <w:p w14:paraId="1714BEBA" w14:textId="77777777" w:rsidR="00BD5BB0" w:rsidRDefault="00954841">
      <w:pPr>
        <w:pStyle w:val="FirstParagraph"/>
      </w:pPr>
      <w:r>
        <w:t xml:space="preserve">We report how we determined our sample size, all data exclusions (if any), all manipulations, and all measures in the study. </w:t>
      </w:r>
    </w:p>
    <w:p w14:paraId="1714BEBB" w14:textId="77777777" w:rsidR="00BD5BB0" w:rsidRDefault="00954841">
      <w:pPr>
        <w:pStyle w:val="berschrift2"/>
      </w:pPr>
      <w:bookmarkStart w:id="1" w:name="participants"/>
      <w:r>
        <w:rPr>
          <w:rStyle w:val="SectionNumber"/>
        </w:rPr>
        <w:t>2.1</w:t>
      </w:r>
      <w:r>
        <w:tab/>
        <w:t>Participants</w:t>
      </w:r>
    </w:p>
    <w:p w14:paraId="1714BEBC" w14:textId="77777777" w:rsidR="00BD5BB0" w:rsidRDefault="00954841">
      <w:pPr>
        <w:pStyle w:val="FirstParagraph"/>
      </w:pPr>
      <w:r>
        <w:t>Table 2.1:</w:t>
      </w:r>
    </w:p>
    <w:p w14:paraId="1714BEBD" w14:textId="77777777" w:rsidR="00BD5BB0" w:rsidRDefault="00954841">
      <w:pPr>
        <w:pStyle w:val="TableCaption"/>
      </w:pPr>
      <w:r>
        <w:rPr>
          <w:iCs/>
        </w:rPr>
        <w:t>Demographic Information and Teaching Experience</w:t>
      </w:r>
    </w:p>
    <w:tbl>
      <w:tblPr>
        <w:tblStyle w:val="Table"/>
        <w:tblW w:w="0" w:type="auto"/>
        <w:tblLayout w:type="fixed"/>
        <w:tblLook w:val="0020" w:firstRow="1" w:lastRow="0" w:firstColumn="0" w:lastColumn="0" w:noHBand="0" w:noVBand="0"/>
      </w:tblPr>
      <w:tblGrid>
        <w:gridCol w:w="1101"/>
        <w:gridCol w:w="567"/>
        <w:gridCol w:w="1134"/>
        <w:gridCol w:w="1417"/>
        <w:gridCol w:w="992"/>
        <w:gridCol w:w="1418"/>
        <w:gridCol w:w="2411"/>
      </w:tblGrid>
      <w:tr w:rsidR="00954841" w14:paraId="1714BEC9" w14:textId="77777777" w:rsidTr="00954841">
        <w:trPr>
          <w:cnfStyle w:val="100000000000" w:firstRow="1" w:lastRow="0" w:firstColumn="0" w:lastColumn="0" w:oddVBand="0" w:evenVBand="0" w:oddHBand="0" w:evenHBand="0" w:firstRowFirstColumn="0" w:firstRowLastColumn="0" w:lastRowFirstColumn="0" w:lastRowLastColumn="0"/>
          <w:tblHeader/>
        </w:trPr>
        <w:tc>
          <w:tcPr>
            <w:tcW w:w="1101" w:type="dxa"/>
          </w:tcPr>
          <w:p w14:paraId="1714BEBE" w14:textId="77777777" w:rsidR="00954841" w:rsidRDefault="00954841">
            <w:pPr>
              <w:pStyle w:val="Compact"/>
            </w:pPr>
            <w:r>
              <w:t>Group</w:t>
            </w:r>
          </w:p>
        </w:tc>
        <w:tc>
          <w:tcPr>
            <w:tcW w:w="567" w:type="dxa"/>
          </w:tcPr>
          <w:p w14:paraId="1714BEBF" w14:textId="77777777" w:rsidR="00954841" w:rsidRPr="00AF04EF" w:rsidRDefault="00954841">
            <w:pPr>
              <w:pStyle w:val="Compact"/>
              <w:rPr>
                <w:i/>
              </w:rPr>
            </w:pPr>
            <w:r w:rsidRPr="00AF04EF">
              <w:rPr>
                <w:i/>
              </w:rPr>
              <w:t>N</w:t>
            </w:r>
          </w:p>
        </w:tc>
        <w:tc>
          <w:tcPr>
            <w:tcW w:w="1134" w:type="dxa"/>
          </w:tcPr>
          <w:p w14:paraId="6F43E4A9" w14:textId="77777777" w:rsidR="00954841" w:rsidRDefault="00954841">
            <w:pPr>
              <w:pStyle w:val="Compact"/>
            </w:pPr>
            <w:r>
              <w:t>Gender</w:t>
            </w:r>
          </w:p>
          <w:p w14:paraId="1714BEC0" w14:textId="0AEBF241" w:rsidR="00954841" w:rsidRDefault="00954841">
            <w:pPr>
              <w:pStyle w:val="Compact"/>
            </w:pPr>
            <w:r>
              <w:t>female</w:t>
            </w:r>
          </w:p>
        </w:tc>
        <w:tc>
          <w:tcPr>
            <w:tcW w:w="1417" w:type="dxa"/>
          </w:tcPr>
          <w:p w14:paraId="1714BEC1" w14:textId="43DAC581" w:rsidR="00954841" w:rsidRDefault="00954841">
            <w:pPr>
              <w:pStyle w:val="Compact"/>
            </w:pPr>
            <w:r w:rsidRPr="00954841">
              <w:rPr>
                <w:i/>
              </w:rPr>
              <w:t>M</w:t>
            </w:r>
            <w:r>
              <w:t xml:space="preserve"> (</w:t>
            </w:r>
            <w:r w:rsidRPr="00954841">
              <w:rPr>
                <w:i/>
              </w:rPr>
              <w:t>SD</w:t>
            </w:r>
            <w:r>
              <w:t>) Age</w:t>
            </w:r>
          </w:p>
        </w:tc>
        <w:tc>
          <w:tcPr>
            <w:tcW w:w="992" w:type="dxa"/>
          </w:tcPr>
          <w:p w14:paraId="4D1950B3" w14:textId="77777777" w:rsidR="00954841" w:rsidRDefault="00954841">
            <w:pPr>
              <w:pStyle w:val="Compact"/>
            </w:pPr>
            <w:r>
              <w:t>Age</w:t>
            </w:r>
          </w:p>
          <w:p w14:paraId="1714BEC2" w14:textId="074D7B88" w:rsidR="00954841" w:rsidRDefault="00954841">
            <w:pPr>
              <w:pStyle w:val="Compact"/>
            </w:pPr>
            <w:r>
              <w:t>Range</w:t>
            </w:r>
          </w:p>
        </w:tc>
        <w:tc>
          <w:tcPr>
            <w:tcW w:w="1418" w:type="dxa"/>
          </w:tcPr>
          <w:p w14:paraId="655E85B7" w14:textId="77777777" w:rsidR="00954841" w:rsidRDefault="00954841">
            <w:pPr>
              <w:pStyle w:val="Compact"/>
            </w:pPr>
            <w:r w:rsidRPr="00954841">
              <w:rPr>
                <w:i/>
              </w:rPr>
              <w:t>M</w:t>
            </w:r>
            <w:r>
              <w:t xml:space="preserve"> (</w:t>
            </w:r>
            <w:r w:rsidRPr="00954841">
              <w:rPr>
                <w:i/>
              </w:rPr>
              <w:t>SD</w:t>
            </w:r>
            <w:r>
              <w:t xml:space="preserve">) Exp. </w:t>
            </w:r>
          </w:p>
          <w:p w14:paraId="1714BEC5" w14:textId="109954FF" w:rsidR="00954841" w:rsidRDefault="00954841">
            <w:pPr>
              <w:pStyle w:val="Compact"/>
            </w:pPr>
            <w:r>
              <w:t>in years</w:t>
            </w:r>
          </w:p>
        </w:tc>
        <w:tc>
          <w:tcPr>
            <w:tcW w:w="2411" w:type="dxa"/>
          </w:tcPr>
          <w:p w14:paraId="0D8BB635" w14:textId="77777777" w:rsidR="00954841" w:rsidRDefault="00954841">
            <w:pPr>
              <w:pStyle w:val="Compact"/>
            </w:pPr>
            <w:r>
              <w:t xml:space="preserve">Exp. Range </w:t>
            </w:r>
          </w:p>
          <w:p w14:paraId="1714BEC6" w14:textId="763C9777" w:rsidR="00954841" w:rsidRDefault="00954841">
            <w:pPr>
              <w:pStyle w:val="Compact"/>
            </w:pPr>
            <w:r>
              <w:t>in years</w:t>
            </w:r>
          </w:p>
        </w:tc>
      </w:tr>
      <w:tr w:rsidR="00954841" w14:paraId="1714BED5" w14:textId="77777777" w:rsidTr="00954841">
        <w:tc>
          <w:tcPr>
            <w:tcW w:w="1101" w:type="dxa"/>
          </w:tcPr>
          <w:p w14:paraId="1714BECA" w14:textId="77777777" w:rsidR="00954841" w:rsidRDefault="00954841">
            <w:pPr>
              <w:pStyle w:val="Compact"/>
            </w:pPr>
            <w:r>
              <w:t>Expert</w:t>
            </w:r>
          </w:p>
        </w:tc>
        <w:tc>
          <w:tcPr>
            <w:tcW w:w="567" w:type="dxa"/>
          </w:tcPr>
          <w:p w14:paraId="1714BECB" w14:textId="77777777" w:rsidR="00954841" w:rsidRDefault="00954841">
            <w:pPr>
              <w:pStyle w:val="Compact"/>
            </w:pPr>
            <w:r>
              <w:t>7</w:t>
            </w:r>
          </w:p>
        </w:tc>
        <w:tc>
          <w:tcPr>
            <w:tcW w:w="1134" w:type="dxa"/>
          </w:tcPr>
          <w:p w14:paraId="1714BECC" w14:textId="61B12B9A" w:rsidR="00954841" w:rsidRDefault="00954841">
            <w:pPr>
              <w:pStyle w:val="Compact"/>
            </w:pPr>
            <w:r>
              <w:t>71%</w:t>
            </w:r>
          </w:p>
        </w:tc>
        <w:tc>
          <w:tcPr>
            <w:tcW w:w="1417" w:type="dxa"/>
          </w:tcPr>
          <w:p w14:paraId="1714BECD" w14:textId="0AEE4C68" w:rsidR="00954841" w:rsidRDefault="00954841">
            <w:pPr>
              <w:pStyle w:val="Compact"/>
            </w:pPr>
            <w:r>
              <w:t>45 (12.</w:t>
            </w:r>
            <w:r w:rsidR="00A15999">
              <w:t>0</w:t>
            </w:r>
            <w:r>
              <w:t>5)</w:t>
            </w:r>
          </w:p>
        </w:tc>
        <w:tc>
          <w:tcPr>
            <w:tcW w:w="992" w:type="dxa"/>
          </w:tcPr>
          <w:p w14:paraId="1714BECE" w14:textId="7AC06186" w:rsidR="00954841" w:rsidRDefault="00954841">
            <w:pPr>
              <w:pStyle w:val="Compact"/>
            </w:pPr>
            <w:r>
              <w:t>27-59</w:t>
            </w:r>
          </w:p>
        </w:tc>
        <w:tc>
          <w:tcPr>
            <w:tcW w:w="1418" w:type="dxa"/>
          </w:tcPr>
          <w:p w14:paraId="1714BED1" w14:textId="32C1F2AD" w:rsidR="00954841" w:rsidRDefault="00954841">
            <w:pPr>
              <w:pStyle w:val="Compact"/>
            </w:pPr>
            <w:r>
              <w:t>18 (14)</w:t>
            </w:r>
          </w:p>
        </w:tc>
        <w:tc>
          <w:tcPr>
            <w:tcW w:w="2411" w:type="dxa"/>
          </w:tcPr>
          <w:p w14:paraId="1714BED2" w14:textId="1F8C47D4" w:rsidR="00954841" w:rsidRDefault="00954841">
            <w:pPr>
              <w:pStyle w:val="Compact"/>
            </w:pPr>
            <w:r>
              <w:t>3-37</w:t>
            </w:r>
          </w:p>
        </w:tc>
      </w:tr>
      <w:tr w:rsidR="00954841" w14:paraId="1714BEE1" w14:textId="77777777" w:rsidTr="00954841">
        <w:tc>
          <w:tcPr>
            <w:tcW w:w="1101" w:type="dxa"/>
          </w:tcPr>
          <w:p w14:paraId="1714BED6" w14:textId="77777777" w:rsidR="00954841" w:rsidRDefault="00954841">
            <w:pPr>
              <w:pStyle w:val="Compact"/>
            </w:pPr>
            <w:r>
              <w:t>Novice</w:t>
            </w:r>
          </w:p>
        </w:tc>
        <w:tc>
          <w:tcPr>
            <w:tcW w:w="567" w:type="dxa"/>
          </w:tcPr>
          <w:p w14:paraId="1714BED7" w14:textId="77777777" w:rsidR="00954841" w:rsidRDefault="00954841">
            <w:pPr>
              <w:pStyle w:val="Compact"/>
            </w:pPr>
            <w:r>
              <w:t>19</w:t>
            </w:r>
          </w:p>
        </w:tc>
        <w:tc>
          <w:tcPr>
            <w:tcW w:w="1134" w:type="dxa"/>
          </w:tcPr>
          <w:p w14:paraId="1714BED8" w14:textId="58B2DC41" w:rsidR="00954841" w:rsidRDefault="005F5A00">
            <w:pPr>
              <w:pStyle w:val="Compact"/>
            </w:pPr>
            <w:r>
              <w:t>58</w:t>
            </w:r>
            <w:r w:rsidR="00954841">
              <w:t>%</w:t>
            </w:r>
          </w:p>
        </w:tc>
        <w:tc>
          <w:tcPr>
            <w:tcW w:w="1417" w:type="dxa"/>
          </w:tcPr>
          <w:p w14:paraId="1714BED9" w14:textId="23BB980A" w:rsidR="00954841" w:rsidRDefault="00954841">
            <w:pPr>
              <w:pStyle w:val="Compact"/>
            </w:pPr>
            <w:r>
              <w:t>23 (1.80)</w:t>
            </w:r>
          </w:p>
        </w:tc>
        <w:tc>
          <w:tcPr>
            <w:tcW w:w="992" w:type="dxa"/>
          </w:tcPr>
          <w:p w14:paraId="1714BEDA" w14:textId="0957B863" w:rsidR="00954841" w:rsidRDefault="00954841">
            <w:pPr>
              <w:pStyle w:val="Compact"/>
            </w:pPr>
            <w:r>
              <w:t>20-27</w:t>
            </w:r>
          </w:p>
        </w:tc>
        <w:tc>
          <w:tcPr>
            <w:tcW w:w="1418" w:type="dxa"/>
          </w:tcPr>
          <w:p w14:paraId="1714BEDD" w14:textId="5EAAFFF5" w:rsidR="00954841" w:rsidRDefault="00954841">
            <w:pPr>
              <w:pStyle w:val="Compact"/>
            </w:pPr>
            <w:r>
              <w:t>0 (0)</w:t>
            </w:r>
          </w:p>
        </w:tc>
        <w:tc>
          <w:tcPr>
            <w:tcW w:w="2411" w:type="dxa"/>
          </w:tcPr>
          <w:p w14:paraId="1714BEDE" w14:textId="0B24E11A" w:rsidR="00954841" w:rsidRDefault="00954841">
            <w:pPr>
              <w:pStyle w:val="Compact"/>
            </w:pPr>
            <w:r>
              <w:t>0</w:t>
            </w:r>
          </w:p>
        </w:tc>
      </w:tr>
    </w:tbl>
    <w:p w14:paraId="1714BEFE" w14:textId="5EB56EB3" w:rsidR="00BD5BB0" w:rsidRDefault="00BD5BB0" w:rsidP="00A15999">
      <w:pPr>
        <w:pStyle w:val="berschrift2"/>
      </w:pPr>
      <w:bookmarkStart w:id="2" w:name="_GoBack"/>
      <w:bookmarkEnd w:id="0"/>
      <w:bookmarkEnd w:id="1"/>
      <w:bookmarkEnd w:id="2"/>
    </w:p>
    <w:sectPr w:rsidR="00BD5BB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4BF03" w14:textId="77777777" w:rsidR="00AB5536" w:rsidRDefault="00954841">
      <w:pPr>
        <w:spacing w:after="0"/>
      </w:pPr>
      <w:r>
        <w:separator/>
      </w:r>
    </w:p>
  </w:endnote>
  <w:endnote w:type="continuationSeparator" w:id="0">
    <w:p w14:paraId="1714BF05" w14:textId="77777777" w:rsidR="00AB5536" w:rsidRDefault="009548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4BEFF" w14:textId="77777777" w:rsidR="00BD5BB0" w:rsidRDefault="00954841">
      <w:r>
        <w:separator/>
      </w:r>
    </w:p>
  </w:footnote>
  <w:footnote w:type="continuationSeparator" w:id="0">
    <w:p w14:paraId="1714BF00" w14:textId="77777777" w:rsidR="00BD5BB0" w:rsidRDefault="00954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3C820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B0"/>
    <w:rsid w:val="005F5A00"/>
    <w:rsid w:val="00954841"/>
    <w:rsid w:val="00A15999"/>
    <w:rsid w:val="00AB5536"/>
    <w:rsid w:val="00AF04EF"/>
    <w:rsid w:val="00BD5B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BEB4"/>
  <w15:docId w15:val="{866BBE59-7AEB-4DA4-A891-4CCA911E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341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Through the eyes of the teacher</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Klatt, Mandy</dc:creator>
  <cp:keywords/>
  <cp:lastModifiedBy>Klatt, Mandy</cp:lastModifiedBy>
  <cp:revision>4</cp:revision>
  <dcterms:created xsi:type="dcterms:W3CDTF">2022-02-17T12:53:00Z</dcterms:created>
  <dcterms:modified xsi:type="dcterms:W3CDTF">2022-02-17T13:04:00Z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Ethics Advisory Board of Leipzig University has dealt with the research project and has come to the conclusion that there are no objections to the implementation of this research project. The Ethics Advisory Board points out that the scientific and et</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