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with the data 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16DBCB8"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has a</w:t>
      </w:r>
      <w:r w:rsidR="00A5238A">
        <w:rPr>
          <w:rFonts w:ascii="Times New Roman" w:hAnsi="Times New Roman" w:cs="Times New Roman"/>
          <w:sz w:val="24"/>
          <w:szCs w:val="24"/>
          <w:lang w:val="en-US"/>
        </w:rPr>
        <w:t xml:space="preserve"> </w:t>
      </w:r>
      <w:r w:rsidR="00BB6BD4" w:rsidRPr="00BB6BD4">
        <w:rPr>
          <w:rFonts w:ascii="Times New Roman" w:hAnsi="Times New Roman" w:cs="Times New Roman"/>
          <w:sz w:val="24"/>
          <w:szCs w:val="24"/>
          <w:lang w:val="en-US"/>
        </w:rPr>
        <w:t>psychological, physiological</w:t>
      </w:r>
      <w:r w:rsidR="00BB6BD4">
        <w:rPr>
          <w:rFonts w:ascii="Times New Roman" w:hAnsi="Times New Roman" w:cs="Times New Roman"/>
          <w:sz w:val="24"/>
          <w:szCs w:val="24"/>
          <w:lang w:val="en-US"/>
        </w:rPr>
        <w:t>,</w:t>
      </w:r>
      <w:r w:rsidR="00BB6BD4" w:rsidRPr="00BB6BD4">
        <w:rPr>
          <w:rFonts w:ascii="Times New Roman" w:hAnsi="Times New Roman" w:cs="Times New Roman"/>
          <w:sz w:val="24"/>
          <w:szCs w:val="24"/>
          <w:lang w:val="en-US"/>
        </w:rPr>
        <w:t xml:space="preserve"> or behavioral</w:t>
      </w:r>
      <w:r w:rsidR="00BB6BD4" w:rsidRPr="00BB6BD4">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dimension</w:t>
      </w:r>
      <w:r w:rsidR="00AA6F86" w:rsidRPr="00AA6F86">
        <w:rPr>
          <w:lang w:val="en-US"/>
        </w:rPr>
        <w:t xml:space="preserve"> </w:t>
      </w:r>
      <w:r w:rsidR="00AA6F86">
        <w:rPr>
          <w:lang w:val="en-US"/>
        </w:rPr>
        <w:t>[</w:t>
      </w:r>
      <w:r w:rsidR="00AA6F86" w:rsidRPr="00AA6F86">
        <w:rPr>
          <w:rFonts w:ascii="Times New Roman" w:hAnsi="Times New Roman" w:cs="Times New Roman"/>
          <w:sz w:val="24"/>
          <w:szCs w:val="24"/>
          <w:lang w:val="en-US"/>
        </w:rPr>
        <w:t>@kyriacou1978</w:t>
      </w:r>
      <w:r w:rsidR="00AA6F86">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r w:rsidR="00A46338" w:rsidRPr="008077A3">
        <w:rPr>
          <w:rFonts w:ascii="Times New Roman" w:hAnsi="Times New Roman" w:cs="Times New Roman"/>
          <w:sz w:val="24"/>
          <w:szCs w:val="24"/>
          <w:lang w:val="en-US"/>
        </w:rPr>
        <w:t>stressors affect teachers’ stress response</w:t>
      </w:r>
      <w:r w:rsidR="00A46338">
        <w:rPr>
          <w:rFonts w:ascii="Times New Roman" w:hAnsi="Times New Roman" w:cs="Times New Roman"/>
          <w:sz w:val="24"/>
          <w:szCs w:val="24"/>
          <w:lang w:val="en-US"/>
        </w:rPr>
        <w:t>, subjective self-reports should 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Being able to monitor, and eventually counteract, teacher stress levels appears</w:t>
      </w:r>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generally </w:t>
      </w:r>
      <w:r w:rsidR="006A1A5C" w:rsidRPr="008077A3">
        <w:rPr>
          <w:rFonts w:ascii="Times New Roman" w:hAnsi="Times New Roman" w:cs="Times New Roman"/>
          <w:sz w:val="24"/>
          <w:szCs w:val="24"/>
          <w:lang w:val="en-US"/>
        </w:rPr>
        <w:t>high stress levels and associated negative health 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lastRenderedPageBreak/>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440F54A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Fitness trackers</w:t>
      </w:r>
      <w:r w:rsidR="00DD2527">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provide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7860D22C"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50FF92C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A23F484"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0B029C26"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RH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678E7B50"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3E5C40ED"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3A86711"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39B91D0B"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33E3E43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69347831"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enable visual inspection of HR trends</w:t>
      </w:r>
      <w:r w:rsidR="00796CF6" w:rsidRPr="008077A3">
        <w:rPr>
          <w:rFonts w:ascii="Times New Roman" w:eastAsia="Times New Roman" w:hAnsi="Times New Roman" w:cs="Times New Roman"/>
          <w:color w:val="000000"/>
          <w:sz w:val="24"/>
          <w:szCs w:val="24"/>
          <w:lang w:val="en-US" w:eastAsia="de-DE"/>
        </w:rPr>
        <w:t xml:space="preserve">, we displayed </w:t>
      </w:r>
      <w:commentRangeStart w:id="0"/>
      <w:r>
        <w:rPr>
          <w:rFonts w:ascii="Times New Roman" w:eastAsia="Times New Roman" w:hAnsi="Times New Roman" w:cs="Times New Roman"/>
          <w:color w:val="000000"/>
          <w:sz w:val="24"/>
          <w:szCs w:val="24"/>
          <w:lang w:val="en-US" w:eastAsia="de-DE"/>
        </w:rPr>
        <w:t xml:space="preserve">smoothed </w:t>
      </w:r>
      <w:commentRangeEnd w:id="0"/>
      <w:r>
        <w:rPr>
          <w:rStyle w:val="Kommentarzeichen"/>
        </w:rPr>
        <w:commentReference w:id="0"/>
      </w:r>
      <w:r>
        <w:rPr>
          <w:rFonts w:ascii="Times New Roman" w:eastAsia="Times New Roman" w:hAnsi="Times New Roman" w:cs="Times New Roman"/>
          <w:color w:val="000000"/>
          <w:sz w:val="24"/>
          <w:szCs w:val="24"/>
          <w:lang w:val="en-US" w:eastAsia="de-DE"/>
        </w:rPr>
        <w:t>teacher</w:t>
      </w:r>
      <w:r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 xml:space="preserve">HR over the course of the </w:t>
      </w:r>
      <w:r w:rsidR="00461AC7">
        <w:rPr>
          <w:rFonts w:ascii="Times New Roman" w:eastAsia="Times New Roman" w:hAnsi="Times New Roman" w:cs="Times New Roman"/>
          <w:color w:val="000000"/>
          <w:sz w:val="24"/>
          <w:szCs w:val="24"/>
          <w:lang w:val="en-US" w:eastAsia="de-DE"/>
        </w:rPr>
        <w:t>recording</w:t>
      </w:r>
      <w:r w:rsidR="00796CF6"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00796CF6"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7A077C"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We averaged each person’s standardized HR over each of </w:t>
      </w:r>
      <w:r w:rsidR="00914988" w:rsidRPr="008077A3">
        <w:rPr>
          <w:rFonts w:ascii="Times New Roman" w:eastAsia="Times New Roman" w:hAnsi="Times New Roman" w:cs="Times New Roman"/>
          <w:color w:val="000000"/>
          <w:sz w:val="24"/>
          <w:szCs w:val="24"/>
          <w:lang w:val="en-US" w:eastAsia="de-DE"/>
        </w:rPr>
        <w:t xml:space="preserve">the </w:t>
      </w:r>
      <w:r w:rsidR="00461AC7" w:rsidRPr="008077A3">
        <w:rPr>
          <w:rFonts w:ascii="Times New Roman" w:eastAsia="Times New Roman" w:hAnsi="Times New Roman" w:cs="Times New Roman"/>
          <w:color w:val="000000"/>
          <w:sz w:val="24"/>
          <w:szCs w:val="24"/>
          <w:lang w:val="en-US" w:eastAsia="de-DE"/>
        </w:rPr>
        <w:t xml:space="preserve">five </w:t>
      </w:r>
      <w:r w:rsidR="00076787" w:rsidRPr="008077A3">
        <w:rPr>
          <w:rFonts w:ascii="Times New Roman" w:eastAsia="Times New Roman" w:hAnsi="Times New Roman" w:cs="Times New Roman"/>
          <w:color w:val="000000"/>
          <w:sz w:val="24"/>
          <w:szCs w:val="24"/>
          <w:lang w:val="en-US" w:eastAsia="de-DE"/>
        </w:rPr>
        <w:t xml:space="preserve">selected </w:t>
      </w:r>
      <w:r w:rsidR="00047399" w:rsidRPr="008077A3">
        <w:rPr>
          <w:rFonts w:ascii="Times New Roman" w:eastAsia="Times New Roman" w:hAnsi="Times New Roman" w:cs="Times New Roman"/>
          <w:color w:val="000000"/>
          <w:sz w:val="24"/>
          <w:szCs w:val="24"/>
          <w:lang w:val="en-US" w:eastAsia="de-DE"/>
        </w:rPr>
        <w:t>intervals</w:t>
      </w:r>
      <w:r w:rsidR="002B1010" w:rsidRPr="004702A1">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conducted 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1D052FB0"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ED6377">
        <w:rPr>
          <w:rFonts w:ascii="Times New Roman" w:eastAsia="Times New Roman" w:hAnsi="Times New Roman" w:cs="Times New Roman"/>
          <w:color w:val="000000"/>
          <w:sz w:val="24"/>
          <w:szCs w:val="24"/>
          <w:lang w:val="en-US" w:eastAsia="de-DE"/>
        </w:rPr>
        <w:t>For</w:t>
      </w:r>
      <w:r w:rsidR="00D44633" w:rsidRPr="00ED6377">
        <w:rPr>
          <w:rFonts w:ascii="Times New Roman" w:eastAsia="Times New Roman" w:hAnsi="Times New Roman" w:cs="Times New Roman"/>
          <w:color w:val="000000"/>
          <w:sz w:val="24"/>
          <w:szCs w:val="24"/>
          <w:lang w:val="en-US" w:eastAsia="de-DE"/>
        </w:rPr>
        <w:t xml:space="preserve"> testing Hypothesis 1b</w:t>
      </w:r>
      <w:r w:rsidR="00C65059"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r w:rsidR="002D23C3" w:rsidRPr="00ED6377">
        <w:rPr>
          <w:rFonts w:ascii="Times New Roman" w:eastAsia="Times New Roman" w:hAnsi="Times New Roman" w:cs="Times New Roman"/>
          <w:color w:val="000000"/>
          <w:sz w:val="24"/>
          <w:szCs w:val="24"/>
          <w:lang w:val="en-US" w:eastAsia="de-DE"/>
        </w:rPr>
        <w:t>concerning</w:t>
      </w:r>
      <w:r w:rsidR="000E0309" w:rsidRPr="00ED6377">
        <w:rPr>
          <w:rFonts w:ascii="Times New Roman" w:eastAsia="Times New Roman" w:hAnsi="Times New Roman" w:cs="Times New Roman"/>
          <w:color w:val="000000"/>
          <w:sz w:val="24"/>
          <w:szCs w:val="24"/>
          <w:lang w:val="en-US" w:eastAsia="de-DE"/>
        </w:rPr>
        <w:t xml:space="preserve"> HR changes within each interval</w:t>
      </w:r>
      <w:r w:rsidR="00914988" w:rsidRPr="00ED6377">
        <w:rPr>
          <w:rFonts w:ascii="Times New Roman" w:eastAsia="Times New Roman" w:hAnsi="Times New Roman" w:cs="Times New Roman"/>
          <w:color w:val="000000"/>
          <w:sz w:val="24"/>
          <w:szCs w:val="24"/>
          <w:lang w:val="en-US" w:eastAsia="de-DE"/>
        </w:rPr>
        <w:t xml:space="preserve">, </w:t>
      </w:r>
      <w:r w:rsidR="00D44633" w:rsidRPr="00ED6377">
        <w:rPr>
          <w:rFonts w:ascii="Times New Roman" w:eastAsia="Times New Roman" w:hAnsi="Times New Roman" w:cs="Times New Roman"/>
          <w:color w:val="000000"/>
          <w:sz w:val="24"/>
          <w:szCs w:val="24"/>
          <w:lang w:val="en-US" w:eastAsia="de-DE"/>
        </w:rPr>
        <w:t xml:space="preserve">we </w:t>
      </w:r>
      <w:r w:rsidR="00DA7129" w:rsidRPr="00ED6377">
        <w:rPr>
          <w:rFonts w:ascii="Times New Roman" w:eastAsia="Times New Roman" w:hAnsi="Times New Roman" w:cs="Times New Roman"/>
          <w:color w:val="000000"/>
          <w:sz w:val="24"/>
          <w:szCs w:val="24"/>
          <w:lang w:val="en-US" w:eastAsia="de-DE"/>
        </w:rPr>
        <w:t xml:space="preserve">first </w:t>
      </w:r>
      <w:r w:rsidR="00D44633" w:rsidRPr="00ED6377">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ED6377">
        <w:rPr>
          <w:rFonts w:ascii="Times New Roman" w:eastAsia="Times New Roman" w:hAnsi="Times New Roman" w:cs="Times New Roman"/>
          <w:color w:val="000000"/>
          <w:sz w:val="24"/>
          <w:szCs w:val="24"/>
          <w:lang w:val="en-US" w:eastAsia="de-DE"/>
        </w:rPr>
        <w:t xml:space="preserve">standardized </w:t>
      </w:r>
      <w:r w:rsidR="00D44633" w:rsidRPr="00ED6377">
        <w:rPr>
          <w:rFonts w:ascii="Times New Roman" w:eastAsia="Times New Roman" w:hAnsi="Times New Roman" w:cs="Times New Roman"/>
          <w:color w:val="000000"/>
          <w:sz w:val="24"/>
          <w:szCs w:val="24"/>
          <w:lang w:val="en-US" w:eastAsia="de-DE"/>
        </w:rPr>
        <w:t xml:space="preserve">HR </w:t>
      </w:r>
      <w:r w:rsidR="003C3292" w:rsidRPr="00ED6377">
        <w:rPr>
          <w:rFonts w:ascii="Times New Roman" w:eastAsia="Times New Roman" w:hAnsi="Times New Roman" w:cs="Times New Roman"/>
          <w:color w:val="000000"/>
          <w:sz w:val="24"/>
          <w:szCs w:val="24"/>
          <w:lang w:val="en-US" w:eastAsia="de-DE"/>
        </w:rPr>
        <w:t xml:space="preserve">values </w:t>
      </w:r>
      <w:r w:rsidR="00D44633" w:rsidRPr="00ED6377">
        <w:rPr>
          <w:rFonts w:ascii="Times New Roman" w:eastAsia="Times New Roman" w:hAnsi="Times New Roman" w:cs="Times New Roman"/>
          <w:color w:val="000000"/>
          <w:sz w:val="24"/>
          <w:szCs w:val="24"/>
          <w:lang w:val="en-US" w:eastAsia="de-DE"/>
        </w:rPr>
        <w:t>over time</w:t>
      </w:r>
      <w:r w:rsidR="00355E72" w:rsidRPr="00ED6377">
        <w:rPr>
          <w:rFonts w:ascii="Times New Roman" w:eastAsia="Times New Roman" w:hAnsi="Times New Roman" w:cs="Times New Roman"/>
          <w:color w:val="000000"/>
          <w:sz w:val="24"/>
          <w:szCs w:val="24"/>
          <w:lang w:val="en-US" w:eastAsia="de-DE"/>
        </w:rPr>
        <w:t xml:space="preserve"> for each participant</w:t>
      </w:r>
      <w:r w:rsidR="00D44633" w:rsidRPr="00ED6377">
        <w:rPr>
          <w:rFonts w:ascii="Times New Roman" w:eastAsia="Times New Roman" w:hAnsi="Times New Roman" w:cs="Times New Roman"/>
          <w:color w:val="000000"/>
          <w:sz w:val="24"/>
          <w:szCs w:val="24"/>
          <w:lang w:val="en-US" w:eastAsia="de-DE"/>
        </w:rPr>
        <w:t>. To this end, we used fixed intercept fixed slope regression models [@</w:t>
      </w:r>
      <w:r w:rsidR="00D44633" w:rsidRPr="00ED6377">
        <w:rPr>
          <w:rFonts w:ascii="Times New Roman" w:eastAsia="Times New Roman" w:hAnsi="Times New Roman" w:cs="Times New Roman"/>
          <w:color w:val="000000"/>
          <w:sz w:val="24"/>
          <w:szCs w:val="24"/>
          <w:shd w:val="clear" w:color="auto" w:fill="FFFFFF"/>
          <w:lang w:val="en-US" w:eastAsia="de-DE"/>
        </w:rPr>
        <w:t>gelman2006data]</w:t>
      </w:r>
      <w:r w:rsidR="00D44633" w:rsidRPr="00ED6377">
        <w:rPr>
          <w:rFonts w:ascii="Times New Roman" w:eastAsia="Times New Roman" w:hAnsi="Times New Roman" w:cs="Times New Roman"/>
          <w:color w:val="000000"/>
          <w:sz w:val="24"/>
          <w:szCs w:val="24"/>
          <w:lang w:val="en-US" w:eastAsia="de-DE"/>
        </w:rPr>
        <w:t xml:space="preserve"> for each interval to estimate intercepts </w:t>
      </w:r>
      <w:bookmarkStart w:id="1" w:name="_Hlk147847961"/>
      <w:r w:rsidR="00D44633" w:rsidRPr="00ED6377">
        <w:rPr>
          <w:rFonts w:ascii="Times New Roman" w:eastAsia="Times New Roman" w:hAnsi="Times New Roman" w:cs="Times New Roman"/>
          <w:color w:val="000000"/>
          <w:sz w:val="24"/>
          <w:szCs w:val="24"/>
          <w:lang w:val="en-US" w:eastAsia="de-DE"/>
        </w:rPr>
        <w:t xml:space="preserve">and linear slopes for </w:t>
      </w:r>
      <w:r w:rsidR="00D0167F" w:rsidRPr="00ED6377">
        <w:rPr>
          <w:rFonts w:ascii="Times New Roman" w:eastAsia="Times New Roman" w:hAnsi="Times New Roman" w:cs="Times New Roman"/>
          <w:color w:val="000000"/>
          <w:sz w:val="24"/>
          <w:szCs w:val="24"/>
          <w:lang w:val="en-US" w:eastAsia="de-DE"/>
        </w:rPr>
        <w:t xml:space="preserve">each </w:t>
      </w:r>
      <w:r w:rsidR="00D44633" w:rsidRPr="00ED6377">
        <w:rPr>
          <w:rFonts w:ascii="Times New Roman" w:eastAsia="Times New Roman" w:hAnsi="Times New Roman" w:cs="Times New Roman"/>
          <w:color w:val="000000"/>
          <w:sz w:val="24"/>
          <w:szCs w:val="24"/>
          <w:lang w:val="en-US" w:eastAsia="de-DE"/>
        </w:rPr>
        <w:t>individual</w:t>
      </w:r>
      <w:r w:rsidR="00D0167F"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bookmarkEnd w:id="1"/>
      <w:r w:rsidR="00D44633" w:rsidRPr="00ED6377">
        <w:rPr>
          <w:rFonts w:ascii="Times New Roman" w:eastAsia="Times New Roman" w:hAnsi="Times New Roman" w:cs="Times New Roman"/>
          <w:color w:val="000000"/>
          <w:sz w:val="24"/>
          <w:szCs w:val="24"/>
          <w:lang w:val="en-US" w:eastAsia="de-DE"/>
        </w:rPr>
        <w:t>which were then averaged across individuals.</w:t>
      </w:r>
      <w:r w:rsidR="00D0167F" w:rsidRPr="00ED6377">
        <w:rPr>
          <w:rFonts w:ascii="Times New Roman" w:eastAsia="Times New Roman" w:hAnsi="Times New Roman" w:cs="Times New Roman"/>
          <w:color w:val="000000"/>
          <w:sz w:val="24"/>
          <w:szCs w:val="24"/>
          <w:lang w:val="en-US" w:eastAsia="de-DE"/>
        </w:rPr>
        <w:t xml:space="preserve"> We tested Hypothesis 1b based on the unstandardized estimates of mean slopes (one estimate per participant per interval).</w:t>
      </w:r>
      <w:r w:rsidR="00CB5B5F" w:rsidRPr="00CB5B5F">
        <w:rPr>
          <w:rFonts w:ascii="Times New Roman" w:eastAsia="Times New Roman" w:hAnsi="Times New Roman" w:cs="Times New Roman"/>
          <w:color w:val="000000"/>
          <w:sz w:val="24"/>
          <w:szCs w:val="24"/>
          <w:vertAlign w:val="superscript"/>
          <w:lang w:val="en-US" w:eastAsia="de-DE"/>
        </w:rPr>
        <w:footnoteReference w:id="4"/>
      </w:r>
      <w:r w:rsidR="00027620" w:rsidRPr="00ED6377">
        <w:rPr>
          <w:rFonts w:ascii="Times New Roman" w:eastAsia="Times New Roman" w:hAnsi="Times New Roman" w:cs="Times New Roman"/>
          <w:color w:val="000000"/>
          <w:sz w:val="24"/>
          <w:szCs w:val="24"/>
          <w:lang w:val="en-US" w:eastAsia="de-DE"/>
        </w:rPr>
        <w:t xml:space="preserve"> </w:t>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 xml:space="preserve">the </w:t>
      </w:r>
      <w:r w:rsidR="00361114" w:rsidRPr="008077A3">
        <w:rPr>
          <w:rFonts w:ascii="Times New Roman" w:hAnsi="Times New Roman" w:cs="Times New Roman"/>
          <w:sz w:val="24"/>
          <w:szCs w:val="24"/>
          <w:lang w:val="en-US"/>
        </w:rPr>
        <w:lastRenderedPageBreak/>
        <w:t>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commentRangeStart w:id="2"/>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 xml:space="preserve">are shown in Table 1. </w:t>
      </w:r>
      <w:commentRangeEnd w:id="2"/>
      <w:r>
        <w:rPr>
          <w:rStyle w:val="Kommentarzeichen"/>
        </w:rPr>
        <w:commentReference w:id="2"/>
      </w:r>
      <w:r w:rsidRPr="008077A3">
        <w:rPr>
          <w:rFonts w:ascii="Times New Roman" w:eastAsia="Times New Roman" w:hAnsi="Times New Roman" w:cs="Times New Roman"/>
          <w:color w:val="000000"/>
          <w:sz w:val="24"/>
          <w:szCs w:val="24"/>
          <w:lang w:val="en-US" w:eastAsia="de-DE"/>
        </w:rPr>
        <w:t>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Interval</w:t>
            </w:r>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of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r w:rsidRPr="008077A3">
              <w:rPr>
                <w:rFonts w:ascii="Times New Roman" w:eastAsia="Times New Roman" w:hAnsi="Times New Roman" w:cs="Times New Roman"/>
                <w:color w:val="000000"/>
                <w:sz w:val="24"/>
                <w:szCs w:val="24"/>
                <w:lang w:eastAsia="de-DE"/>
              </w:rPr>
              <w:t xml:space="preserve">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r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Post-</w:t>
            </w:r>
            <w:r w:rsidR="009959AE" w:rsidRPr="008077A3">
              <w:rPr>
                <w:rFonts w:ascii="Times New Roman" w:eastAsia="Times New Roman" w:hAnsi="Times New Roman" w:cs="Times New Roman"/>
                <w:color w:val="000000"/>
                <w:sz w:val="24"/>
                <w:szCs w:val="24"/>
                <w:lang w:eastAsia="de-DE"/>
              </w:rPr>
              <w:t>teaching</w:t>
            </w:r>
            <w:r w:rsidRPr="008077A3">
              <w:rPr>
                <w:rFonts w:ascii="Times New Roman" w:eastAsia="Times New Roman" w:hAnsi="Times New Roman" w:cs="Times New Roman"/>
                <w:color w:val="000000"/>
                <w:sz w:val="24"/>
                <w:szCs w:val="24"/>
                <w:lang w:eastAsia="de-DE"/>
              </w:rPr>
              <w:t xml:space="preserve">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A5238A"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commentRangeStart w:id="3"/>
      <w:commentRangeStart w:id="4"/>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commentRangeEnd w:id="3"/>
      <w:r w:rsidR="00E213A7">
        <w:rPr>
          <w:rStyle w:val="Kommentarzeichen"/>
        </w:rPr>
        <w:commentReference w:id="3"/>
      </w:r>
      <w:commentRangeEnd w:id="4"/>
      <w:r w:rsidR="00754051">
        <w:rPr>
          <w:rStyle w:val="Kommentarzeichen"/>
        </w:rPr>
        <w:commentReference w:id="4"/>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Interval</w:t>
            </w:r>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Intercept</w:t>
            </w:r>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Slope</w:t>
            </w:r>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Intercept</w:t>
            </w:r>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Slope</w:t>
            </w:r>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 Pre-teaching interval</w:t>
            </w:r>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 Teaching interval</w:t>
            </w:r>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Post-teaching interval</w:t>
            </w:r>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 Interview interval</w:t>
            </w:r>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 End interval</w:t>
            </w:r>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 xml:space="preserve">lower disruption </w:t>
      </w:r>
      <w:r w:rsidR="00F045D1" w:rsidRPr="008077A3">
        <w:rPr>
          <w:rFonts w:ascii="Times New Roman" w:eastAsia="Times New Roman" w:hAnsi="Times New Roman" w:cs="Times New Roman"/>
          <w:color w:val="000000"/>
          <w:sz w:val="24"/>
          <w:szCs w:val="24"/>
          <w:lang w:val="en-US" w:eastAsia="de-DE"/>
        </w:rPr>
        <w:lastRenderedPageBreak/>
        <w:t>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r w:rsidR="008A622C" w:rsidRPr="008077A3">
              <w:rPr>
                <w:rFonts w:ascii="Times New Roman" w:eastAsia="Times New Roman" w:hAnsi="Times New Roman" w:cs="Times New Roman"/>
                <w:color w:val="000000"/>
                <w:sz w:val="24"/>
                <w:szCs w:val="24"/>
                <w:lang w:eastAsia="de-DE"/>
              </w:rPr>
              <w:t xml:space="preserve"> </w:t>
            </w:r>
            <w:r w:rsidR="009959AE" w:rsidRPr="008077A3">
              <w:rPr>
                <w:rFonts w:ascii="Times New Roman" w:eastAsia="Times New Roman" w:hAnsi="Times New Roman" w:cs="Times New Roman"/>
                <w:color w:val="000000"/>
                <w:sz w:val="24"/>
                <w:szCs w:val="24"/>
                <w:lang w:eastAsia="de-DE"/>
              </w:rPr>
              <w:t>interval</w:t>
            </w:r>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interval</w:t>
            </w:r>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r w:rsidR="009959AE" w:rsidRPr="008077A3">
              <w:rPr>
                <w:rFonts w:ascii="Times New Roman" w:eastAsia="Times New Roman" w:hAnsi="Times New Roman" w:cs="Times New Roman"/>
                <w:sz w:val="24"/>
                <w:szCs w:val="24"/>
                <w:lang w:eastAsia="de-DE"/>
              </w:rPr>
              <w:t>teaching</w:t>
            </w:r>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interval</w:t>
            </w:r>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interval</w:t>
            </w:r>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interval</w:t>
            </w:r>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A5238A"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 xml:space="preserve">eaching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Post-teaching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68B19E60"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to </w:t>
      </w:r>
      <w:r w:rsidR="00372C94">
        <w:rPr>
          <w:lang w:val="en-US"/>
        </w:rPr>
        <w:t>track</w:t>
      </w:r>
      <w:r w:rsidR="00372C94" w:rsidRPr="008077A3">
        <w:rPr>
          <w:lang w:val="en-US"/>
        </w:rPr>
        <w:t xml:space="preserve"> teachers’ HR</w:t>
      </w:r>
      <w:r w:rsidR="00372C94">
        <w:rPr>
          <w:lang w:val="en-US"/>
        </w:rPr>
        <w:t xml:space="preserve"> and identify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522364E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or stress-inducing tasks [@Darnell2019; @chalmers2021].</w:t>
      </w:r>
      <w:r w:rsidR="000C7269">
        <w:rPr>
          <w:color w:val="000000"/>
          <w:lang w:val="en-US"/>
        </w:rPr>
        <w:t xml:space="preserve"> </w:t>
      </w:r>
    </w:p>
    <w:p w14:paraId="0A26EBD0" w14:textId="3F5D32DB"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r w:rsidR="00D3540E">
        <w:rPr>
          <w:lang w:val="en-US"/>
        </w:rPr>
        <w:t>[@</w:t>
      </w:r>
      <w:r w:rsidR="00D3540E" w:rsidRPr="00D3540E">
        <w:rPr>
          <w:lang w:val="en-US"/>
        </w:rPr>
        <w:t>uchino2010older</w:t>
      </w:r>
      <w:r w:rsidR="00D3540E">
        <w:rPr>
          <w:lang w:val="en-US"/>
        </w:rPr>
        <w:t xml:space="preserve">]. </w:t>
      </w:r>
      <w:r w:rsidR="001A4C1B">
        <w:rPr>
          <w:lang w:val="en-US"/>
        </w:rPr>
        <w:t xml:space="preserve">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w:t>
      </w:r>
      <w:r w:rsidR="009F7907">
        <w:rPr>
          <w:lang w:val="en-US"/>
        </w:rPr>
        <w:lastRenderedPageBreak/>
        <w:t xml:space="preserve">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lastRenderedPageBreak/>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5A73A68B" w14:textId="59B7649C" w:rsidR="00DB7A63" w:rsidRDefault="00E1388C" w:rsidP="00C56FE6">
      <w:pPr>
        <w:pStyle w:val="StandardWeb"/>
        <w:spacing w:before="240" w:beforeAutospacing="0" w:after="240" w:afterAutospacing="0" w:line="480" w:lineRule="auto"/>
        <w:jc w:val="both"/>
        <w:rPr>
          <w:color w:val="000000"/>
          <w:lang w:val="en-US"/>
        </w:rPr>
      </w:pPr>
      <w:commentRangeStart w:id="5"/>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w:t>
      </w:r>
      <w:r w:rsidR="00600706">
        <w:rPr>
          <w:color w:val="000000"/>
          <w:lang w:val="en-US"/>
        </w:rPr>
        <w:t>, first of all,</w:t>
      </w:r>
      <w:r>
        <w:rPr>
          <w:color w:val="000000"/>
          <w:lang w:val="en-US"/>
        </w:rPr>
        <w:t xml:space="preserve"> have to conclude that our hypotheses were not supported, as neither confidence appraisal nor disruptiveness appraisal showed any notable correlations with teachers</w:t>
      </w:r>
      <w:r w:rsidR="00BC7B91">
        <w:rPr>
          <w:color w:val="000000"/>
          <w:lang w:val="en-US"/>
        </w:rPr>
        <w:t xml:space="preserve">’ </w:t>
      </w:r>
      <w:r>
        <w:rPr>
          <w:color w:val="000000"/>
          <w:lang w:val="en-US"/>
        </w:rPr>
        <w:t xml:space="preserve">means standardized HR or any explanatory power over and beyond teaching experience. </w:t>
      </w:r>
      <w:commentRangeEnd w:id="5"/>
      <w:r w:rsidR="00E25EDB">
        <w:rPr>
          <w:rStyle w:val="Kommentarzeichen"/>
          <w:rFonts w:asciiTheme="minorHAnsi" w:eastAsiaTheme="minorHAnsi" w:hAnsiTheme="minorHAnsi" w:cstheme="minorBidi"/>
          <w:lang w:eastAsia="en-US"/>
        </w:rPr>
        <w:commentReference w:id="5"/>
      </w:r>
      <w:r w:rsidR="00600706" w:rsidRPr="00311FD8">
        <w:rPr>
          <w:color w:val="000000"/>
          <w:highlight w:val="yellow"/>
          <w:lang w:val="en-US"/>
        </w:rPr>
        <w:t>Th</w:t>
      </w:r>
      <w:r w:rsidR="00AE5CEC" w:rsidRPr="00311FD8">
        <w:rPr>
          <w:color w:val="000000"/>
          <w:highlight w:val="yellow"/>
          <w:lang w:val="en-US"/>
        </w:rPr>
        <w:t>is</w:t>
      </w:r>
      <w:r w:rsidR="00600706" w:rsidRPr="00311FD8">
        <w:rPr>
          <w:color w:val="000000"/>
          <w:highlight w:val="yellow"/>
          <w:lang w:val="en-US"/>
        </w:rPr>
        <w:t xml:space="preserve"> lack of significant correlations may be attributed to several factors.</w:t>
      </w:r>
      <w:r w:rsidR="00C70040" w:rsidRPr="00311FD8">
        <w:rPr>
          <w:color w:val="000000"/>
          <w:highlight w:val="yellow"/>
          <w:lang w:val="en-US"/>
        </w:rPr>
        <w:t xml:space="preserve"> </w:t>
      </w:r>
      <w:r w:rsidR="00600706" w:rsidRPr="00311FD8">
        <w:rPr>
          <w:color w:val="000000"/>
          <w:highlight w:val="yellow"/>
          <w:lang w:val="en-US"/>
        </w:rPr>
        <w:t xml:space="preserve">First, there may be a </w:t>
      </w:r>
      <w:r w:rsidR="00EC0DF3" w:rsidRPr="00311FD8">
        <w:rPr>
          <w:color w:val="000000"/>
          <w:highlight w:val="yellow"/>
          <w:lang w:val="en-US"/>
        </w:rPr>
        <w:t>potential discrepancy between teachers</w:t>
      </w:r>
      <w:r w:rsidR="00EC0DF3" w:rsidRPr="00311FD8">
        <w:rPr>
          <w:color w:val="000000"/>
          <w:highlight w:val="yellow"/>
          <w:lang w:val="en-US"/>
        </w:rPr>
        <w:t xml:space="preserve">’ </w:t>
      </w:r>
      <w:r w:rsidR="00EC0DF3" w:rsidRPr="00311FD8">
        <w:rPr>
          <w:color w:val="000000"/>
          <w:highlight w:val="yellow"/>
          <w:lang w:val="en-US"/>
        </w:rPr>
        <w:t xml:space="preserve">self-reported measures of confidence and </w:t>
      </w:r>
      <w:r w:rsidR="00EE5283" w:rsidRPr="00311FD8">
        <w:rPr>
          <w:color w:val="000000"/>
          <w:highlight w:val="yellow"/>
          <w:lang w:val="en-US"/>
        </w:rPr>
        <w:t>perceived disruptiveness</w:t>
      </w:r>
      <w:r w:rsidR="00EC0DF3" w:rsidRPr="00311FD8">
        <w:rPr>
          <w:color w:val="000000"/>
          <w:highlight w:val="yellow"/>
          <w:lang w:val="en-US"/>
        </w:rPr>
        <w:t xml:space="preserve"> of classroom disruptions and their actual physiological stress responses, as measured by HR. </w:t>
      </w:r>
      <w:r w:rsidR="00EE5283" w:rsidRPr="00311FD8">
        <w:rPr>
          <w:color w:val="000000"/>
          <w:highlight w:val="yellow"/>
          <w:lang w:val="en-US"/>
        </w:rPr>
        <w:t>T</w:t>
      </w:r>
      <w:r w:rsidR="00EC0DF3" w:rsidRPr="00311FD8">
        <w:rPr>
          <w:color w:val="000000"/>
          <w:highlight w:val="yellow"/>
          <w:lang w:val="en-US"/>
        </w:rPr>
        <w:t>eachers may downplay or rationalize their stress levels when reporting their confidence and how disruptive they find classroom events. As a result, their self-reports may not fully capture the intensity of their physiological arousal.</w:t>
      </w:r>
      <w:r w:rsidR="00EC0DF3" w:rsidRPr="00311FD8">
        <w:rPr>
          <w:color w:val="000000"/>
          <w:highlight w:val="yellow"/>
          <w:lang w:val="en-US"/>
        </w:rPr>
        <w:t xml:space="preserve"> </w:t>
      </w:r>
      <w:r w:rsidR="00BA36A0" w:rsidRPr="00311FD8">
        <w:rPr>
          <w:color w:val="000000"/>
          <w:highlight w:val="yellow"/>
          <w:lang w:val="en-US"/>
        </w:rPr>
        <w:t>Second, t</w:t>
      </w:r>
      <w:r w:rsidR="00C56FE6" w:rsidRPr="00311FD8">
        <w:rPr>
          <w:color w:val="000000"/>
          <w:highlight w:val="yellow"/>
          <w:lang w:val="en-US"/>
        </w:rPr>
        <w:t>he study discovered that teaching experience did not have a moderating effect on HR</w:t>
      </w:r>
      <w:r w:rsidR="00881E06" w:rsidRPr="00311FD8">
        <w:rPr>
          <w:color w:val="000000"/>
          <w:highlight w:val="yellow"/>
          <w:lang w:val="en-US"/>
        </w:rPr>
        <w:t xml:space="preserve"> </w:t>
      </w:r>
      <w:r w:rsidR="00C56FE6" w:rsidRPr="00311FD8">
        <w:rPr>
          <w:color w:val="000000"/>
          <w:highlight w:val="yellow"/>
          <w:lang w:val="en-US"/>
        </w:rPr>
        <w:t xml:space="preserve">levels during the teaching phase, meaning that more experienced teachers did not show lower HRs compared to less experienced teachers during stressful teaching </w:t>
      </w:r>
      <w:r w:rsidR="00BA36A0" w:rsidRPr="00311FD8">
        <w:rPr>
          <w:color w:val="000000"/>
          <w:highlight w:val="yellow"/>
          <w:lang w:val="en-US"/>
        </w:rPr>
        <w:t>tasks</w:t>
      </w:r>
      <w:r w:rsidR="00C56FE6" w:rsidRPr="00311FD8">
        <w:rPr>
          <w:color w:val="000000"/>
          <w:highlight w:val="yellow"/>
          <w:lang w:val="en-US"/>
        </w:rPr>
        <w:t>. This finding suggests that simply having more teaching experience does not necessarily influence how teachers experience or manage stress in terms of physiological measures like HR.</w:t>
      </w:r>
      <w:r w:rsidR="00881E06" w:rsidRPr="00311FD8">
        <w:rPr>
          <w:color w:val="000000"/>
          <w:highlight w:val="yellow"/>
          <w:lang w:val="en-US"/>
        </w:rPr>
        <w:t xml:space="preserve"> </w:t>
      </w:r>
      <w:r w:rsidR="00C56FE6" w:rsidRPr="00C56FE6">
        <w:rPr>
          <w:color w:val="000000"/>
          <w:highlight w:val="yellow"/>
          <w:lang w:val="en-US"/>
        </w:rPr>
        <w:t xml:space="preserve">One interpretation is that the impact of teaching experience might be more complex than initially thought. While experienced </w:t>
      </w:r>
      <w:r w:rsidR="00C56FE6" w:rsidRPr="00C56FE6">
        <w:rPr>
          <w:color w:val="000000"/>
          <w:highlight w:val="yellow"/>
          <w:lang w:val="en-US"/>
        </w:rPr>
        <w:lastRenderedPageBreak/>
        <w:t xml:space="preserve">teachers may have developed effective coping strategies, these strategies might not always translate into lower physiological stress responses (such as a lower HR). </w:t>
      </w:r>
      <w:r w:rsidR="009307FC" w:rsidRPr="00311FD8">
        <w:rPr>
          <w:color w:val="000000"/>
          <w:highlight w:val="yellow"/>
          <w:lang w:val="en-US"/>
        </w:rPr>
        <w:t>These coping mechanisms may be</w:t>
      </w:r>
      <w:r w:rsidR="00C56FE6" w:rsidRPr="00C56FE6">
        <w:rPr>
          <w:color w:val="000000"/>
          <w:highlight w:val="yellow"/>
          <w:lang w:val="en-US"/>
        </w:rPr>
        <w:t xml:space="preserve"> more psychological or behavioral rather than directly affecting physiological metrics.</w:t>
      </w:r>
      <w:r w:rsidR="00C56FE6" w:rsidRPr="00C56FE6">
        <w:rPr>
          <w:color w:val="000000"/>
          <w:lang w:val="en-US"/>
        </w:rPr>
        <w:t xml:space="preserve"> </w:t>
      </w:r>
    </w:p>
    <w:p w14:paraId="67CEFF56" w14:textId="5BBE2648" w:rsidR="0063687C" w:rsidRDefault="00E1388C" w:rsidP="003420F3">
      <w:pPr>
        <w:pStyle w:val="StandardWeb"/>
        <w:spacing w:before="240" w:beforeAutospacing="0" w:after="240" w:afterAutospacing="0" w:line="480" w:lineRule="auto"/>
        <w:jc w:val="both"/>
        <w:rPr>
          <w:color w:val="000000"/>
          <w:lang w:val="en-US"/>
        </w:rPr>
      </w:pPr>
      <w:r>
        <w:rPr>
          <w:color w:val="000000"/>
          <w:lang w:val="en-US"/>
        </w:rPr>
        <w:t xml:space="preserve">However,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 xml:space="preserve">phase immediately following the micro-teaching unit and thus </w:t>
      </w:r>
      <w:r>
        <w:rPr>
          <w:color w:val="000000"/>
          <w:lang w:val="en-US"/>
        </w:rPr>
        <w:t xml:space="preserve">might be described as </w:t>
      </w:r>
      <w:r w:rsidR="00C14178" w:rsidRPr="008077A3">
        <w:rPr>
          <w:color w:val="000000"/>
          <w:lang w:val="en-US"/>
        </w:rPr>
        <w:t>show</w:t>
      </w:r>
      <w:r w:rsidR="00E948BA">
        <w:rPr>
          <w:color w:val="000000"/>
          <w:lang w:val="en-US"/>
        </w:rPr>
        <w:t>ing</w:t>
      </w:r>
      <w:r w:rsidR="00C14178" w:rsidRPr="008077A3">
        <w:rPr>
          <w:color w:val="000000"/>
          <w:lang w:val="en-US"/>
        </w:rPr>
        <w:t xml:space="preserve"> cumulative effects of the stressful classroom disruptions</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Pr>
          <w:color w:val="000000"/>
          <w:lang w:val="en-US"/>
        </w:rPr>
        <w:t>would be</w:t>
      </w:r>
      <w:r w:rsidR="001717EB" w:rsidRPr="008077A3">
        <w:rPr>
          <w:color w:val="000000"/>
          <w:lang w:val="en-US"/>
        </w:rPr>
        <w:t xml:space="preserve"> consistent with the idea that differences in </w:t>
      </w:r>
      <w:r>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326E5CA"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flowing the experimental schedule, irrelevant of the behavior of the teacher. </w:t>
      </w:r>
      <w:r w:rsidR="00926D94" w:rsidRPr="008077A3">
        <w:rPr>
          <w:color w:val="000000"/>
          <w:lang w:val="en-US"/>
        </w:rPr>
        <w:t xml:space="preserve"> </w:t>
      </w:r>
      <w:r w:rsidR="008106C9">
        <w:rPr>
          <w:color w:val="000000"/>
          <w:lang w:val="en-US"/>
        </w:rPr>
        <w:t xml:space="preserve">Thus, the setting may have masked effects of teaching experience by providing too little opportunities of experienced teachers to demonstrate their true classroom management skills.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lastRenderedPageBreak/>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w:t>
      </w:r>
      <w:r w:rsidR="00635597" w:rsidRPr="008077A3">
        <w:rPr>
          <w:color w:val="000000"/>
          <w:lang w:val="en-US"/>
        </w:rPr>
        <w:lastRenderedPageBreak/>
        <w:t xml:space="preserve">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40F2369B" w14:textId="0D3D3A32" w:rsidR="00BF2D07" w:rsidRDefault="00BF2D07" w:rsidP="003420F3">
      <w:pPr>
        <w:pStyle w:val="StandardWeb"/>
        <w:spacing w:before="240" w:after="240" w:line="480" w:lineRule="auto"/>
        <w:jc w:val="both"/>
        <w:rPr>
          <w:lang w:val="en-US"/>
        </w:rPr>
      </w:pPr>
      <w:r w:rsidRPr="00883E0D">
        <w:rPr>
          <w:highlight w:val="yellow"/>
          <w:lang w:val="en-US"/>
        </w:rPr>
        <w:t>F</w:t>
      </w:r>
      <w:r w:rsidR="00661775" w:rsidRPr="00883E0D">
        <w:rPr>
          <w:highlight w:val="yellow"/>
          <w:lang w:val="en-US"/>
        </w:rPr>
        <w:t xml:space="preserve">urthermore, </w:t>
      </w:r>
      <w:r w:rsidR="00536001" w:rsidRPr="00883E0D">
        <w:rPr>
          <w:highlight w:val="yellow"/>
          <w:lang w:val="en-US"/>
        </w:rPr>
        <w:t>while we assessed teachers</w:t>
      </w:r>
      <w:r w:rsidR="00F2771C" w:rsidRPr="00883E0D">
        <w:rPr>
          <w:highlight w:val="yellow"/>
          <w:lang w:val="en-US"/>
        </w:rPr>
        <w:t>’</w:t>
      </w:r>
      <w:r w:rsidR="00536001" w:rsidRPr="00883E0D">
        <w:rPr>
          <w:highlight w:val="yellow"/>
          <w:lang w:val="en-US"/>
        </w:rPr>
        <w:t xml:space="preserve"> appraisals of the stressful classroom disruptions using a </w:t>
      </w:r>
      <w:r w:rsidR="00116C07" w:rsidRPr="00883E0D">
        <w:rPr>
          <w:highlight w:val="yellow"/>
          <w:lang w:val="en-US"/>
        </w:rPr>
        <w:t>SRI</w:t>
      </w:r>
      <w:r w:rsidR="00536001" w:rsidRPr="00883E0D">
        <w:rPr>
          <w:highlight w:val="yellow"/>
          <w:lang w:val="en-US"/>
        </w:rPr>
        <w:t xml:space="preserve"> in which they could review the exact situation, these appraisal ratings were still post-hoc self-reports</w:t>
      </w:r>
      <w:r w:rsidR="00CE682B" w:rsidRPr="00883E0D">
        <w:rPr>
          <w:highlight w:val="yellow"/>
          <w:lang w:val="en-US"/>
        </w:rPr>
        <w:t xml:space="preserve">, which limits the interpretation of our results. </w:t>
      </w:r>
      <w:r w:rsidR="00E07320" w:rsidRPr="00883E0D">
        <w:rPr>
          <w:highlight w:val="yellow"/>
          <w:lang w:val="en-US"/>
        </w:rPr>
        <w:t>One of the main issues with post-hoc self-reports is that they rely on the teachers’ memories and subjective interpretations of past events, which may be prone to various biases</w:t>
      </w:r>
      <w:r w:rsidR="00E07320" w:rsidRPr="00883E0D">
        <w:rPr>
          <w:highlight w:val="yellow"/>
          <w:lang w:val="en-US"/>
        </w:rPr>
        <w:t xml:space="preserve"> </w:t>
      </w:r>
      <w:r w:rsidR="00EB3AC3" w:rsidRPr="00883E0D">
        <w:rPr>
          <w:highlight w:val="yellow"/>
          <w:lang w:val="en-US"/>
        </w:rPr>
        <w:t xml:space="preserve">such as </w:t>
      </w:r>
      <w:r w:rsidR="00E8469E" w:rsidRPr="00883E0D">
        <w:rPr>
          <w:highlight w:val="yellow"/>
          <w:lang w:val="en-US"/>
        </w:rPr>
        <w:t>social desirability [@razavi2001self] or recall errors [@van2016accuracy]</w:t>
      </w:r>
      <w:r w:rsidR="00EB3AC3" w:rsidRPr="00883E0D">
        <w:rPr>
          <w:highlight w:val="yellow"/>
          <w:lang w:val="en-US"/>
        </w:rPr>
        <w:t xml:space="preserve">. </w:t>
      </w:r>
      <w:r w:rsidR="001B2824" w:rsidRPr="00883E0D">
        <w:rPr>
          <w:highlight w:val="yellow"/>
          <w:lang w:val="en-US"/>
        </w:rPr>
        <w:t xml:space="preserve">Moreover, stress is not a fixed or stable construct; it is a dynamic, constantly evolving affective response that can vary not only from moment to moment but </w:t>
      </w:r>
      <w:r w:rsidR="00AD52F8" w:rsidRPr="00883E0D">
        <w:rPr>
          <w:highlight w:val="yellow"/>
          <w:lang w:val="en-US"/>
        </w:rPr>
        <w:t xml:space="preserve">also </w:t>
      </w:r>
      <w:r w:rsidR="001B2824" w:rsidRPr="00883E0D">
        <w:rPr>
          <w:highlight w:val="yellow"/>
          <w:lang w:val="en-US"/>
        </w:rPr>
        <w:t>depending on context, individual disposition, and prior experiences</w:t>
      </w:r>
      <w:r w:rsidR="00AD52F8" w:rsidRPr="00883E0D">
        <w:rPr>
          <w:highlight w:val="yellow"/>
          <w:lang w:val="en-US"/>
        </w:rPr>
        <w:t xml:space="preserve"> </w:t>
      </w:r>
      <w:r w:rsidR="00070164" w:rsidRPr="00883E0D">
        <w:rPr>
          <w:highlight w:val="yellow"/>
          <w:lang w:val="en-US"/>
        </w:rPr>
        <w:t xml:space="preserve">making </w:t>
      </w:r>
      <w:r w:rsidR="001B2824" w:rsidRPr="00883E0D">
        <w:rPr>
          <w:highlight w:val="yellow"/>
          <w:lang w:val="en-US"/>
        </w:rPr>
        <w:t>it particularly challenging to pinpoint valid and reliable process markers for how individuals appraise stress in real-time</w:t>
      </w:r>
      <w:r w:rsidR="00070164" w:rsidRPr="00883E0D">
        <w:rPr>
          <w:highlight w:val="yellow"/>
          <w:lang w:val="en-US"/>
        </w:rPr>
        <w:t xml:space="preserve"> </w:t>
      </w:r>
      <w:r w:rsidR="00310B02" w:rsidRPr="00883E0D">
        <w:rPr>
          <w:highlight w:val="yellow"/>
          <w:lang w:val="en-US"/>
        </w:rPr>
        <w:t>[@</w:t>
      </w:r>
      <w:r w:rsidR="00310B02" w:rsidRPr="00883E0D">
        <w:rPr>
          <w:highlight w:val="yellow"/>
          <w:lang w:val="en-US"/>
        </w:rPr>
        <w:t>lazarus1990theory</w:t>
      </w:r>
      <w:r w:rsidR="00310B02" w:rsidRPr="00883E0D">
        <w:rPr>
          <w:highlight w:val="yellow"/>
          <w:lang w:val="en-US"/>
        </w:rPr>
        <w:t>]</w:t>
      </w:r>
      <w:r w:rsidR="001B2824" w:rsidRPr="00883E0D">
        <w:rPr>
          <w:highlight w:val="yellow"/>
          <w:lang w:val="en-US"/>
        </w:rPr>
        <w:t xml:space="preserve">. While SRIs provide a more detailed and reflective understanding of the stressor in question, the delayed nature of the response makes it </w:t>
      </w:r>
      <w:r w:rsidR="001B2824" w:rsidRPr="00883E0D">
        <w:rPr>
          <w:highlight w:val="yellow"/>
          <w:lang w:val="en-US"/>
        </w:rPr>
        <w:lastRenderedPageBreak/>
        <w:t>difficult to capture the immediate, in-the-moment appraisal that occurs when the stressful event actually takes place.</w:t>
      </w:r>
    </w:p>
    <w:p w14:paraId="52409E3F" w14:textId="77777777" w:rsidR="00310B02" w:rsidRPr="00BF2D07" w:rsidRDefault="00310B02" w:rsidP="003420F3">
      <w:pPr>
        <w:pStyle w:val="StandardWeb"/>
        <w:spacing w:before="240" w:after="24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575DC10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E311B5">
        <w:rPr>
          <w:rFonts w:ascii="Times New Roman" w:eastAsia="Times New Roman" w:hAnsi="Times New Roman" w:cs="Times New Roman"/>
          <w:sz w:val="24"/>
          <w:szCs w:val="24"/>
          <w:lang w:val="en-US" w:eastAsia="de-DE"/>
        </w:rPr>
        <w:t>data analysis</w:t>
      </w:r>
      <w:r w:rsidR="00B8329C">
        <w:rPr>
          <w:rFonts w:ascii="Times New Roman" w:eastAsia="Times New Roman" w:hAnsi="Times New Roman" w:cs="Times New Roman"/>
          <w:sz w:val="24"/>
          <w:szCs w:val="24"/>
          <w:lang w:val="en-US" w:eastAsia="de-DE"/>
        </w:rPr>
        <w:t xml:space="preserve">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5A8DC222"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actual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w:t>
      </w:r>
      <w:r w:rsidRPr="00875D64">
        <w:rPr>
          <w:rFonts w:ascii="Times New Roman" w:eastAsia="Times New Roman" w:hAnsi="Times New Roman" w:cs="Times New Roman"/>
          <w:sz w:val="24"/>
          <w:szCs w:val="24"/>
          <w:lang w:val="en-US" w:eastAsia="de-DE"/>
        </w:rPr>
        <w:lastRenderedPageBreak/>
        <w:t xml:space="preserve">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1DF6B2D5" w14:textId="609303AF" w:rsidR="00C345D3" w:rsidRPr="00C345D3"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ing reserach</w:t>
      </w:r>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r w:rsidRPr="00883E0D">
        <w:rPr>
          <w:rFonts w:ascii="Times New Roman" w:eastAsia="Times New Roman" w:hAnsi="Times New Roman" w:cs="Times New Roman"/>
          <w:sz w:val="24"/>
          <w:szCs w:val="24"/>
          <w:highlight w:val="yellow"/>
          <w:lang w:val="en-US" w:eastAsia="de-DE"/>
        </w:rPr>
        <w:t xml:space="preserve">Finally, </w:t>
      </w:r>
      <w:r w:rsidR="00C345D3" w:rsidRPr="00883E0D">
        <w:rPr>
          <w:rFonts w:ascii="Times New Roman" w:eastAsia="Times New Roman" w:hAnsi="Times New Roman" w:cs="Times New Roman"/>
          <w:sz w:val="24"/>
          <w:szCs w:val="24"/>
          <w:highlight w:val="yellow"/>
          <w:lang w:val="en-US" w:eastAsia="de-DE"/>
        </w:rPr>
        <w:t>if researchers want to</w:t>
      </w:r>
      <w:r w:rsidR="00C345D3" w:rsidRPr="00883E0D">
        <w:rPr>
          <w:rFonts w:ascii="Times New Roman" w:eastAsia="Times New Roman" w:hAnsi="Times New Roman" w:cs="Times New Roman"/>
          <w:sz w:val="24"/>
          <w:szCs w:val="24"/>
          <w:highlight w:val="yellow"/>
          <w:lang w:val="en-US" w:eastAsia="de-DE"/>
        </w:rPr>
        <w:t xml:space="preserve"> accurately investigate parameters during specific time intervals, such as HR</w:t>
      </w:r>
      <w:r w:rsidR="00C345D3" w:rsidRPr="00883E0D">
        <w:rPr>
          <w:rFonts w:ascii="Times New Roman" w:eastAsia="Times New Roman" w:hAnsi="Times New Roman" w:cs="Times New Roman"/>
          <w:sz w:val="24"/>
          <w:szCs w:val="24"/>
          <w:highlight w:val="yellow"/>
          <w:lang w:val="en-US" w:eastAsia="de-DE"/>
        </w:rPr>
        <w:t xml:space="preserve"> </w:t>
      </w:r>
      <w:r w:rsidR="00C345D3" w:rsidRPr="00883E0D">
        <w:rPr>
          <w:rFonts w:ascii="Times New Roman" w:eastAsia="Times New Roman" w:hAnsi="Times New Roman" w:cs="Times New Roman"/>
          <w:sz w:val="24"/>
          <w:szCs w:val="24"/>
          <w:highlight w:val="yellow"/>
          <w:lang w:val="en-US" w:eastAsia="de-DE"/>
        </w:rPr>
        <w:t>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Extracting and analyzing fitness tracker data:</w:t>
      </w:r>
    </w:p>
    <w:p w14:paraId="6639F88F" w14:textId="5822E635" w:rsidR="00C3390C" w:rsidRPr="001B077E" w:rsidRDefault="00875D64" w:rsidP="00875D64">
      <w:pPr>
        <w:spacing w:line="480" w:lineRule="auto"/>
        <w:rPr>
          <w:rFonts w:ascii="Times New Roman" w:eastAsia="Times New Roman" w:hAnsi="Times New Roman" w:cs="Times New Roman"/>
          <w:sz w:val="24"/>
          <w:szCs w:val="24"/>
          <w:lang w:val="en-US" w:eastAsia="de-DE"/>
        </w:rPr>
      </w:pPr>
      <w:r w:rsidRPr="00883E0D">
        <w:rPr>
          <w:rFonts w:ascii="Times New Roman" w:eastAsia="Times New Roman" w:hAnsi="Times New Roman" w:cs="Times New Roman"/>
          <w:sz w:val="24"/>
          <w:szCs w:val="24"/>
          <w:highlight w:val="yellow"/>
          <w:lang w:val="en-US" w:eastAsia="de-DE"/>
        </w:rPr>
        <w:lastRenderedPageBreak/>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883E0D">
        <w:rPr>
          <w:rFonts w:ascii="Times New Roman" w:eastAsia="Times New Roman" w:hAnsi="Times New Roman" w:cs="Times New Roman"/>
          <w:sz w:val="24"/>
          <w:szCs w:val="24"/>
          <w:highlight w:val="yellow"/>
          <w:lang w:val="en-US" w:eastAsia="de-DE"/>
        </w:rPr>
        <w:t xml:space="preserve"> after data collection </w:t>
      </w:r>
      <w:r w:rsidR="00FF445B" w:rsidRPr="00883E0D">
        <w:rPr>
          <w:rFonts w:ascii="Times New Roman" w:eastAsia="Times New Roman" w:hAnsi="Times New Roman" w:cs="Times New Roman"/>
          <w:sz w:val="24"/>
          <w:szCs w:val="24"/>
          <w:highlight w:val="yellow"/>
          <w:lang w:val="en-US" w:eastAsia="de-DE"/>
        </w:rPr>
        <w:t>to avoid potential data loss</w:t>
      </w:r>
      <w:r w:rsidR="001B077E" w:rsidRPr="00883E0D">
        <w:rPr>
          <w:rFonts w:ascii="Times New Roman" w:eastAsia="Times New Roman" w:hAnsi="Times New Roman" w:cs="Times New Roman"/>
          <w:sz w:val="24"/>
          <w:szCs w:val="24"/>
          <w:highlight w:val="yellow"/>
          <w:lang w:val="en-US" w:eastAsia="de-DE"/>
        </w:rPr>
        <w:t xml:space="preserve"> because</w:t>
      </w:r>
      <w:r w:rsidR="00FF445B" w:rsidRPr="00883E0D">
        <w:rPr>
          <w:rFonts w:ascii="Times New Roman" w:eastAsia="Times New Roman" w:hAnsi="Times New Roman" w:cs="Times New Roman"/>
          <w:sz w:val="24"/>
          <w:szCs w:val="24"/>
          <w:highlight w:val="yellow"/>
          <w:lang w:val="en-US" w:eastAsia="de-DE"/>
        </w:rPr>
        <w:t xml:space="preserve"> some platforms might automatically delete or archive older data files after a certain period</w:t>
      </w:r>
      <w:r w:rsidR="00E34345" w:rsidRPr="00883E0D">
        <w:rPr>
          <w:rFonts w:ascii="Times New Roman" w:eastAsia="Times New Roman" w:hAnsi="Times New Roman" w:cs="Times New Roman"/>
          <w:sz w:val="24"/>
          <w:szCs w:val="24"/>
          <w:highlight w:val="yellow"/>
          <w:lang w:val="en-US" w:eastAsia="de-DE"/>
        </w:rPr>
        <w:t xml:space="preserve"> due to </w:t>
      </w:r>
      <w:r w:rsidR="00E34345" w:rsidRPr="00883E0D">
        <w:rPr>
          <w:rFonts w:ascii="Times New Roman" w:eastAsia="Times New Roman" w:hAnsi="Times New Roman" w:cs="Times New Roman"/>
          <w:sz w:val="24"/>
          <w:szCs w:val="24"/>
          <w:highlight w:val="yellow"/>
          <w:lang w:val="en-US" w:eastAsia="de-DE"/>
        </w:rPr>
        <w:t>policies regarding data storage and retention</w:t>
      </w:r>
      <w:r w:rsidR="00FF445B" w:rsidRPr="00883E0D">
        <w:rPr>
          <w:rFonts w:ascii="Times New Roman" w:eastAsia="Times New Roman" w:hAnsi="Times New Roman" w:cs="Times New Roman"/>
          <w:sz w:val="24"/>
          <w:szCs w:val="24"/>
          <w:highlight w:val="yellow"/>
          <w:lang w:val="en-US" w:eastAsia="de-DE"/>
        </w:rPr>
        <w:t xml:space="preserve">. This can result in loss of access to critical data if not downloaded </w:t>
      </w:r>
      <w:r w:rsidR="001B077E" w:rsidRPr="00883E0D">
        <w:rPr>
          <w:rFonts w:ascii="Times New Roman" w:eastAsia="Times New Roman" w:hAnsi="Times New Roman" w:cs="Times New Roman"/>
          <w:sz w:val="24"/>
          <w:szCs w:val="24"/>
          <w:highlight w:val="yellow"/>
          <w:lang w:val="en-US" w:eastAsia="de-DE"/>
        </w:rPr>
        <w:t>on time</w:t>
      </w:r>
      <w:r w:rsidRPr="00883E0D">
        <w:rPr>
          <w:rFonts w:ascii="Times New Roman" w:eastAsia="Times New Roman" w:hAnsi="Times New Roman" w:cs="Times New Roman"/>
          <w:sz w:val="24"/>
          <w:szCs w:val="24"/>
          <w:highlight w:val="yellow"/>
          <w:lang w:val="en-US" w:eastAsia="de-DE"/>
        </w:rPr>
        <w:t xml:space="preserve">. </w:t>
      </w:r>
      <w:r w:rsidR="001B077E" w:rsidRPr="00883E0D">
        <w:rPr>
          <w:rFonts w:ascii="Times New Roman" w:eastAsia="Times New Roman" w:hAnsi="Times New Roman" w:cs="Times New Roman"/>
          <w:sz w:val="24"/>
          <w:szCs w:val="24"/>
          <w:highlight w:val="yellow"/>
          <w:lang w:val="en-US" w:eastAsia="de-DE"/>
        </w:rPr>
        <w:t>Additionally, ensuring that data is collected at the intended sampling rate is crucial for accurate analysis. For instance, while our fitness tracker was designed to record HR every 1-5 seconds depending on movement, we occasionally observed recordings every 15 seconds due to participant movement and tracker placement. Consistent data collection at the specified rate is essential to ensure accurate analysis. Any deviations should be documented and considered in the data analysis to maintain the integrity of the results.</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0977DCF4" w14:textId="5B5A00A2" w:rsidR="006A1492" w:rsidRPr="00C076F5"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to self-monitor stress levels for early intervention</w:t>
      </w:r>
      <w:r w:rsidR="006A1492">
        <w:rPr>
          <w:rFonts w:ascii="Times New Roman" w:hAnsi="Times New Roman" w:cs="Times New Roman"/>
          <w:sz w:val="24"/>
          <w:szCs w:val="24"/>
          <w:lang w:val="en-US"/>
        </w:rPr>
        <w:t>, and to researchers for easily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 xml:space="preserve">Integrating fitness trackers into teacher training and everyday </w:t>
      </w:r>
      <w:r w:rsidRPr="0007469A">
        <w:rPr>
          <w:rFonts w:ascii="Times New Roman" w:hAnsi="Times New Roman" w:cs="Times New Roman"/>
          <w:sz w:val="24"/>
          <w:szCs w:val="24"/>
          <w:lang w:val="en-US"/>
        </w:rPr>
        <w:lastRenderedPageBreak/>
        <w:t>practice could offer an affordable and practical method for assessing and managing teacher stress.</w:t>
      </w:r>
      <w:r w:rsidR="006A1492">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In teacher training as well as in research,</w:t>
      </w:r>
      <w:r w:rsidR="006A1492" w:rsidRPr="00875D64">
        <w:rPr>
          <w:rFonts w:ascii="Times New Roman" w:eastAsia="Times New Roman" w:hAnsi="Times New Roman" w:cs="Times New Roman"/>
          <w:sz w:val="24"/>
          <w:szCs w:val="24"/>
          <w:lang w:val="en-US" w:eastAsia="de-DE"/>
        </w:rPr>
        <w:t xml:space="preserve"> </w:t>
      </w:r>
      <w:r w:rsidR="006A1492">
        <w:rPr>
          <w:rFonts w:ascii="Times New Roman" w:eastAsia="Times New Roman" w:hAnsi="Times New Roman" w:cs="Times New Roman"/>
          <w:sz w:val="24"/>
          <w:szCs w:val="24"/>
          <w:lang w:val="en-US" w:eastAsia="de-DE"/>
        </w:rPr>
        <w:t>triangulating</w:t>
      </w:r>
      <w:r w:rsidR="006A1492" w:rsidRPr="00875D64">
        <w:rPr>
          <w:rFonts w:ascii="Times New Roman" w:eastAsia="Times New Roman" w:hAnsi="Times New Roman" w:cs="Times New Roman"/>
          <w:sz w:val="24"/>
          <w:szCs w:val="24"/>
          <w:lang w:val="en-US" w:eastAsia="de-DE"/>
        </w:rPr>
        <w:t xml:space="preserve"> data from fitness trackers, </w:t>
      </w:r>
      <w:r w:rsidR="006A1492">
        <w:rPr>
          <w:rFonts w:ascii="Times New Roman" w:eastAsia="Times New Roman" w:hAnsi="Times New Roman" w:cs="Times New Roman"/>
          <w:sz w:val="24"/>
          <w:szCs w:val="24"/>
          <w:lang w:val="en-US" w:eastAsia="de-DE"/>
        </w:rPr>
        <w:t>lesson videos</w:t>
      </w:r>
      <w:r w:rsidR="006A1492" w:rsidRPr="00875D64">
        <w:rPr>
          <w:rFonts w:ascii="Times New Roman" w:eastAsia="Times New Roman" w:hAnsi="Times New Roman" w:cs="Times New Roman"/>
          <w:sz w:val="24"/>
          <w:szCs w:val="24"/>
          <w:lang w:val="en-US" w:eastAsia="de-DE"/>
        </w:rPr>
        <w:t>,</w:t>
      </w:r>
      <w:r w:rsidR="006A1492">
        <w:rPr>
          <w:rFonts w:ascii="Times New Roman" w:eastAsia="Times New Roman" w:hAnsi="Times New Roman" w:cs="Times New Roman"/>
          <w:sz w:val="24"/>
          <w:szCs w:val="24"/>
          <w:lang w:val="en-US" w:eastAsia="de-DE"/>
        </w:rPr>
        <w:t xml:space="preserve"> and interviews</w:t>
      </w:r>
      <w:r w:rsidR="006A1492" w:rsidRPr="00875D64">
        <w:rPr>
          <w:rFonts w:ascii="Times New Roman" w:eastAsia="Times New Roman" w:hAnsi="Times New Roman" w:cs="Times New Roman"/>
          <w:sz w:val="24"/>
          <w:szCs w:val="24"/>
          <w:lang w:val="en-US" w:eastAsia="de-DE"/>
        </w:rPr>
        <w:t xml:space="preserve"> could provide teachers with </w:t>
      </w:r>
      <w:r w:rsidR="006A1492">
        <w:rPr>
          <w:rFonts w:ascii="Times New Roman" w:eastAsia="Times New Roman" w:hAnsi="Times New Roman" w:cs="Times New Roman"/>
          <w:sz w:val="24"/>
          <w:szCs w:val="24"/>
          <w:lang w:val="en-US" w:eastAsia="de-DE"/>
        </w:rPr>
        <w:t>insights into their own stress management,</w:t>
      </w:r>
      <w:r w:rsidR="006A1492" w:rsidRPr="00875D64">
        <w:rPr>
          <w:rFonts w:ascii="Times New Roman" w:eastAsia="Times New Roman" w:hAnsi="Times New Roman" w:cs="Times New Roman"/>
          <w:sz w:val="24"/>
          <w:szCs w:val="24"/>
          <w:lang w:val="en-US" w:eastAsia="de-DE"/>
        </w:rPr>
        <w:t xml:space="preserve"> and foster the implementation of </w:t>
      </w:r>
      <w:r w:rsidR="006A1492">
        <w:rPr>
          <w:rFonts w:ascii="Times New Roman" w:eastAsia="Times New Roman" w:hAnsi="Times New Roman" w:cs="Times New Roman"/>
          <w:sz w:val="24"/>
          <w:szCs w:val="24"/>
          <w:lang w:val="en-US" w:eastAsia="de-DE"/>
        </w:rPr>
        <w:t>effective stress and classroom management strategies</w:t>
      </w:r>
      <w:r w:rsidR="006A1492" w:rsidRPr="00875D64">
        <w:rPr>
          <w:rFonts w:ascii="Times New Roman" w:eastAsia="Times New Roman" w:hAnsi="Times New Roman" w:cs="Times New Roman"/>
          <w:sz w:val="24"/>
          <w:szCs w:val="24"/>
          <w:lang w:val="en-US" w:eastAsia="de-DE"/>
        </w:rPr>
        <w:t xml:space="preserve">. </w:t>
      </w:r>
      <w:r w:rsidR="00C076F5" w:rsidRPr="00883E0D">
        <w:rPr>
          <w:rFonts w:ascii="Times New Roman" w:eastAsia="Times New Roman" w:hAnsi="Times New Roman" w:cs="Times New Roman"/>
          <w:sz w:val="24"/>
          <w:szCs w:val="24"/>
          <w:highlight w:val="yellow"/>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8-29T15:06:00Z" w:initials="DA">
    <w:p w14:paraId="32737190" w14:textId="6D0EF231" w:rsidR="00931DA8" w:rsidRDefault="00931DA8">
      <w:pPr>
        <w:pStyle w:val="Kommentartext"/>
      </w:pPr>
      <w:r>
        <w:rPr>
          <w:rStyle w:val="Kommentarzeichen"/>
        </w:rPr>
        <w:annotationRef/>
      </w:r>
      <w:r>
        <w:t>Kann Peer evtl. nochmal genauer hinschreiben, wie die Kurve geglättet wurde?</w:t>
      </w:r>
    </w:p>
  </w:comment>
  <w:comment w:id="2" w:author="Deiglmayr, Anne" w:date="2024-09-02T13:14:00Z" w:initials="DA">
    <w:p w14:paraId="66F31DC5" w14:textId="0AAFDD5E" w:rsidR="00DA41BB" w:rsidRDefault="00DA41BB">
      <w:pPr>
        <w:pStyle w:val="Kommentartext"/>
      </w:pPr>
      <w:r>
        <w:rPr>
          <w:rStyle w:val="Kommentarzeichen"/>
        </w:rPr>
        <w:annotationRef/>
      </w:r>
      <w:r>
        <w:t>Eventuell eher etwas für den Appendix.</w:t>
      </w:r>
    </w:p>
  </w:comment>
  <w:comment w:id="3" w:author="Deiglmayr, Anne" w:date="2024-09-02T13:24:00Z" w:initials="DA">
    <w:p w14:paraId="533B8DC7" w14:textId="1F31F0DA" w:rsidR="00E213A7" w:rsidRDefault="00E213A7">
      <w:pPr>
        <w:pStyle w:val="Kommentartext"/>
      </w:pPr>
      <w:r>
        <w:rPr>
          <w:rStyle w:val="Kommentarzeichen"/>
        </w:rPr>
        <w:annotationRef/>
      </w:r>
      <w:r>
        <w:t>N fehlt, oder?</w:t>
      </w:r>
    </w:p>
  </w:comment>
  <w:comment w:id="4" w:author="Mandy Klatt" w:date="2024-09-03T18:43:00Z" w:initials="MK">
    <w:p w14:paraId="2A70A4E0" w14:textId="446CF25E" w:rsidR="00754051" w:rsidRDefault="00754051">
      <w:pPr>
        <w:pStyle w:val="Kommentartext"/>
      </w:pPr>
      <w:r>
        <w:rPr>
          <w:rStyle w:val="Kommentarzeichen"/>
        </w:rPr>
        <w:annotationRef/>
      </w:r>
      <w:r>
        <w:t>Beim letzten Treffen hatten wir gesagt, dass wir das n aus der Tabelle nehmen, da es zu zahlreichen Verwirrungen führ</w:t>
      </w:r>
      <w:r w:rsidR="0011077C">
        <w:t>t</w:t>
      </w:r>
      <w:r w:rsidR="00CB0717">
        <w:t xml:space="preserve">. Eigentlich basieren die Messungen der mean slopes und mean intercepts auf den </w:t>
      </w:r>
      <w:r w:rsidR="004279F3">
        <w:t>einzelnen Messdatenpunkten von etwa n = 7.000</w:t>
      </w:r>
      <w:r w:rsidR="006D07D4">
        <w:t xml:space="preserve"> (siehe ursprüngliche Tabelle)</w:t>
      </w:r>
      <w:r w:rsidR="004113EB">
        <w:t xml:space="preserve">. </w:t>
      </w:r>
      <w:r w:rsidR="006D07D4">
        <w:rPr>
          <w:noProof/>
        </w:rPr>
        <w:drawing>
          <wp:inline distT="0" distB="0" distL="0" distR="0" wp14:anchorId="01BEF544" wp14:editId="2AD759A2">
            <wp:extent cx="3788619" cy="4636381"/>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794870" cy="4644031"/>
                    </a:xfrm>
                    <a:prstGeom prst="rect">
                      <a:avLst/>
                    </a:prstGeom>
                  </pic:spPr>
                </pic:pic>
              </a:graphicData>
            </a:graphic>
          </wp:inline>
        </w:drawing>
      </w:r>
    </w:p>
  </w:comment>
  <w:comment w:id="5" w:author="Deiglmayr, Anne" w:date="2024-09-02T16:57:00Z" w:initials="DA">
    <w:p w14:paraId="513C917F" w14:textId="17A89293" w:rsidR="00E25EDB" w:rsidRDefault="00E25EDB">
      <w:pPr>
        <w:pStyle w:val="Kommentartext"/>
      </w:pPr>
      <w:r>
        <w:rPr>
          <w:rStyle w:val="Kommentarzeichen"/>
        </w:rPr>
        <w:annotationRef/>
      </w:r>
      <w:r>
        <w:t>Das kam bisher in der Diskussion noch nicht vor. Hast du hier noch Ideen, was die niedrigen Korrelationen erklären könnte?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37190" w15:done="0"/>
  <w15:commentEx w15:paraId="66F31DC5" w15:done="0"/>
  <w15:commentEx w15:paraId="533B8DC7" w15:done="0"/>
  <w15:commentEx w15:paraId="2A70A4E0" w15:paraIdParent="533B8DC7" w15:done="0"/>
  <w15:commentEx w15:paraId="513C917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7B0D06" w16cex:dateUtc="2024-08-29T13:06:00Z"/>
  <w16cex:commentExtensible w16cex:durableId="2A8038CA" w16cex:dateUtc="2024-09-02T11:14:00Z"/>
  <w16cex:commentExtensible w16cex:durableId="2A803B2B" w16cex:dateUtc="2024-09-02T11:24:00Z"/>
  <w16cex:commentExtensible w16cex:durableId="2A81D76C" w16cex:dateUtc="2024-09-03T16:43:00Z"/>
  <w16cex:commentExtensible w16cex:durableId="2A806CEE" w16cex:dateUtc="2024-09-02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37190" w16cid:durableId="2A7B0D06"/>
  <w16cid:commentId w16cid:paraId="66F31DC5" w16cid:durableId="2A8038CA"/>
  <w16cid:commentId w16cid:paraId="533B8DC7" w16cid:durableId="2A803B2B"/>
  <w16cid:commentId w16cid:paraId="2A70A4E0" w16cid:durableId="2A81D76C"/>
  <w16cid:commentId w16cid:paraId="513C917F" w16cid:durableId="2A806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3E70F" w14:textId="77777777" w:rsidR="002B70F1" w:rsidRDefault="002B70F1" w:rsidP="006C02A6">
      <w:pPr>
        <w:spacing w:after="0" w:line="240" w:lineRule="auto"/>
      </w:pPr>
      <w:r>
        <w:separator/>
      </w:r>
    </w:p>
  </w:endnote>
  <w:endnote w:type="continuationSeparator" w:id="0">
    <w:p w14:paraId="6559AD4F" w14:textId="77777777" w:rsidR="002B70F1" w:rsidRDefault="002B70F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E647" w14:textId="77777777" w:rsidR="002B70F1" w:rsidRDefault="002B70F1" w:rsidP="006C02A6">
      <w:pPr>
        <w:spacing w:after="0" w:line="240" w:lineRule="auto"/>
      </w:pPr>
      <w:r>
        <w:separator/>
      </w:r>
    </w:p>
  </w:footnote>
  <w:footnote w:type="continuationSeparator" w:id="0">
    <w:p w14:paraId="6F7C56BF" w14:textId="77777777" w:rsidR="002B70F1" w:rsidRDefault="002B70F1"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D443E3" w:rsidRPr="00237053" w:rsidRDefault="00D443E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4">
    <w:p w14:paraId="5FA8C0A4" w14:textId="77777777" w:rsidR="00CB5B5F" w:rsidRPr="00C93F92" w:rsidRDefault="00CB5B5F" w:rsidP="00CB5B5F">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6320"/>
    <w:rsid w:val="005F6C16"/>
    <w:rsid w:val="005F7CF7"/>
    <w:rsid w:val="005F7DBE"/>
    <w:rsid w:val="00600706"/>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049"/>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CEC"/>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2CEF"/>
    <w:rsid w:val="00E334AB"/>
    <w:rsid w:val="00E33895"/>
    <w:rsid w:val="00E33D36"/>
    <w:rsid w:val="00E34345"/>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7.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7919</Words>
  <Characters>46726</Characters>
  <Application>Microsoft Office Word</Application>
  <DocSecurity>0</DocSecurity>
  <Lines>1415</Lines>
  <Paragraphs>613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64</cp:revision>
  <dcterms:created xsi:type="dcterms:W3CDTF">2024-09-03T13:45:00Z</dcterms:created>
  <dcterms:modified xsi:type="dcterms:W3CDTF">2024-09-03T16:54:00Z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