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 xml:space="preserve">Working with this </w:t>
      </w:r>
      <w:proofErr w:type="gram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manuscript:::</w:t>
      </w:r>
      <w:proofErr w:type="gramEnd"/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methods/analysis/results section and supplements of the paper will be written in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Rmarkdown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one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*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for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italics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: *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example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* → </w:t>
      </w:r>
      <w:proofErr w:type="spellStart"/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  <w:proofErr w:type="spellEnd"/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  <w:proofErr w:type="spellEnd"/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sort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out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later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go to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googlescholar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click on the citation icon and then select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entire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entry into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googledoc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named “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manuscript_bibtex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-code (that would be the entry after the first curly bracket and before the first comma.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Its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usually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firstauthor+year+firstwordtitle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42F5A237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questions:</w:t>
      </w:r>
    </w:p>
    <w:p w14:paraId="15DED3E7" w14:textId="77777777" w:rsidR="000B109A" w:rsidRPr="00FD2C99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</w:t>
      </w:r>
      <w:r w:rsidR="00D16FCA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first 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research question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FD2C99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lastRenderedPageBreak/>
        <w:t>In a first step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, we 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therefore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exploratively describe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d</w:t>
      </w:r>
      <w:r w:rsidR="00BC073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the participants’</w:t>
      </w:r>
      <w:r w:rsidR="00F95760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BC073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overall HR trend</w:t>
      </w:r>
      <w:r w:rsidR="00A928F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during the </w:t>
      </w:r>
      <w:r w:rsidR="00F0234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two-hours</w:t>
      </w:r>
      <w:r w:rsidR="00A928F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study</w:t>
      </w:r>
      <w:r w:rsidR="00CD178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interval,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and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examine</w:t>
      </w:r>
      <w:r w:rsidR="007D513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d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whether z-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standardization of the </w:t>
      </w:r>
      <w:r w:rsidR="00CB0A74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participants’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HR </w:t>
      </w:r>
      <w:r w:rsidR="00CD178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can serve as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a useful method to account for individual differences in baseline HR. </w:t>
      </w:r>
      <w:r w:rsidR="005C7C4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Regarding the </w:t>
      </w:r>
      <w:r w:rsidR="005120A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HR trend of the </w:t>
      </w:r>
      <w:r w:rsidR="005C7C4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entire course of the study, we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expected participants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´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HR</w:t>
      </w:r>
      <w:r w:rsidR="00C566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gradually increase during the </w:t>
      </w:r>
      <w:r w:rsidR="00416E67" w:rsidRPr="00FD2C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US" w:eastAsia="de-DE"/>
        </w:rPr>
        <w:t>pre-teaching phase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,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to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peak during the </w:t>
      </w:r>
      <w:r w:rsidR="006D44C7" w:rsidRPr="00FD2C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US" w:eastAsia="de-DE"/>
        </w:rPr>
        <w:t>teaching phase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,</w:t>
      </w:r>
      <w:r w:rsidR="006D44C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and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gradually 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decrease during the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remaining time interval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Furthermore, we expected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observe the same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trends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 both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standardized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and non-standardized </w:t>
      </w:r>
      <w:r w:rsidR="00CB0A74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HR values.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</w:p>
    <w:p w14:paraId="55E4C340" w14:textId="0BAFBC46" w:rsidR="00F95760" w:rsidRPr="00FD2C99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 the second step, we selected </w:t>
      </w:r>
      <w:r w:rsidRPr="00FD2C9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de-DE"/>
        </w:rPr>
        <w:t>five corresponding intervals with a length of ten minutes each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out of the five phases and examined the levels of and the changes in HR of the five intervals separately.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We presumed the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 w:eastAsia="de-DE"/>
        </w:rPr>
        <w:t xml:space="preserve">highest HR levels in the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micro teaching unit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 w:eastAsia="de-DE"/>
        </w:rPr>
        <w:t xml:space="preserve"> and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C566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regarding HR changes, </w:t>
      </w:r>
      <w:r w:rsidR="000160E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we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expected an increase in the beginning of the study</w:t>
      </w:r>
      <w:r w:rsidR="00C566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and a decrease in the following phases. </w:t>
      </w:r>
    </w:p>
    <w:p w14:paraId="2EFF2983" w14:textId="4F142353" w:rsidR="00CF700B" w:rsidRPr="00FD2C99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</w:t>
      </w:r>
      <w:r w:rsidR="002C6C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second research question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was</w:t>
      </w:r>
      <w:r w:rsidR="00804A0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DF529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examine whether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variance in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HR measures can be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explained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by </w:t>
      </w:r>
      <w:r w:rsidR="003A2C4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teachers’ </w:t>
      </w:r>
      <w:r w:rsidR="00E169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teaching experience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,</w:t>
      </w:r>
      <w:r w:rsidR="00E169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and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by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self-reported cognitive appraisal</w:t>
      </w:r>
      <w:r w:rsidR="003A2C4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of </w:t>
      </w:r>
      <w:r w:rsidR="00BB00B8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classroom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events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CB0A74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We </w:t>
      </w:r>
      <w:r w:rsidR="000160E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expected all three variables 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D89439A" w:rsidR="0000003B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commentRangeStart w:id="1"/>
      <w:commentRangeStart w:id="2"/>
      <w:commentRangeStart w:id="3"/>
      <w:commentRangeStart w:id="4"/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5F37125" wp14:editId="5C21EF73">
            <wp:extent cx="5760631" cy="229822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25348" b="21466"/>
                    <a:stretch/>
                  </pic:blipFill>
                  <pic:spPr bwMode="auto">
                    <a:xfrm>
                      <a:off x="0" y="0"/>
                      <a:ext cx="5760720" cy="229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C90C76">
        <w:rPr>
          <w:rStyle w:val="Kommentarzeichen"/>
        </w:rPr>
        <w:commentReference w:id="1"/>
      </w:r>
      <w:commentRangeEnd w:id="2"/>
      <w:r w:rsidR="00487C81">
        <w:rPr>
          <w:rStyle w:val="Kommentarzeichen"/>
        </w:rPr>
        <w:commentReference w:id="2"/>
      </w:r>
      <w:commentRangeEnd w:id="3"/>
      <w:r w:rsidR="00CC6D62">
        <w:rPr>
          <w:rStyle w:val="Kommentarzeichen"/>
        </w:rPr>
        <w:commentReference w:id="3"/>
      </w:r>
      <w:commentRangeEnd w:id="4"/>
      <w:r w:rsidR="00FD2C99">
        <w:rPr>
          <w:rStyle w:val="Kommentarzeichen"/>
        </w:rPr>
        <w:commentReference w:id="4"/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4CD7EE66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a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343AC323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session using the open-source software </w:t>
      </w:r>
      <w:proofErr w:type="spellStart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PulseWatch</w:t>
      </w:r>
      <w:proofErr w:type="spellEnd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</w:t>
      </w:r>
      <w:proofErr w:type="spellStart"/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proofErr w:type="spellEnd"/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5956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7952B806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Cognitive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5"/>
      <w:commentRangeStart w:id="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5"/>
      <w:r w:rsidR="00286BC9">
        <w:rPr>
          <w:rStyle w:val="Kommentarzeichen"/>
        </w:rPr>
        <w:commentReference w:id="5"/>
      </w:r>
      <w:commentRangeEnd w:id="6"/>
      <w:r w:rsidR="00FD2C99">
        <w:rPr>
          <w:rStyle w:val="Kommentarzeichen"/>
        </w:rPr>
        <w:commentReference w:id="6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17EAC041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7C8B81A1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**</w:t>
      </w:r>
      <w:r w:rsidR="00B6026F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Research </w:t>
      </w:r>
      <w:r w:rsidR="0091757B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question</w:t>
      </w:r>
      <w:r w:rsidR="00B6026F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1</w:t>
      </w: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**. </w:t>
      </w:r>
      <w:r w:rsidR="000B1453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first research </w:t>
      </w:r>
      <w:r w:rsidR="0091757B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question</w:t>
      </w:r>
      <w:r w:rsidR="000B1453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referred to </w:t>
      </w:r>
      <w:r w:rsidR="00F31EE9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map </w:t>
      </w:r>
      <w:r w:rsidR="00C27E81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teachers’ HR over the course of a five-phase lab study, including a micro teaching unit</w:t>
      </w:r>
      <w:r w:rsidR="00E47A01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694F1ACE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</w:t>
      </w:r>
      <w:r w:rsidR="00477DFE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accomplish</w:t>
      </w: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4A3066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the second part of our first</w:t>
      </w: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research </w:t>
      </w:r>
      <w:r w:rsidR="0091757B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question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which examined the HR levels and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presumed 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77777777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Note that the mean 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HR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was calculated at the subject level of </w:t>
      </w:r>
      <w:r w:rsidRPr="00460A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US" w:eastAsia="de-DE"/>
        </w:rPr>
        <w:t>n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= 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81 participants (see Table 1), whereas the </w:t>
      </w:r>
      <w:r w:rsidR="00460AD7"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slope and </w:t>
      </w:r>
      <w:r w:rsidR="00460AD7"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intercept estimates are based on all values at all measurement time points</w:t>
      </w:r>
      <w:r w:rsidR="00460AD7"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(see Table 2).</w:t>
      </w:r>
    </w:p>
    <w:p w14:paraId="69926D86" w14:textId="02824F3C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the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b, which examined the HR changes within each interval,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7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7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1F19DBE1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A95A68C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03B6BDE9" w:rsidR="00C10CFB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## </w:t>
      </w:r>
      <w:r w:rsidR="008E098A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Research </w:t>
      </w:r>
      <w:r w:rsidR="00AE14E1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question</w:t>
      </w:r>
      <w:r w:rsidR="008E098A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 1: </w:t>
      </w:r>
      <w:r w:rsidR="009F36AC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Overall HR trend, </w:t>
      </w:r>
      <w:r w:rsidR="00CA60D7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S</w:t>
      </w:r>
      <w:r w:rsidR="00155402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tandardized </w:t>
      </w:r>
      <w:r w:rsidR="00CA60D7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M</w:t>
      </w:r>
      <w:r w:rsidR="00155402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ean </w:t>
      </w:r>
      <w:r w:rsidR="00CA60D7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HR</w:t>
      </w:r>
      <w:r w:rsidR="009F36AC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, </w:t>
      </w:r>
      <w:r w:rsidR="009F36AC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HR Levels and HR Changes in the Five Intervals</w:t>
      </w:r>
    </w:p>
    <w:p w14:paraId="0D1DD14C" w14:textId="16C75CEA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question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aimed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the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</w:t>
            </w:r>
            <w:proofErr w:type="spellEnd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2E6F44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2B9047C3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second part of our first research question 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aimed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736746E8" w:rsidR="00803030" w:rsidRDefault="00B77AC3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A60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441D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examined the HR changes within each interval.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; the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  <w:proofErr w:type="spellEnd"/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  <w:proofErr w:type="spellEnd"/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Pre-teaching</w:t>
            </w:r>
            <w:proofErr w:type="spellEnd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proofErr w:type="spellStart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DD6476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lastRenderedPageBreak/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proofErr w:type="gramStart"/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ith</w:t>
      </w:r>
      <w:proofErr w:type="gramEnd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8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8"/>
      <w:r w:rsidR="00BA0903">
        <w:rPr>
          <w:rStyle w:val="Kommentarzeichen"/>
        </w:rPr>
        <w:commentReference w:id="8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C9CCB67" w:rsidR="00A15912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**Hypothesis 2a**,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(4) interview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</w:t>
      </w:r>
      <w:r w:rsidR="007765FC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higher mean HR </w:t>
      </w:r>
      <w:r w:rsidR="00BE20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for</w:t>
      </w:r>
      <w:r w:rsidR="007765FC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teachers </w:t>
      </w:r>
      <w:r w:rsidR="007765FC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with more </w:t>
      </w:r>
      <w:r w:rsidR="00836717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teaching experience</w:t>
      </w:r>
      <w:r w:rsidR="00836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teaching experience significantly predicted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HR changes only in the (1) pre-teaching interval 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HR changes </w:t>
      </w:r>
      <w:r w:rsidR="004F27A8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 teachers </w:t>
      </w:r>
      <w:r w:rsidR="00A15912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with more teaching experience</w:t>
      </w:r>
      <w:r w:rsidR="00D628F8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98910D0" w14:textId="77777777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the teaching experience as a predictor in the (4) interview interval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4, 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HR </w:t>
      </w:r>
      <w:r w:rsidR="00D64347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changes in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teachers </w:t>
      </w:r>
      <w:r w:rsidR="004B5B91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with more </w:t>
      </w:r>
      <w:r w:rsidR="007F47E4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teaching experience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,</w:t>
      </w:r>
      <w:r w:rsidR="007F47E4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while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controlling </w:t>
      </w:r>
      <w:r w:rsidR="007F47E4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for the disruption </w:t>
      </w:r>
      <w:r w:rsidR="00A86F6C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appraisal</w:t>
      </w:r>
      <w:r w:rsidR="005923DE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55B7371B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(**Hypothesis 2c**)</w:t>
      </w:r>
      <w:r w:rsidR="005342C4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the </w:t>
      </w:r>
      <w:r w:rsidR="005342C4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mean HR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interview interval</w:t>
      </w:r>
      <w:r w:rsidR="00260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2606E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4, Interview Interval</w:t>
      </w:r>
      <w:r w:rsidR="005B6B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0162A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higher mean HRs for teachers </w:t>
      </w:r>
      <w:r w:rsidR="00431B32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with more teaching experience, while controlling for the confidence appraisal.</w:t>
      </w:r>
    </w:p>
    <w:p w14:paraId="4C9AE91B" w14:textId="19D96C11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three predictors </w:t>
      </w:r>
      <w:r w:rsidR="00056D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concert </w:t>
      </w:r>
      <w:r w:rsidR="00056D8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(**Hypothesis 2</w:t>
      </w:r>
      <w:r w:rsidR="0026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**),</w:t>
      </w:r>
      <w:r w:rsidR="00056D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disruption appraisal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2913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84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363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E2EC1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indicating higher mean HR for teachers that reported higher disruption ratings, controlling for all other factors</w:t>
      </w:r>
      <w:r w:rsidR="005923DE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HR changes were significantly predicted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disruption appraisal 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well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(5) end interval (</w:t>
      </w:r>
      <w:r w:rsidR="005923DE"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93266A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HR </w:t>
      </w:r>
      <w:r w:rsidR="00442F59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changes </w:t>
      </w:r>
      <w:r w:rsidR="0093266A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for teachers that reported higher disruption ratings, controlling for all other factors.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(3) Post-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2E6F44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2E6F44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431B32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de-DE"/>
              </w:rPr>
            </w:pPr>
            <w:r w:rsidRPr="0043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de-DE"/>
              </w:rPr>
              <w:t xml:space="preserve">(1) </w:t>
            </w:r>
            <w:proofErr w:type="spellStart"/>
            <w:r w:rsidRPr="0043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de-DE"/>
              </w:rPr>
              <w:t>Pre</w:t>
            </w:r>
            <w:proofErr w:type="spellEnd"/>
            <w:r w:rsidRPr="0043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de-DE"/>
              </w:rPr>
              <w:t>-Teaching Interval</w:t>
            </w:r>
            <w:r w:rsidR="00FC6907" w:rsidRPr="0043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(2) Teaching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teaching</w:t>
            </w:r>
            <w:proofErr w:type="spellEnd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(4) Interview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(5) End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Appraisal</w:t>
            </w:r>
            <w:proofErr w:type="spellEnd"/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br/>
            </w:r>
            <w:r w:rsidRPr="00F3227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. Coefficients are unstandardized with standard errors in parentheses. Effects of teaching experience and appraisals on </w:t>
            </w:r>
            <w:proofErr w:type="gramStart"/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teachers</w:t>
            </w:r>
            <w:r w:rsidR="00F32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’</w:t>
            </w:r>
            <w:proofErr w:type="gramEnd"/>
            <w:r w:rsidR="00F32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C07171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431B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vertAlign w:val="superscript"/>
                <w:lang w:val="en-US" w:eastAsia="de-DE"/>
              </w:rPr>
              <w:t xml:space="preserve">1 </w:t>
            </w:r>
            <w:r w:rsidR="001708D4" w:rsidRPr="00431B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t xml:space="preserve">To avoid post-diction, we calculated only Model 1 for the pre-teaching interval because the </w:t>
            </w:r>
            <w:r w:rsidR="001708D4" w:rsidRPr="00431B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t>classroom events</w:t>
            </w:r>
            <w:r w:rsidR="001708D4" w:rsidRPr="00431B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t xml:space="preserve"> had not yet occurred in this interval.</w:t>
            </w:r>
            <w:r w:rsidR="001708D4" w:rsidRPr="00170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08562B8E" w14:textId="77777777" w:rsidR="001708D4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F3227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45BF0A7C" w:rsidR="00F36BBE" w:rsidRDefault="00F36BBE" w:rsidP="00E85DEC">
      <w:pPr>
        <w:rPr>
          <w:lang w:val="en-US"/>
        </w:rPr>
      </w:pPr>
      <w:commentRangeStart w:id="9"/>
      <w:r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9"/>
      <w:r w:rsidR="00535EA9">
        <w:rPr>
          <w:rStyle w:val="Kommentarzeichen"/>
        </w:rPr>
        <w:commentReference w:id="9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CD1783" w:rsidRDefault="00CD1783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Mandy Klatt" w:date="2023-12-04T12:17:00Z" w:initials="MK">
    <w:p w14:paraId="14F5A433" w14:textId="20A4CB33" w:rsidR="00CD1783" w:rsidRDefault="00CD1783">
      <w:pPr>
        <w:pStyle w:val="Kommentartext"/>
      </w:pPr>
      <w:r>
        <w:rPr>
          <w:rStyle w:val="Kommentarzeichen"/>
        </w:rPr>
        <w:annotationRef/>
      </w:r>
      <w:r>
        <w:t xml:space="preserve">Von der Idee her besser? Die geschweiften Klammern sind bisher handgezeichnet. Ich reiche die Grafik nochmal „ordentlich“ mit hübschen Klammern nach. </w:t>
      </w:r>
    </w:p>
  </w:comment>
  <w:comment w:id="2" w:author="Deiglmayr, Anne" w:date="2023-12-18T17:56:00Z" w:initials="DA">
    <w:p w14:paraId="27659C9B" w14:textId="5E5BB854" w:rsidR="00487C81" w:rsidRDefault="00487C81">
      <w:pPr>
        <w:pStyle w:val="Kommentartext"/>
      </w:pPr>
      <w:r>
        <w:rPr>
          <w:rStyle w:val="Kommentarzeichen"/>
        </w:rPr>
        <w:annotationRef/>
      </w:r>
      <w:r>
        <w:t>Gefällt mir gut! In die Legende muss noch eine Erklärung, was die roten „10 min“ Blöcke bedeuten.</w:t>
      </w:r>
    </w:p>
  </w:comment>
  <w:comment w:id="3" w:author="Deiglmayr, Anne" w:date="2023-12-18T17:57:00Z" w:initials="DA">
    <w:p w14:paraId="16B697C7" w14:textId="5850DD59" w:rsidR="00CC6D62" w:rsidRPr="00CC6D62" w:rsidRDefault="00CC6D62">
      <w:pPr>
        <w:pStyle w:val="Kommentartext"/>
      </w:pPr>
      <w:r>
        <w:rPr>
          <w:rStyle w:val="Kommentarzeichen"/>
        </w:rPr>
        <w:annotationRef/>
      </w:r>
      <w:r w:rsidRPr="00CC6D62">
        <w:t>„</w:t>
      </w:r>
      <w:proofErr w:type="spellStart"/>
      <w:r w:rsidRPr="00CC6D62">
        <w:t>lesson</w:t>
      </w:r>
      <w:proofErr w:type="spellEnd"/>
      <w:r w:rsidRPr="00CC6D62">
        <w:t>“ oder „</w:t>
      </w:r>
      <w:proofErr w:type="spellStart"/>
      <w:r w:rsidRPr="00CC6D62">
        <w:t>mic</w:t>
      </w:r>
      <w:r>
        <w:t>ro</w:t>
      </w:r>
      <w:r w:rsidRPr="00CC6D62">
        <w:t>-teaching</w:t>
      </w:r>
      <w:proofErr w:type="spellEnd"/>
      <w:r w:rsidRPr="00CC6D62">
        <w:t xml:space="preserve"> </w:t>
      </w:r>
      <w:proofErr w:type="spellStart"/>
      <w:r w:rsidRPr="00CC6D62">
        <w:t>unit</w:t>
      </w:r>
      <w:proofErr w:type="spellEnd"/>
      <w:r w:rsidRPr="00CC6D62">
        <w:t>”? wir brauche</w:t>
      </w:r>
      <w:r>
        <w:t xml:space="preserve">n einen möglichst treffenden Begriff, aus dem deutlich wird, dass die </w:t>
      </w:r>
      <w:proofErr w:type="spellStart"/>
      <w:r>
        <w:t>teacher</w:t>
      </w:r>
      <w:proofErr w:type="spellEnd"/>
      <w:r>
        <w:t xml:space="preserve"> hier stress haben...</w:t>
      </w:r>
    </w:p>
  </w:comment>
  <w:comment w:id="4" w:author="Mandy Klatt" w:date="2024-01-03T16:04:00Z" w:initials="MK">
    <w:p w14:paraId="585E1E3D" w14:textId="0583AE75" w:rsidR="00FD2C99" w:rsidRDefault="00FD2C99">
      <w:pPr>
        <w:pStyle w:val="Kommentartext"/>
      </w:pPr>
      <w:r>
        <w:rPr>
          <w:rStyle w:val="Kommentarzeichen"/>
        </w:rPr>
        <w:annotationRef/>
      </w:r>
      <w:r>
        <w:t>Ist in Arbeit</w:t>
      </w:r>
    </w:p>
  </w:comment>
  <w:comment w:id="5" w:author="Deiglmayr, Anne" w:date="2023-12-19T08:40:00Z" w:initials="DA">
    <w:p w14:paraId="12F0FC8B" w14:textId="2A856F5F" w:rsidR="00286BC9" w:rsidRPr="00660297" w:rsidRDefault="00286BC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proofErr w:type="spellStart"/>
      <w:r w:rsidRPr="00660297">
        <w:rPr>
          <w:lang w:val="en-US"/>
        </w:rPr>
        <w:t>Bezeichnung</w:t>
      </w:r>
      <w:proofErr w:type="spellEnd"/>
      <w:r w:rsidRPr="00660297">
        <w:rPr>
          <w:lang w:val="en-US"/>
        </w:rPr>
        <w:t>. Disruption rating, confidence rating?</w:t>
      </w:r>
    </w:p>
  </w:comment>
  <w:comment w:id="6" w:author="Mandy Klatt" w:date="2024-01-03T16:03:00Z" w:initials="MK">
    <w:p w14:paraId="26A0754D" w14:textId="0FA119E4" w:rsidR="00FD2C99" w:rsidRDefault="00FD2C99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8" w:author="Deiglmayr, Anne" w:date="2023-12-19T08:56:00Z" w:initials="DA">
    <w:p w14:paraId="68498B81" w14:textId="3DF4084E" w:rsidR="00BA0903" w:rsidRDefault="00BA0903">
      <w:pPr>
        <w:pStyle w:val="Kommentartext"/>
      </w:pPr>
      <w:r>
        <w:rPr>
          <w:rStyle w:val="Kommentarzeichen"/>
        </w:rPr>
        <w:annotationRef/>
      </w:r>
      <w:r>
        <w:t xml:space="preserve">Das sind eine Menge Korrelationen... Und eigentlich interessieren uns auch nicht alle Phasen gleichermaßen, sondern doch v.a. </w:t>
      </w:r>
      <w:proofErr w:type="spellStart"/>
      <w:r>
        <w:t>pre-teaching</w:t>
      </w:r>
      <w:proofErr w:type="spellEnd"/>
      <w:r>
        <w:t xml:space="preserve"> (Vorbereitung, Spannungsaufbau...), </w:t>
      </w:r>
      <w:proofErr w:type="spellStart"/>
      <w:r>
        <w:t>teaching</w:t>
      </w:r>
      <w:proofErr w:type="spellEnd"/>
      <w:r>
        <w:t xml:space="preserve"> (der eigentlich </w:t>
      </w:r>
      <w:proofErr w:type="gramStart"/>
      <w:r>
        <w:t>Stressor..</w:t>
      </w:r>
      <w:proofErr w:type="gramEnd"/>
      <w:r>
        <w:t xml:space="preserve">) und </w:t>
      </w:r>
      <w:proofErr w:type="spellStart"/>
      <w:r>
        <w:t>ggf</w:t>
      </w:r>
      <w:proofErr w:type="spellEnd"/>
      <w:r>
        <w:t xml:space="preserve"> interview (ggf. ebenfalls stressig). Können wir hier reduzieren / fokussieren? Was machte wirklich Sinn zu erwarten, was ist die Story hinter der Hypothese?</w:t>
      </w:r>
    </w:p>
  </w:comment>
  <w:comment w:id="9" w:author="Mandy Klatt" w:date="2023-11-15T10:15:00Z" w:initials="KM">
    <w:p w14:paraId="35F1A367" w14:textId="58FE1583" w:rsidR="00CD1783" w:rsidRDefault="00CD1783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CD1783" w:rsidRDefault="00CD1783" w:rsidP="00A55434">
      <w:pPr>
        <w:pStyle w:val="Kommentartext"/>
      </w:pPr>
      <w:r>
        <w:t>X-/Y-Achsen noch lesbar machen!</w:t>
      </w:r>
    </w:p>
    <w:p w14:paraId="56CF857A" w14:textId="63366BCE" w:rsidR="00CD1783" w:rsidRDefault="00CD1783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14F5A433" w15:done="0"/>
  <w15:commentEx w15:paraId="27659C9B" w15:paraIdParent="14F5A433" w15:done="0"/>
  <w15:commentEx w15:paraId="16B697C7" w15:paraIdParent="14F5A433" w15:done="0"/>
  <w15:commentEx w15:paraId="585E1E3D" w15:paraIdParent="14F5A433" w15:done="0"/>
  <w15:commentEx w15:paraId="12F0FC8B" w15:done="0"/>
  <w15:commentEx w15:paraId="26A0754D" w15:paraIdParent="12F0FC8B" w15:done="0"/>
  <w15:commentEx w15:paraId="68498B81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841EF" w16cex:dateUtc="2023-12-04T11:17:00Z"/>
  <w16cex:commentExtensible w16cex:durableId="294003F6" w16cex:dateUtc="2024-01-03T15:04:00Z"/>
  <w16cex:commentExtensible w16cex:durableId="294003CD" w16cex:dateUtc="2024-01-03T15:03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14F5A433" w16cid:durableId="291841EF"/>
  <w16cid:commentId w16cid:paraId="27659C9B" w16cid:durableId="292B063F"/>
  <w16cid:commentId w16cid:paraId="16B697C7" w16cid:durableId="292B066E"/>
  <w16cid:commentId w16cid:paraId="585E1E3D" w16cid:durableId="294003F6"/>
  <w16cid:commentId w16cid:paraId="12F0FC8B" w16cid:durableId="292BD560"/>
  <w16cid:commentId w16cid:paraId="26A0754D" w16cid:durableId="294003CD"/>
  <w16cid:commentId w16cid:paraId="68498B81" w16cid:durableId="292BD944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DC898" w14:textId="77777777" w:rsidR="002F35EF" w:rsidRDefault="002F35EF" w:rsidP="00ED61AB">
      <w:pPr>
        <w:spacing w:after="0" w:line="240" w:lineRule="auto"/>
      </w:pPr>
      <w:r>
        <w:separator/>
      </w:r>
    </w:p>
  </w:endnote>
  <w:endnote w:type="continuationSeparator" w:id="0">
    <w:p w14:paraId="17D6A0A8" w14:textId="77777777" w:rsidR="002F35EF" w:rsidRDefault="002F35EF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CD1783" w:rsidRDefault="00CD178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CD1783" w:rsidRDefault="00CD17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A9A9" w14:textId="77777777" w:rsidR="002F35EF" w:rsidRDefault="002F35EF" w:rsidP="00ED61AB">
      <w:pPr>
        <w:spacing w:after="0" w:line="240" w:lineRule="auto"/>
      </w:pPr>
      <w:r>
        <w:separator/>
      </w:r>
    </w:p>
  </w:footnote>
  <w:footnote w:type="continuationSeparator" w:id="0">
    <w:p w14:paraId="277CB84E" w14:textId="77777777" w:rsidR="002F35EF" w:rsidRDefault="002F35EF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CD1783" w:rsidRPr="00712EC1" w:rsidRDefault="00CD1783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CD1783" w:rsidRPr="00987065" w:rsidRDefault="00CD1783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CD1783" w:rsidRPr="00C93F92" w:rsidRDefault="00CD1783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CD1783" w:rsidRPr="00C10CFB" w:rsidRDefault="00CD1783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47425"/>
    <w:rsid w:val="002529D4"/>
    <w:rsid w:val="00260604"/>
    <w:rsid w:val="002606EE"/>
    <w:rsid w:val="00262F39"/>
    <w:rsid w:val="00266554"/>
    <w:rsid w:val="00270515"/>
    <w:rsid w:val="00273291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6C65"/>
    <w:rsid w:val="002C7666"/>
    <w:rsid w:val="002D0450"/>
    <w:rsid w:val="002D46EE"/>
    <w:rsid w:val="002D5A27"/>
    <w:rsid w:val="002D63CF"/>
    <w:rsid w:val="002E095D"/>
    <w:rsid w:val="002E4441"/>
    <w:rsid w:val="002E5B18"/>
    <w:rsid w:val="002E5CB3"/>
    <w:rsid w:val="002E6F44"/>
    <w:rsid w:val="002F2617"/>
    <w:rsid w:val="002F35EF"/>
    <w:rsid w:val="002F3BBF"/>
    <w:rsid w:val="002F4C55"/>
    <w:rsid w:val="002F6181"/>
    <w:rsid w:val="002F6ADB"/>
    <w:rsid w:val="002F7C93"/>
    <w:rsid w:val="00302455"/>
    <w:rsid w:val="00306E74"/>
    <w:rsid w:val="003104CD"/>
    <w:rsid w:val="003129D5"/>
    <w:rsid w:val="00313B7A"/>
    <w:rsid w:val="0031671A"/>
    <w:rsid w:val="003168C8"/>
    <w:rsid w:val="003179FE"/>
    <w:rsid w:val="00324DA4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24D3"/>
    <w:rsid w:val="005631FA"/>
    <w:rsid w:val="0056489C"/>
    <w:rsid w:val="00564B11"/>
    <w:rsid w:val="00565310"/>
    <w:rsid w:val="00566085"/>
    <w:rsid w:val="00566485"/>
    <w:rsid w:val="00571D23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EC1"/>
    <w:rsid w:val="006E371D"/>
    <w:rsid w:val="006E397F"/>
    <w:rsid w:val="006E4D47"/>
    <w:rsid w:val="006E4FC7"/>
    <w:rsid w:val="006E51AF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6456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A43"/>
    <w:rsid w:val="00962580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57F7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4085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DB0"/>
    <w:rsid w:val="00E85B0B"/>
    <w:rsid w:val="00E85DEC"/>
    <w:rsid w:val="00E85E11"/>
    <w:rsid w:val="00E87225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DB1D-3C56-4CA5-8662-9AEA7CD1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3973</Words>
  <Characters>25032</Characters>
  <Application>Microsoft Office Word</Application>
  <DocSecurity>0</DocSecurity>
  <Lines>208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94</cp:revision>
  <dcterms:created xsi:type="dcterms:W3CDTF">2023-12-19T12:07:00Z</dcterms:created>
  <dcterms:modified xsi:type="dcterms:W3CDTF">2024-01-03T15:04:00Z</dcterms:modified>
</cp:coreProperties>
</file>