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FF1A3A0"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876E32">
        <w:rPr>
          <w:rFonts w:ascii="Times New Roman" w:hAnsi="Times New Roman" w:cs="Times New Roman"/>
          <w:sz w:val="24"/>
          <w:szCs w:val="24"/>
        </w:rPr>
        <w:t>14201</w:t>
      </w:r>
    </w:p>
    <w:p w14:paraId="7720C8E4" w14:textId="18E1C2A8" w:rsidR="003C0037" w:rsidRDefault="00EA404B" w:rsidP="007C555E">
      <w:pPr>
        <w:pStyle w:val="berschrift2"/>
        <w:rPr>
          <w:rFonts w:ascii="Times New Roman" w:hAnsi="Times New Roman" w:cs="Times New Roman"/>
          <w:sz w:val="24"/>
          <w:szCs w:val="24"/>
        </w:rPr>
      </w:pPr>
      <w:commentRangeStart w:id="0"/>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commentRangeEnd w:id="0"/>
      <w:r w:rsidR="00551144">
        <w:rPr>
          <w:rStyle w:val="Kommentarzeichen"/>
          <w:rFonts w:ascii="Calibri" w:hAnsi="Calibri" w:cs="Arial"/>
          <w:b w:val="0"/>
        </w:rPr>
        <w:commentReference w:id="0"/>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in gaze behavior between experienced and inexperienced teachers during a micro-teaching unit that involved classroom disruptions. To examine these differences, multimodal data were analyzed from both in-service (experienced) and pre-service (inexperienced)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Participants individually attended a laboratory session, where they conducted a brief micro-teaching unit lasting approximately 15 minutes. The “class” consisted of three trained actors who portrayed students and simulated typical classroom disruptions. During the micro-</w:t>
      </w:r>
      <w:r w:rsidRPr="00441050">
        <w:rPr>
          <w:rFonts w:ascii="Times New Roman" w:hAnsi="Times New Roman" w:cs="Times New Roman"/>
          <w:sz w:val="24"/>
          <w:szCs w:val="22"/>
        </w:rPr>
        <w:lastRenderedPageBreak/>
        <w:t xml:space="preserve">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260B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One aim was to examine how teachers allocate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1E3B8F1A"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self-evaluations of 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0EF512B"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 xml:space="preserve">self-evaluated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40C7DDDE"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Gaze behavior was analyzed using predefined Areas of Interest (AOI) to examine how participants allocated their visual attention during the micro-teaching unit</w:t>
      </w:r>
      <w:commentRangeStart w:id="1"/>
      <w:r w:rsidR="005D351A">
        <w:rPr>
          <w:rStyle w:val="Funotenzeichen"/>
          <w:rFonts w:ascii="Times New Roman" w:eastAsia="Times New Roman" w:hAnsi="Times New Roman" w:cs="Times New Roman"/>
          <w:color w:val="000000" w:themeColor="text1"/>
          <w:sz w:val="24"/>
          <w:szCs w:val="24"/>
          <w:lang w:eastAsia="de-DE"/>
        </w:rPr>
        <w:footnoteReference w:id="2"/>
      </w:r>
      <w:commentRangeEnd w:id="1"/>
      <w:r w:rsidR="005D351A">
        <w:rPr>
          <w:rStyle w:val="Kommentarzeichen"/>
        </w:rPr>
        <w:commentReference w:id="1"/>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lastRenderedPageBreak/>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69B6DEF7" w14:textId="59266271" w:rsidR="00E77E24" w:rsidRPr="00E77E24" w:rsidRDefault="00E77E24"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650D2C4D" w14:textId="01F9DD99" w:rsidR="003E52CD" w:rsidRDefault="003E52CD" w:rsidP="003E52CD">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r w:rsidRPr="00E77E24">
        <w:rPr>
          <w:rFonts w:ascii="Times New Roman" w:eastAsia="Times New Roman" w:hAnsi="Times New Roman" w:cs="Times New Roman"/>
          <w:sz w:val="24"/>
          <w:szCs w:val="24"/>
          <w:lang w:eastAsia="de-DE"/>
        </w:rPr>
        <w:t>average fixation duration</w:t>
      </w:r>
      <w:r w:rsidRPr="00517272">
        <w:rPr>
          <w:rFonts w:ascii="Times New Roman" w:eastAsia="Times New Roman" w:hAnsi="Times New Roman" w:cs="Times New Roman"/>
          <w:sz w:val="24"/>
          <w:szCs w:val="24"/>
          <w:lang w:eastAsia="de-DE"/>
        </w:rPr>
        <w:t xml:space="preserve"> was calculated to determine the mean time participants spent focusing on individual elements. This was computed by dividing the total duration of all fixations, measured in milliseconds, by the total number of fixations recorded during the session</w:t>
      </w:r>
      <w:r>
        <w:rPr>
          <w:rFonts w:ascii="Times New Roman" w:eastAsia="Times New Roman" w:hAnsi="Times New Roman" w:cs="Times New Roman"/>
          <w:sz w:val="24"/>
          <w:szCs w:val="24"/>
          <w:lang w:eastAsia="de-DE"/>
        </w:rPr>
        <w:t xml:space="preserve">. </w:t>
      </w:r>
      <w:r w:rsidRPr="00517272">
        <w:rPr>
          <w:rFonts w:ascii="Times New Roman" w:eastAsia="Times New Roman" w:hAnsi="Times New Roman" w:cs="Times New Roman"/>
          <w:sz w:val="24"/>
          <w:szCs w:val="24"/>
          <w:lang w:eastAsia="de-DE"/>
        </w:rPr>
        <w:t>Fixation data for these calculations were aggregated across all global AOI, offering a comprehensive overview of participants’ monitoring behavior throughout the micro-teaching unit</w:t>
      </w:r>
      <w:r>
        <w:rPr>
          <w:rFonts w:ascii="Times New Roman" w:eastAsia="Times New Roman" w:hAnsi="Times New Roman" w:cs="Times New Roman"/>
          <w:sz w:val="24"/>
          <w:szCs w:val="24"/>
          <w:lang w:eastAsia="de-DE"/>
        </w:rPr>
        <w:t xml:space="preserve"> </w:t>
      </w:r>
      <w:r w:rsidRPr="009877E4">
        <w:rPr>
          <w:rFonts w:ascii="Times New Roman" w:eastAsia="Times New Roman" w:hAnsi="Times New Roman" w:cs="Times New Roman"/>
          <w:sz w:val="24"/>
          <w:szCs w:val="24"/>
          <w:lang w:eastAsia="de-DE"/>
        </w:rPr>
        <w:t>for each person</w:t>
      </w:r>
      <w:r>
        <w:rPr>
          <w:rFonts w:ascii="Times New Roman" w:eastAsia="Times New Roman" w:hAnsi="Times New Roman" w:cs="Times New Roman"/>
          <w:sz w:val="24"/>
          <w:szCs w:val="24"/>
          <w:lang w:eastAsia="de-DE"/>
        </w:rPr>
        <w:t xml:space="preserve"> and again, </w:t>
      </w:r>
      <w:r w:rsidRPr="00855ECA">
        <w:rPr>
          <w:rFonts w:ascii="Times New Roman" w:eastAsia="Times New Roman" w:hAnsi="Times New Roman" w:cs="Times New Roman"/>
          <w:sz w:val="24"/>
          <w:szCs w:val="24"/>
          <w:lang w:eastAsia="de-DE"/>
        </w:rPr>
        <w:t>summarized for both groups</w:t>
      </w:r>
      <w:r w:rsidRPr="00517272">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w:t>
      </w:r>
    </w:p>
    <w:p w14:paraId="395949DE" w14:textId="2BA46B17" w:rsidR="00CC1A09" w:rsidRPr="00E77E24" w:rsidRDefault="00404261" w:rsidP="00E77E24">
      <w:pPr>
        <w:pStyle w:val="berschrift4"/>
        <w:rPr>
          <w:rFonts w:ascii="Times New Roman" w:hAnsi="Times New Roman" w:cs="Times New Roman"/>
          <w:sz w:val="24"/>
          <w:szCs w:val="24"/>
          <w:lang w:eastAsia="de-DE"/>
        </w:rPr>
      </w:pPr>
      <w:commentRangeStart w:id="2"/>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commentRangeEnd w:id="2"/>
      <w:r w:rsidR="005D351A">
        <w:rPr>
          <w:rStyle w:val="Kommentarzeichen"/>
          <w:rFonts w:cs="Arial"/>
          <w:b w:val="0"/>
          <w:bCs w:val="0"/>
        </w:rPr>
        <w:commentReference w:id="2"/>
      </w:r>
      <w:r w:rsidR="00CC1A09" w:rsidRPr="00E77E24">
        <w:rPr>
          <w:rFonts w:ascii="Times New Roman" w:hAnsi="Times New Roman" w:cs="Times New Roman"/>
          <w:sz w:val="24"/>
          <w:szCs w:val="24"/>
          <w:lang w:eastAsia="de-DE"/>
        </w:rPr>
        <w:t xml:space="preserve">. </w:t>
      </w:r>
    </w:p>
    <w:p w14:paraId="25C52EA0" w14:textId="5F284CD5" w:rsidR="00540A1D" w:rsidRDefault="00743146" w:rsidP="00D41042">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r w:rsidRPr="00404261">
        <w:rPr>
          <w:rFonts w:ascii="Times New Roman" w:eastAsia="Times New Roman" w:hAnsi="Times New Roman" w:cs="Times New Roman"/>
          <w:sz w:val="24"/>
          <w:szCs w:val="24"/>
          <w:lang w:eastAsia="de-DE"/>
        </w:rPr>
        <w:t>fixation number</w:t>
      </w:r>
      <w:r w:rsidR="00C757A5" w:rsidRPr="00404261">
        <w:rPr>
          <w:rFonts w:ascii="Times New Roman" w:eastAsia="Times New Roman" w:hAnsi="Times New Roman" w:cs="Times New Roman"/>
          <w:sz w:val="24"/>
          <w:szCs w:val="24"/>
          <w:lang w:eastAsia="de-DE"/>
        </w:rPr>
        <w:t xml:space="preserve"> per minute</w:t>
      </w:r>
      <w:r w:rsidR="00C757A5">
        <w:rPr>
          <w:rFonts w:ascii="Times New Roman" w:eastAsia="Times New Roman" w:hAnsi="Times New Roman" w:cs="Times New Roman"/>
          <w:b/>
          <w:bCs/>
          <w:sz w:val="24"/>
          <w:szCs w:val="24"/>
          <w:lang w:eastAsia="de-DE"/>
        </w:rPr>
        <w:t xml:space="preserve"> </w:t>
      </w:r>
      <w:r w:rsidRPr="00743146">
        <w:rPr>
          <w:rFonts w:ascii="Times New Roman" w:eastAsia="Times New Roman" w:hAnsi="Times New Roman" w:cs="Times New Roman"/>
          <w:sz w:val="24"/>
          <w:szCs w:val="24"/>
          <w:lang w:eastAsia="de-DE"/>
        </w:rPr>
        <w:t>was calculated as the total number of fixations recorded during the session, standardized as fixations per minute to account for varying session durations. Specifically, the total fixation count was summed across all global AOI, including students, teacher material, student desks, and other classroom areas. This sum was then divided by the session duration in minutes to yield the fixation number per minute</w:t>
      </w:r>
      <w:r w:rsidR="00B331ED">
        <w:rPr>
          <w:rFonts w:ascii="Times New Roman" w:eastAsia="Times New Roman" w:hAnsi="Times New Roman" w:cs="Times New Roman"/>
          <w:sz w:val="24"/>
          <w:szCs w:val="24"/>
          <w:lang w:eastAsia="de-DE"/>
        </w:rPr>
        <w:t xml:space="preserve"> </w:t>
      </w:r>
      <w:r w:rsidR="00B331ED" w:rsidRPr="00B331ED">
        <w:rPr>
          <w:rFonts w:ascii="Times New Roman" w:eastAsia="Times New Roman" w:hAnsi="Times New Roman" w:cs="Times New Roman"/>
          <w:sz w:val="24"/>
          <w:szCs w:val="24"/>
          <w:lang w:eastAsia="de-DE"/>
        </w:rPr>
        <w:t>for each person</w:t>
      </w:r>
      <w:r w:rsidR="008916F5">
        <w:rPr>
          <w:rFonts w:ascii="Times New Roman" w:eastAsia="Times New Roman" w:hAnsi="Times New Roman" w:cs="Times New Roman"/>
          <w:sz w:val="24"/>
          <w:szCs w:val="24"/>
          <w:lang w:eastAsia="de-DE"/>
        </w:rPr>
        <w:t xml:space="preserve"> and was then summarized for both groups (experienced and inexperienced </w:t>
      </w:r>
      <w:r w:rsidR="00D07092">
        <w:rPr>
          <w:rFonts w:ascii="Times New Roman" w:eastAsia="Times New Roman" w:hAnsi="Times New Roman" w:cs="Times New Roman"/>
          <w:sz w:val="24"/>
          <w:szCs w:val="24"/>
          <w:lang w:eastAsia="de-DE"/>
        </w:rPr>
        <w:t>teachers)</w:t>
      </w:r>
      <w:r>
        <w:rPr>
          <w:rFonts w:ascii="Times New Roman" w:eastAsia="Times New Roman" w:hAnsi="Times New Roman" w:cs="Times New Roman"/>
          <w:sz w:val="24"/>
          <w:szCs w:val="24"/>
          <w:lang w:eastAsia="de-DE"/>
        </w:rPr>
        <w:t>.</w:t>
      </w:r>
      <w:r w:rsidR="009C4E41">
        <w:rPr>
          <w:rFonts w:ascii="Times New Roman" w:eastAsia="Times New Roman" w:hAnsi="Times New Roman" w:cs="Times New Roman"/>
          <w:sz w:val="24"/>
          <w:szCs w:val="24"/>
          <w:lang w:eastAsia="de-DE"/>
        </w:rPr>
        <w:t xml:space="preserve"> </w:t>
      </w:r>
    </w:p>
    <w:p w14:paraId="4D0C3A96" w14:textId="02486C81"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lastRenderedPageBreak/>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32952BB8" w14:textId="6C9AA38A" w:rsidR="003876CA" w:rsidRDefault="002A408D" w:rsidP="0031387D">
      <w:pPr>
        <w:spacing w:before="120"/>
        <w:rPr>
          <w:rFonts w:ascii="Times New Roman" w:eastAsia="Times New Roman" w:hAnsi="Times New Roman" w:cs="Times New Roman"/>
          <w:sz w:val="24"/>
          <w:szCs w:val="24"/>
          <w:lang w:eastAsia="de-DE"/>
        </w:rPr>
      </w:pPr>
      <w:r w:rsidRPr="002A408D">
        <w:rPr>
          <w:rFonts w:ascii="Times New Roman" w:eastAsia="Times New Roman" w:hAnsi="Times New Roman" w:cs="Times New Roman"/>
          <w:sz w:val="24"/>
          <w:szCs w:val="24"/>
          <w:lang w:eastAsia="de-DE"/>
        </w:rPr>
        <w:t>The</w:t>
      </w:r>
      <w:r>
        <w:rPr>
          <w:rFonts w:ascii="Times New Roman" w:eastAsia="Times New Roman" w:hAnsi="Times New Roman" w:cs="Times New Roman"/>
          <w:b/>
          <w:bCs/>
          <w:sz w:val="24"/>
          <w:szCs w:val="24"/>
          <w:lang w:eastAsia="de-DE"/>
        </w:rPr>
        <w:t xml:space="preserve"> </w:t>
      </w:r>
      <w:r w:rsidR="00DB69B7" w:rsidRPr="00477F49">
        <w:rPr>
          <w:rFonts w:ascii="Times New Roman" w:eastAsia="Times New Roman" w:hAnsi="Times New Roman" w:cs="Times New Roman"/>
          <w:sz w:val="24"/>
          <w:szCs w:val="24"/>
          <w:lang w:eastAsia="de-DE"/>
        </w:rPr>
        <w:t>t</w:t>
      </w:r>
      <w:r w:rsidR="0038199D" w:rsidRPr="00477F49">
        <w:rPr>
          <w:rFonts w:ascii="Times New Roman" w:eastAsia="Times New Roman" w:hAnsi="Times New Roman" w:cs="Times New Roman"/>
          <w:sz w:val="24"/>
          <w:szCs w:val="24"/>
          <w:lang w:eastAsia="de-DE"/>
        </w:rPr>
        <w:t>ime to first fixation</w:t>
      </w:r>
      <w:r w:rsidR="0038199D" w:rsidRPr="0038199D">
        <w:rPr>
          <w:rFonts w:ascii="Times New Roman" w:eastAsia="Times New Roman" w:hAnsi="Times New Roman" w:cs="Times New Roman"/>
          <w:sz w:val="24"/>
          <w:szCs w:val="24"/>
          <w:lang w:eastAsia="de-DE"/>
        </w:rPr>
        <w:t xml:space="preserve"> </w:t>
      </w:r>
      <w:r w:rsidR="00695FEE">
        <w:rPr>
          <w:rFonts w:ascii="Times New Roman" w:eastAsia="Times New Roman" w:hAnsi="Times New Roman" w:cs="Times New Roman"/>
          <w:sz w:val="24"/>
          <w:szCs w:val="24"/>
          <w:lang w:eastAsia="de-DE"/>
        </w:rPr>
        <w:t xml:space="preserve">(TTFF) </w:t>
      </w:r>
      <w:r w:rsidR="0038199D" w:rsidRPr="0038199D">
        <w:rPr>
          <w:rFonts w:ascii="Times New Roman" w:eastAsia="Times New Roman" w:hAnsi="Times New Roman" w:cs="Times New Roman"/>
          <w:sz w:val="24"/>
          <w:szCs w:val="24"/>
          <w:lang w:eastAsia="de-DE"/>
        </w:rPr>
        <w:t xml:space="preserve">was used to </w:t>
      </w:r>
      <w:r w:rsidR="00C20478" w:rsidRPr="00FA042A">
        <w:rPr>
          <w:rFonts w:ascii="Times New Roman" w:eastAsia="Times New Roman" w:hAnsi="Times New Roman" w:cs="Times New Roman"/>
          <w:sz w:val="24"/>
          <w:szCs w:val="24"/>
          <w:lang w:eastAsia="de-DE"/>
        </w:rPr>
        <w:t xml:space="preserve">assess gaze behavior within </w:t>
      </w:r>
      <w:r w:rsidR="00477F49">
        <w:rPr>
          <w:rFonts w:ascii="Times New Roman" w:eastAsia="Times New Roman" w:hAnsi="Times New Roman" w:cs="Times New Roman"/>
          <w:sz w:val="24"/>
          <w:szCs w:val="24"/>
          <w:lang w:eastAsia="de-DE"/>
        </w:rPr>
        <w:t>the</w:t>
      </w:r>
      <w:r w:rsidR="00C20478" w:rsidRPr="00FA042A">
        <w:rPr>
          <w:rFonts w:ascii="Times New Roman" w:eastAsia="Times New Roman" w:hAnsi="Times New Roman" w:cs="Times New Roman"/>
          <w:sz w:val="24"/>
          <w:szCs w:val="24"/>
          <w:lang w:eastAsia="de-DE"/>
        </w:rPr>
        <w:t xml:space="preserve"> AOI</w:t>
      </w:r>
      <w:r w:rsidR="00C20478">
        <w:rPr>
          <w:rFonts w:ascii="Times New Roman" w:eastAsia="Times New Roman" w:hAnsi="Times New Roman" w:cs="Times New Roman"/>
          <w:sz w:val="24"/>
          <w:szCs w:val="24"/>
          <w:lang w:eastAsia="de-DE"/>
        </w:rPr>
        <w:t xml:space="preserve"> </w:t>
      </w:r>
      <w:r w:rsidR="00477F49" w:rsidRPr="00477F49">
        <w:rPr>
          <w:rFonts w:ascii="Times New Roman" w:eastAsia="Times New Roman" w:hAnsi="Times New Roman" w:cs="Times New Roman"/>
          <w:i/>
          <w:iCs/>
          <w:sz w:val="24"/>
          <w:szCs w:val="24"/>
          <w:lang w:eastAsia="de-DE"/>
        </w:rPr>
        <w:t>disruptive student</w:t>
      </w:r>
      <w:r w:rsidR="00477F49">
        <w:rPr>
          <w:rFonts w:ascii="Times New Roman" w:eastAsia="Times New Roman" w:hAnsi="Times New Roman" w:cs="Times New Roman"/>
          <w:sz w:val="24"/>
          <w:szCs w:val="24"/>
          <w:lang w:eastAsia="de-DE"/>
        </w:rPr>
        <w:t xml:space="preserve"> </w:t>
      </w:r>
      <w:r w:rsidR="00162EE6">
        <w:rPr>
          <w:rFonts w:ascii="Times New Roman" w:eastAsia="Times New Roman" w:hAnsi="Times New Roman" w:cs="Times New Roman"/>
          <w:sz w:val="24"/>
          <w:szCs w:val="24"/>
          <w:lang w:eastAsia="de-DE"/>
        </w:rPr>
        <w:t xml:space="preserve">and to </w:t>
      </w:r>
      <w:r w:rsidR="0038199D" w:rsidRPr="0038199D">
        <w:rPr>
          <w:rFonts w:ascii="Times New Roman" w:eastAsia="Times New Roman" w:hAnsi="Times New Roman" w:cs="Times New Roman"/>
          <w:sz w:val="24"/>
          <w:szCs w:val="24"/>
          <w:lang w:eastAsia="de-DE"/>
        </w:rPr>
        <w:t xml:space="preserve">measure </w:t>
      </w:r>
      <w:r w:rsidR="0040638D">
        <w:rPr>
          <w:rFonts w:ascii="Times New Roman" w:eastAsia="Times New Roman" w:hAnsi="Times New Roman" w:cs="Times New Roman"/>
          <w:sz w:val="24"/>
          <w:szCs w:val="24"/>
          <w:lang w:eastAsia="de-DE"/>
        </w:rPr>
        <w:t xml:space="preserve">the disruption noticing speed, e.g., </w:t>
      </w:r>
      <w:r w:rsidR="0038199D" w:rsidRPr="0038199D">
        <w:rPr>
          <w:rFonts w:ascii="Times New Roman" w:eastAsia="Times New Roman" w:hAnsi="Times New Roman" w:cs="Times New Roman"/>
          <w:sz w:val="24"/>
          <w:szCs w:val="24"/>
          <w:lang w:eastAsia="de-DE"/>
        </w:rPr>
        <w:t>the latency, in seconds, for participants to direct their first fixation to the AOI after the onset of the disruption.</w:t>
      </w:r>
      <w:r w:rsidR="006C6083" w:rsidRPr="006C6083">
        <w:rPr>
          <w:rFonts w:ascii="Times New Roman" w:eastAsia="Times New Roman" w:hAnsi="Times New Roman" w:cs="Times New Roman"/>
          <w:sz w:val="24"/>
          <w:szCs w:val="24"/>
          <w:lang w:eastAsia="de-DE"/>
        </w:rPr>
        <w:t xml:space="preserve"> </w:t>
      </w:r>
      <w:r w:rsidR="006C6083">
        <w:rPr>
          <w:rFonts w:ascii="Times New Roman" w:eastAsia="Times New Roman" w:hAnsi="Times New Roman" w:cs="Times New Roman"/>
          <w:sz w:val="24"/>
          <w:szCs w:val="24"/>
          <w:lang w:eastAsia="de-DE"/>
        </w:rPr>
        <w:t xml:space="preserve">Therefore, </w:t>
      </w:r>
      <w:r w:rsidR="006C6083" w:rsidRPr="006C6083">
        <w:rPr>
          <w:rFonts w:ascii="Times New Roman" w:eastAsia="Times New Roman" w:hAnsi="Times New Roman" w:cs="Times New Roman"/>
          <w:sz w:val="24"/>
          <w:szCs w:val="24"/>
          <w:lang w:eastAsia="de-DE"/>
        </w:rPr>
        <w:t xml:space="preserve">values were extracted from the eye-tracking data by identifying the timestamp when the first fixation on the AOI </w:t>
      </w:r>
      <w:r w:rsidR="00FA15F6" w:rsidRPr="00FA15F6">
        <w:rPr>
          <w:rFonts w:ascii="Times New Roman" w:eastAsia="Times New Roman" w:hAnsi="Times New Roman" w:cs="Times New Roman"/>
          <w:i/>
          <w:iCs/>
          <w:sz w:val="24"/>
          <w:szCs w:val="24"/>
          <w:lang w:eastAsia="de-DE"/>
        </w:rPr>
        <w:t xml:space="preserve">disruptive student </w:t>
      </w:r>
      <w:r w:rsidR="006C6083" w:rsidRPr="006C6083">
        <w:rPr>
          <w:rFonts w:ascii="Times New Roman" w:eastAsia="Times New Roman" w:hAnsi="Times New Roman" w:cs="Times New Roman"/>
          <w:sz w:val="24"/>
          <w:szCs w:val="24"/>
          <w:lang w:eastAsia="de-DE"/>
        </w:rPr>
        <w:t xml:space="preserve">occurred relative to the onset of the </w:t>
      </w:r>
      <w:r w:rsidR="006616FC">
        <w:rPr>
          <w:rFonts w:ascii="Times New Roman" w:eastAsia="Times New Roman" w:hAnsi="Times New Roman" w:cs="Times New Roman"/>
          <w:sz w:val="24"/>
          <w:szCs w:val="24"/>
          <w:lang w:eastAsia="de-DE"/>
        </w:rPr>
        <w:t>disruption</w:t>
      </w:r>
      <w:r w:rsidR="006C6083" w:rsidRPr="006C6083">
        <w:rPr>
          <w:rFonts w:ascii="Times New Roman" w:eastAsia="Times New Roman" w:hAnsi="Times New Roman" w:cs="Times New Roman"/>
          <w:sz w:val="24"/>
          <w:szCs w:val="24"/>
          <w:lang w:eastAsia="de-DE"/>
        </w:rPr>
        <w:t>. Data were filtered to include only valid fixation times, excluding instances where the TTFF was zero</w:t>
      </w:r>
      <w:r w:rsidR="005433BC">
        <w:rPr>
          <w:rStyle w:val="Funotenzeichen"/>
          <w:rFonts w:ascii="Times New Roman" w:eastAsia="Times New Roman" w:hAnsi="Times New Roman" w:cs="Times New Roman"/>
          <w:sz w:val="24"/>
          <w:szCs w:val="24"/>
          <w:lang w:eastAsia="de-DE"/>
        </w:rPr>
        <w:footnoteReference w:id="3"/>
      </w:r>
      <w:r w:rsidR="00755B69">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or exceeded 30 seconds</w:t>
      </w:r>
      <w:r w:rsidR="006D459A">
        <w:rPr>
          <w:rFonts w:ascii="Times New Roman" w:eastAsia="Times New Roman" w:hAnsi="Times New Roman" w:cs="Times New Roman"/>
          <w:sz w:val="24"/>
          <w:szCs w:val="24"/>
          <w:lang w:eastAsia="de-DE"/>
        </w:rPr>
        <w:t>.</w:t>
      </w:r>
      <w:r w:rsidR="006D459A">
        <w:rPr>
          <w:rStyle w:val="Funotenzeichen"/>
          <w:rFonts w:ascii="Times New Roman" w:eastAsia="Times New Roman" w:hAnsi="Times New Roman" w:cs="Times New Roman"/>
          <w:sz w:val="24"/>
          <w:szCs w:val="24"/>
          <w:lang w:eastAsia="de-DE"/>
        </w:rPr>
        <w:footnoteReference w:id="4"/>
      </w:r>
      <w:r w:rsidR="006D459A">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These raw TTFF values were then converted from milliseconds to seconds for interpretability.</w:t>
      </w:r>
      <w:r w:rsidR="00695FEE">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To calculate participant-level averages, the TTFF values were aggregated across all disruption</w:t>
      </w:r>
      <w:r w:rsidR="00AE4CA5">
        <w:rPr>
          <w:rFonts w:ascii="Times New Roman" w:eastAsia="Times New Roman" w:hAnsi="Times New Roman" w:cs="Times New Roman"/>
          <w:sz w:val="24"/>
          <w:szCs w:val="24"/>
          <w:lang w:eastAsia="de-DE"/>
        </w:rPr>
        <w:t xml:space="preserve">s </w:t>
      </w:r>
      <w:r w:rsidR="006C6083" w:rsidRPr="006C6083">
        <w:rPr>
          <w:rFonts w:ascii="Times New Roman" w:eastAsia="Times New Roman" w:hAnsi="Times New Roman" w:cs="Times New Roman"/>
          <w:sz w:val="24"/>
          <w:szCs w:val="24"/>
          <w:lang w:eastAsia="de-DE"/>
        </w:rPr>
        <w:t xml:space="preserve">per participant. This yielded an average TTFF in seconds for each participant, reflecting their overall responsiveness to classroom disruptions. </w:t>
      </w:r>
    </w:p>
    <w:p w14:paraId="087388BC" w14:textId="29307737"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elf-Evaluation</w:t>
      </w:r>
      <w:r w:rsidR="005A197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w:t>
      </w:r>
      <w:r w:rsidRPr="004E6DEC">
        <w:rPr>
          <w:rFonts w:ascii="Times New Roman" w:hAnsi="Times New Roman" w:cs="Times New Roman"/>
          <w:color w:val="000000" w:themeColor="text1"/>
          <w:sz w:val="24"/>
          <w:szCs w:val="24"/>
        </w:rPr>
        <w:t>f Classroom Management</w:t>
      </w:r>
      <w:r w:rsidR="00AE4CA5">
        <w:rPr>
          <w:rFonts w:ascii="Times New Roman" w:hAnsi="Times New Roman" w:cs="Times New Roman"/>
          <w:color w:val="000000" w:themeColor="text1"/>
          <w:sz w:val="24"/>
          <w:szCs w:val="24"/>
        </w:rPr>
        <w:t xml:space="preserve"> </w:t>
      </w:r>
    </w:p>
    <w:p w14:paraId="620D6539" w14:textId="5ACAB229"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teachers</w:t>
      </w:r>
      <w:r w:rsidR="00750FCF">
        <w:rPr>
          <w:rFonts w:ascii="Times New Roman" w:eastAsia="Times New Roman" w:hAnsi="Times New Roman" w:cs="Times New Roman"/>
          <w:color w:val="000000" w:themeColor="text1"/>
          <w:sz w:val="24"/>
          <w:szCs w:val="24"/>
          <w:lang w:eastAsia="de-DE"/>
        </w:rPr>
        <w:t>’</w:t>
      </w:r>
      <w:r w:rsidR="00033065">
        <w:rPr>
          <w:rFonts w:ascii="Times New Roman" w:eastAsia="Times New Roman" w:hAnsi="Times New Roman" w:cs="Times New Roman"/>
          <w:color w:val="000000" w:themeColor="text1"/>
          <w:sz w:val="24"/>
          <w:szCs w:val="24"/>
          <w:lang w:eastAsia="de-DE"/>
        </w:rPr>
        <w:t xml:space="preserve"> self-</w:t>
      </w:r>
      <w:r w:rsidR="00033065">
        <w:rPr>
          <w:rFonts w:ascii="Times New Roman" w:eastAsia="Times New Roman" w:hAnsi="Times New Roman" w:cs="Times New Roman"/>
          <w:color w:val="000000" w:themeColor="text1"/>
          <w:sz w:val="24"/>
          <w:szCs w:val="24"/>
          <w:lang w:eastAsia="de-DE"/>
        </w:rPr>
        <w:lastRenderedPageBreak/>
        <w:t>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5A197D">
        <w:rPr>
          <w:rFonts w:ascii="Times New Roman" w:eastAsia="Times New Roman" w:hAnsi="Times New Roman" w:cs="Times New Roman"/>
          <w:color w:val="000000" w:themeColor="text1"/>
          <w:sz w:val="24"/>
          <w:szCs w:val="24"/>
          <w:lang w:eastAsia="de-DE"/>
        </w:rPr>
        <w:t xml:space="preserve"> </w:t>
      </w:r>
      <w:r w:rsidR="005A197D">
        <w:rPr>
          <w:rFonts w:ascii="Times New Roman" w:eastAsia="Times New Roman" w:hAnsi="Times New Roman" w:cs="Times New Roman"/>
          <w:color w:val="000000" w:themeColor="text1"/>
          <w:sz w:val="24"/>
          <w:szCs w:val="24"/>
          <w:lang w:eastAsia="de-DE"/>
        </w:rPr>
        <w:t>competencies</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52852AC8" w:rsidR="00E04E95" w:rsidRPr="00391141" w:rsidRDefault="00E04E95" w:rsidP="007C555E">
      <w:pPr>
        <w:pStyle w:val="berschrift3"/>
        <w:rPr>
          <w:rFonts w:ascii="Times New Roman" w:hAnsi="Times New Roman" w:cs="Times New Roman"/>
          <w:color w:val="000000" w:themeColor="text1"/>
          <w:sz w:val="24"/>
          <w:szCs w:val="24"/>
          <w:lang w:eastAsia="de-DE"/>
        </w:rPr>
      </w:pPr>
      <w:r w:rsidRPr="00391141">
        <w:rPr>
          <w:rFonts w:ascii="Times New Roman" w:hAnsi="Times New Roman" w:cs="Times New Roman"/>
          <w:color w:val="000000" w:themeColor="text1"/>
          <w:sz w:val="24"/>
          <w:szCs w:val="24"/>
          <w:lang w:eastAsia="de-DE"/>
        </w:rPr>
        <w:t xml:space="preserve">Subjective </w:t>
      </w:r>
      <w:r w:rsidR="005A197D">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358087EF"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subjective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4B421B69" w14:textId="00BE66B2" w:rsidR="00F30EEC" w:rsidRDefault="00F30EEC" w:rsidP="007C555E">
      <w:pPr>
        <w:spacing w:before="120" w:after="240"/>
        <w:rPr>
          <w:rFonts w:ascii="Times New Roman" w:eastAsia="Times New Roman" w:hAnsi="Times New Roman" w:cs="Times New Roman"/>
          <w:color w:val="000000" w:themeColor="text1"/>
          <w:sz w:val="24"/>
          <w:szCs w:val="24"/>
          <w:lang w:eastAsia="de-DE"/>
        </w:rPr>
      </w:pPr>
      <w:r w:rsidRPr="00F30EEC">
        <w:rPr>
          <w:rFonts w:ascii="Times New Roman" w:eastAsia="Times New Roman" w:hAnsi="Times New Roman" w:cs="Times New Roman"/>
          <w:color w:val="000000" w:themeColor="text1"/>
          <w:sz w:val="24"/>
          <w:szCs w:val="24"/>
          <w:lang w:eastAsia="de-DE"/>
        </w:rPr>
        <w:lastRenderedPageBreak/>
        <w:t xml:space="preserve">To address our first research question, we </w:t>
      </w:r>
      <w:r w:rsidR="00F80DE5">
        <w:rPr>
          <w:rFonts w:ascii="Times New Roman" w:eastAsia="Times New Roman" w:hAnsi="Times New Roman" w:cs="Times New Roman"/>
          <w:color w:val="000000" w:themeColor="text1"/>
          <w:sz w:val="24"/>
          <w:szCs w:val="24"/>
          <w:lang w:eastAsia="de-DE"/>
        </w:rPr>
        <w:t xml:space="preserve">descriptively </w:t>
      </w:r>
      <w:r w:rsidRPr="00F30EEC">
        <w:rPr>
          <w:rFonts w:ascii="Times New Roman" w:eastAsia="Times New Roman" w:hAnsi="Times New Roman" w:cs="Times New Roman"/>
          <w:color w:val="000000" w:themeColor="text1"/>
          <w:sz w:val="24"/>
          <w:szCs w:val="24"/>
          <w:lang w:eastAsia="de-DE"/>
        </w:rPr>
        <w:t xml:space="preserve">analyzed </w:t>
      </w:r>
      <w:r w:rsidR="00E565E7">
        <w:rPr>
          <w:rFonts w:ascii="Times New Roman" w:eastAsia="Times New Roman" w:hAnsi="Times New Roman" w:cs="Times New Roman"/>
          <w:color w:val="000000" w:themeColor="text1"/>
          <w:sz w:val="24"/>
          <w:szCs w:val="24"/>
          <w:lang w:eastAsia="de-DE"/>
        </w:rPr>
        <w:t xml:space="preserve">the </w:t>
      </w:r>
      <w:r w:rsidRPr="00F30EEC">
        <w:rPr>
          <w:rFonts w:ascii="Times New Roman" w:eastAsia="Times New Roman" w:hAnsi="Times New Roman" w:cs="Times New Roman"/>
          <w:color w:val="000000" w:themeColor="text1"/>
          <w:sz w:val="24"/>
          <w:szCs w:val="24"/>
          <w:lang w:eastAsia="de-DE"/>
        </w:rPr>
        <w:t>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for each AOI </w:t>
      </w:r>
      <w:r w:rsidR="00E565E7">
        <w:rPr>
          <w:rFonts w:ascii="Times New Roman" w:eastAsia="Times New Roman" w:hAnsi="Times New Roman" w:cs="Times New Roman"/>
          <w:color w:val="000000" w:themeColor="text1"/>
          <w:sz w:val="24"/>
          <w:szCs w:val="24"/>
          <w:lang w:eastAsia="de-DE"/>
        </w:rPr>
        <w:t>(</w:t>
      </w:r>
      <w:r w:rsidRPr="00F30EEC">
        <w:rPr>
          <w:rFonts w:ascii="Times New Roman" w:eastAsia="Times New Roman" w:hAnsi="Times New Roman" w:cs="Times New Roman"/>
          <w:i/>
          <w:iCs/>
          <w:color w:val="000000" w:themeColor="text1"/>
          <w:sz w:val="24"/>
          <w:szCs w:val="24"/>
          <w:lang w:eastAsia="de-DE"/>
        </w:rPr>
        <w:t>Students</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Teacher Material</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Student Desks</w:t>
      </w:r>
      <w:r w:rsidRPr="00F30EEC">
        <w:rPr>
          <w:rFonts w:ascii="Times New Roman" w:eastAsia="Times New Roman" w:hAnsi="Times New Roman" w:cs="Times New Roman"/>
          <w:color w:val="000000" w:themeColor="text1"/>
          <w:sz w:val="24"/>
          <w:szCs w:val="24"/>
          <w:lang w:eastAsia="de-DE"/>
        </w:rPr>
        <w:t xml:space="preserve">, and </w:t>
      </w:r>
      <w:r w:rsidRPr="00F30EEC">
        <w:rPr>
          <w:rFonts w:ascii="Times New Roman" w:eastAsia="Times New Roman" w:hAnsi="Times New Roman" w:cs="Times New Roman"/>
          <w:i/>
          <w:iCs/>
          <w:color w:val="000000" w:themeColor="text1"/>
          <w:sz w:val="24"/>
          <w:szCs w:val="24"/>
          <w:lang w:eastAsia="de-DE"/>
        </w:rPr>
        <w:t>Classroom/Others</w:t>
      </w:r>
      <w:r w:rsidR="00E565E7">
        <w:rPr>
          <w:rFonts w:ascii="Times New Roman" w:eastAsia="Times New Roman" w:hAnsi="Times New Roman" w:cs="Times New Roman"/>
          <w:color w:val="000000" w:themeColor="text1"/>
          <w:sz w:val="24"/>
          <w:szCs w:val="24"/>
          <w:lang w:eastAsia="de-DE"/>
        </w:rPr>
        <w:t xml:space="preserve">) </w:t>
      </w:r>
      <w:r w:rsidR="00E565E7" w:rsidRPr="00E565E7">
        <w:rPr>
          <w:rFonts w:ascii="Times New Roman" w:eastAsia="Times New Roman" w:hAnsi="Times New Roman" w:cs="Times New Roman"/>
          <w:color w:val="000000" w:themeColor="text1"/>
          <w:sz w:val="24"/>
          <w:szCs w:val="24"/>
          <w:lang w:eastAsia="de-DE"/>
        </w:rPr>
        <w:t>during the micro-teaching unit</w:t>
      </w:r>
      <w:r w:rsidRPr="00F30EEC">
        <w:rPr>
          <w:rFonts w:ascii="Times New Roman" w:eastAsia="Times New Roman" w:hAnsi="Times New Roman" w:cs="Times New Roman"/>
          <w:color w:val="000000" w:themeColor="text1"/>
          <w:sz w:val="24"/>
          <w:szCs w:val="24"/>
          <w:lang w:eastAsia="de-DE"/>
        </w:rPr>
        <w:t xml:space="preserve">. Proportions of fixation time were calculated relative to total fixation duration, with the </w:t>
      </w:r>
      <w:r>
        <w:rPr>
          <w:rFonts w:ascii="Times New Roman" w:eastAsia="Times New Roman" w:hAnsi="Times New Roman" w:cs="Times New Roman"/>
          <w:color w:val="000000" w:themeColor="text1"/>
          <w:sz w:val="24"/>
          <w:szCs w:val="24"/>
          <w:lang w:eastAsia="de-DE"/>
        </w:rPr>
        <w:t xml:space="preserve">AOI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analyzed separately for proportional comparisons. Mean percentages were computed for experienced and inexperienced teachers and visualized using bar graphs. Independent-sample </w:t>
      </w:r>
      <w:r w:rsidRPr="002D7E93">
        <w:rPr>
          <w:rFonts w:ascii="Times New Roman" w:eastAsia="Times New Roman" w:hAnsi="Times New Roman" w:cs="Times New Roman"/>
          <w:i/>
          <w:iCs/>
          <w:color w:val="000000" w:themeColor="text1"/>
          <w:sz w:val="24"/>
          <w:szCs w:val="24"/>
          <w:lang w:eastAsia="de-DE"/>
        </w:rPr>
        <w:t>t</w:t>
      </w:r>
      <w:r w:rsidRPr="00F30EEC">
        <w:rPr>
          <w:rFonts w:ascii="Times New Roman" w:eastAsia="Times New Roman" w:hAnsi="Times New Roman" w:cs="Times New Roman"/>
          <w:color w:val="000000" w:themeColor="text1"/>
          <w:sz w:val="24"/>
          <w:szCs w:val="24"/>
          <w:lang w:eastAsia="de-DE"/>
        </w:rPr>
        <w:t xml:space="preserve">-tests assessed statistical differences for each AOI, 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4878ED4E" w14:textId="68C9177A" w:rsidR="00A44989" w:rsidRDefault="00621921" w:rsidP="001D772A">
      <w:pPr>
        <w:rPr>
          <w:rFonts w:ascii="Times New Roman" w:hAnsi="Times New Roman" w:cs="Times New Roman"/>
          <w:sz w:val="24"/>
          <w:szCs w:val="24"/>
          <w:lang w:eastAsia="de-DE"/>
        </w:rPr>
      </w:pPr>
      <w:r w:rsidRPr="00621921">
        <w:rPr>
          <w:rFonts w:ascii="Times New Roman" w:hAnsi="Times New Roman" w:cs="Times New Roman"/>
          <w:sz w:val="24"/>
          <w:szCs w:val="24"/>
          <w:lang w:eastAsia="de-DE"/>
        </w:rPr>
        <w:t xml:space="preserve">To test </w:t>
      </w:r>
      <w:r w:rsidRPr="00621921">
        <w:rPr>
          <w:rFonts w:ascii="Times New Roman" w:hAnsi="Times New Roman" w:cs="Times New Roman"/>
          <w:b/>
          <w:bCs/>
          <w:sz w:val="24"/>
          <w:szCs w:val="24"/>
          <w:lang w:eastAsia="de-DE"/>
        </w:rPr>
        <w:t>Hypothesis 2</w:t>
      </w:r>
      <w:r w:rsidRPr="00621921">
        <w:rPr>
          <w:rFonts w:ascii="Times New Roman" w:hAnsi="Times New Roman" w:cs="Times New Roman"/>
          <w:sz w:val="24"/>
          <w:szCs w:val="24"/>
          <w:lang w:eastAsia="de-DE"/>
        </w:rPr>
        <w:t xml:space="preserve">, which examined </w:t>
      </w:r>
      <w:r w:rsidR="00A07244">
        <w:rPr>
          <w:rFonts w:ascii="Times New Roman" w:hAnsi="Times New Roman" w:cs="Times New Roman"/>
          <w:sz w:val="24"/>
          <w:szCs w:val="24"/>
          <w:lang w:eastAsia="de-DE"/>
        </w:rPr>
        <w:t>global and event-related gaze efficiency</w:t>
      </w:r>
      <w:r w:rsidRPr="00621921">
        <w:rPr>
          <w:rFonts w:ascii="Times New Roman" w:hAnsi="Times New Roman" w:cs="Times New Roman"/>
          <w:sz w:val="24"/>
          <w:szCs w:val="24"/>
          <w:lang w:eastAsia="de-DE"/>
        </w:rPr>
        <w:t xml:space="preserve">, we </w:t>
      </w:r>
      <w:r w:rsidR="008942F5">
        <w:rPr>
          <w:rFonts w:ascii="Times New Roman" w:hAnsi="Times New Roman" w:cs="Times New Roman"/>
          <w:sz w:val="24"/>
          <w:szCs w:val="24"/>
          <w:lang w:eastAsia="de-DE"/>
        </w:rPr>
        <w:t>calculated</w:t>
      </w:r>
      <w:r w:rsidRPr="00621921">
        <w:rPr>
          <w:rFonts w:ascii="Times New Roman" w:hAnsi="Times New Roman" w:cs="Times New Roman"/>
          <w:sz w:val="24"/>
          <w:szCs w:val="24"/>
          <w:lang w:eastAsia="de-DE"/>
        </w:rPr>
        <w:t xml:space="preserve"> </w:t>
      </w:r>
      <w:r w:rsidR="002D1D14">
        <w:rPr>
          <w:rFonts w:ascii="Times New Roman" w:hAnsi="Times New Roman" w:cs="Times New Roman"/>
          <w:sz w:val="24"/>
          <w:szCs w:val="24"/>
          <w:lang w:eastAsia="de-DE"/>
        </w:rPr>
        <w:t xml:space="preserve">for experienced and inexperienced teachers the </w:t>
      </w:r>
      <w:r w:rsidR="008942F5">
        <w:rPr>
          <w:rFonts w:ascii="Times New Roman" w:hAnsi="Times New Roman" w:cs="Times New Roman"/>
          <w:sz w:val="24"/>
          <w:szCs w:val="24"/>
          <w:lang w:eastAsia="de-DE"/>
        </w:rPr>
        <w:t>GRI for</w:t>
      </w:r>
      <w:r w:rsidRPr="00621921">
        <w:rPr>
          <w:rFonts w:ascii="Times New Roman" w:hAnsi="Times New Roman" w:cs="Times New Roman"/>
          <w:sz w:val="24"/>
          <w:szCs w:val="24"/>
          <w:lang w:eastAsia="de-DE"/>
        </w:rPr>
        <w:t xml:space="preserve"> the entire </w:t>
      </w:r>
      <w:r>
        <w:rPr>
          <w:rFonts w:ascii="Times New Roman" w:hAnsi="Times New Roman" w:cs="Times New Roman"/>
          <w:sz w:val="24"/>
          <w:szCs w:val="24"/>
          <w:lang w:eastAsia="de-DE"/>
        </w:rPr>
        <w:t>m</w:t>
      </w:r>
      <w:r w:rsidRPr="00621921">
        <w:rPr>
          <w:rFonts w:ascii="Times New Roman" w:hAnsi="Times New Roman" w:cs="Times New Roman"/>
          <w:sz w:val="24"/>
          <w:szCs w:val="24"/>
          <w:lang w:eastAsia="de-DE"/>
        </w:rPr>
        <w:t>icro-</w:t>
      </w:r>
      <w:r>
        <w:rPr>
          <w:rFonts w:ascii="Times New Roman" w:hAnsi="Times New Roman" w:cs="Times New Roman"/>
          <w:sz w:val="24"/>
          <w:szCs w:val="24"/>
          <w:lang w:eastAsia="de-DE"/>
        </w:rPr>
        <w:t>t</w:t>
      </w:r>
      <w:r w:rsidRPr="00621921">
        <w:rPr>
          <w:rFonts w:ascii="Times New Roman" w:hAnsi="Times New Roman" w:cs="Times New Roman"/>
          <w:sz w:val="24"/>
          <w:szCs w:val="24"/>
          <w:lang w:eastAsia="de-DE"/>
        </w:rPr>
        <w:t xml:space="preserve">eaching </w:t>
      </w:r>
      <w:r>
        <w:rPr>
          <w:rFonts w:ascii="Times New Roman" w:hAnsi="Times New Roman" w:cs="Times New Roman"/>
          <w:sz w:val="24"/>
          <w:szCs w:val="24"/>
          <w:lang w:eastAsia="de-DE"/>
        </w:rPr>
        <w:t>u</w:t>
      </w:r>
      <w:r w:rsidRPr="00621921">
        <w:rPr>
          <w:rFonts w:ascii="Times New Roman" w:hAnsi="Times New Roman" w:cs="Times New Roman"/>
          <w:sz w:val="24"/>
          <w:szCs w:val="24"/>
          <w:lang w:eastAsia="de-DE"/>
        </w:rPr>
        <w:t>nit</w:t>
      </w:r>
      <w:r w:rsidR="00021863">
        <w:rPr>
          <w:rFonts w:ascii="Times New Roman" w:hAnsi="Times New Roman" w:cs="Times New Roman"/>
          <w:sz w:val="24"/>
          <w:szCs w:val="24"/>
          <w:lang w:eastAsia="de-DE"/>
        </w:rPr>
        <w:t xml:space="preserve"> (</w:t>
      </w:r>
      <w:r w:rsidR="000475ED" w:rsidRPr="000475ED">
        <w:rPr>
          <w:rFonts w:ascii="Times New Roman" w:hAnsi="Times New Roman" w:cs="Times New Roman"/>
          <w:b/>
          <w:bCs/>
          <w:sz w:val="24"/>
          <w:szCs w:val="24"/>
          <w:lang w:eastAsia="de-DE"/>
        </w:rPr>
        <w:t>Hypothesis 2a</w:t>
      </w:r>
      <w:r w:rsidR="00021863">
        <w:rPr>
          <w:rFonts w:ascii="Times New Roman" w:hAnsi="Times New Roman" w:cs="Times New Roman"/>
          <w:sz w:val="24"/>
          <w:szCs w:val="24"/>
          <w:lang w:eastAsia="de-DE"/>
        </w:rPr>
        <w:t>)</w:t>
      </w:r>
      <w:r w:rsidR="000A08B4">
        <w:rPr>
          <w:rFonts w:ascii="Times New Roman" w:hAnsi="Times New Roman" w:cs="Times New Roman"/>
          <w:sz w:val="24"/>
          <w:szCs w:val="24"/>
          <w:lang w:eastAsia="de-DE"/>
        </w:rPr>
        <w:t xml:space="preserve">, </w:t>
      </w:r>
      <w:r w:rsidR="005C50B5">
        <w:rPr>
          <w:rFonts w:ascii="Times New Roman" w:hAnsi="Times New Roman" w:cs="Times New Roman"/>
          <w:sz w:val="24"/>
          <w:szCs w:val="24"/>
          <w:lang w:eastAsia="de-DE"/>
        </w:rPr>
        <w:t xml:space="preserve">the </w:t>
      </w:r>
      <w:r w:rsidR="000475ED" w:rsidRPr="000475ED">
        <w:rPr>
          <w:rFonts w:ascii="Times New Roman" w:hAnsi="Times New Roman" w:cs="Times New Roman"/>
          <w:sz w:val="24"/>
          <w:szCs w:val="24"/>
          <w:lang w:eastAsia="de-DE"/>
        </w:rPr>
        <w:t xml:space="preserve">number of fixations per minute </w:t>
      </w:r>
      <w:r w:rsidR="00021863">
        <w:rPr>
          <w:rFonts w:ascii="Times New Roman" w:hAnsi="Times New Roman" w:cs="Times New Roman"/>
          <w:sz w:val="24"/>
          <w:szCs w:val="24"/>
          <w:lang w:eastAsia="de-DE"/>
        </w:rPr>
        <w:t xml:space="preserve">on </w:t>
      </w:r>
      <w:r w:rsidRPr="00621921">
        <w:rPr>
          <w:rFonts w:ascii="Times New Roman" w:hAnsi="Times New Roman" w:cs="Times New Roman"/>
          <w:sz w:val="24"/>
          <w:szCs w:val="24"/>
          <w:lang w:eastAsia="de-DE"/>
        </w:rPr>
        <w:t xml:space="preserve">the AOI </w:t>
      </w:r>
      <w:r w:rsidRPr="00621921">
        <w:rPr>
          <w:rFonts w:ascii="Times New Roman" w:hAnsi="Times New Roman" w:cs="Times New Roman"/>
          <w:i/>
          <w:iCs/>
          <w:sz w:val="24"/>
          <w:szCs w:val="24"/>
          <w:lang w:eastAsia="de-DE"/>
        </w:rPr>
        <w:t>Students</w:t>
      </w:r>
      <w:r w:rsidR="000A08B4">
        <w:rPr>
          <w:rFonts w:ascii="Times New Roman" w:hAnsi="Times New Roman" w:cs="Times New Roman"/>
          <w:i/>
          <w:iCs/>
          <w:sz w:val="24"/>
          <w:szCs w:val="24"/>
          <w:lang w:eastAsia="de-DE"/>
        </w:rPr>
        <w:t xml:space="preserve"> </w:t>
      </w:r>
      <w:r w:rsidR="00021863">
        <w:rPr>
          <w:rFonts w:ascii="Times New Roman" w:hAnsi="Times New Roman" w:cs="Times New Roman"/>
          <w:sz w:val="24"/>
          <w:szCs w:val="24"/>
          <w:lang w:eastAsia="de-DE"/>
        </w:rPr>
        <w:t>(</w:t>
      </w:r>
      <w:r w:rsidR="00021863" w:rsidRPr="00021863">
        <w:rPr>
          <w:rFonts w:ascii="Times New Roman" w:hAnsi="Times New Roman" w:cs="Times New Roman"/>
          <w:b/>
          <w:bCs/>
          <w:sz w:val="24"/>
          <w:szCs w:val="24"/>
          <w:lang w:eastAsia="de-DE"/>
        </w:rPr>
        <w:t>Hypothesis 2b</w:t>
      </w:r>
      <w:r w:rsidR="00021863">
        <w:rPr>
          <w:rFonts w:ascii="Times New Roman" w:hAnsi="Times New Roman" w:cs="Times New Roman"/>
          <w:sz w:val="24"/>
          <w:szCs w:val="24"/>
          <w:lang w:eastAsia="de-DE"/>
        </w:rPr>
        <w:t xml:space="preserve">), </w:t>
      </w:r>
      <w:r w:rsidR="000A08B4" w:rsidRPr="00872F86">
        <w:rPr>
          <w:rFonts w:ascii="Times New Roman" w:hAnsi="Times New Roman" w:cs="Times New Roman"/>
          <w:sz w:val="24"/>
          <w:szCs w:val="24"/>
          <w:lang w:eastAsia="de-DE"/>
        </w:rPr>
        <w:t xml:space="preserve">and </w:t>
      </w:r>
      <w:r w:rsidR="005C50B5">
        <w:rPr>
          <w:rFonts w:ascii="Times New Roman" w:hAnsi="Times New Roman" w:cs="Times New Roman"/>
          <w:sz w:val="24"/>
          <w:szCs w:val="24"/>
          <w:lang w:eastAsia="de-DE"/>
        </w:rPr>
        <w:t>the TTFF</w:t>
      </w:r>
      <w:r w:rsidR="00021863">
        <w:rPr>
          <w:rFonts w:ascii="Times New Roman" w:hAnsi="Times New Roman" w:cs="Times New Roman"/>
          <w:sz w:val="24"/>
          <w:szCs w:val="24"/>
          <w:lang w:eastAsia="de-DE"/>
        </w:rPr>
        <w:t xml:space="preserve"> for </w:t>
      </w:r>
      <w:r w:rsidR="000A08B4" w:rsidRPr="00872F86">
        <w:rPr>
          <w:rFonts w:ascii="Times New Roman" w:hAnsi="Times New Roman" w:cs="Times New Roman"/>
          <w:sz w:val="24"/>
          <w:szCs w:val="24"/>
          <w:lang w:eastAsia="de-DE"/>
        </w:rPr>
        <w:t>the AOI</w:t>
      </w:r>
      <w:r w:rsidR="000A08B4">
        <w:rPr>
          <w:rFonts w:ascii="Times New Roman" w:hAnsi="Times New Roman" w:cs="Times New Roman"/>
          <w:i/>
          <w:iCs/>
          <w:sz w:val="24"/>
          <w:szCs w:val="24"/>
          <w:lang w:eastAsia="de-DE"/>
        </w:rPr>
        <w:t xml:space="preserve"> Disruptive </w:t>
      </w:r>
      <w:r w:rsidR="00D86323">
        <w:rPr>
          <w:rFonts w:ascii="Times New Roman" w:hAnsi="Times New Roman" w:cs="Times New Roman"/>
          <w:i/>
          <w:iCs/>
          <w:sz w:val="24"/>
          <w:szCs w:val="24"/>
          <w:lang w:eastAsia="de-DE"/>
        </w:rPr>
        <w:t>Student</w:t>
      </w:r>
      <w:r w:rsidR="00021863">
        <w:rPr>
          <w:rFonts w:ascii="Times New Roman" w:hAnsi="Times New Roman" w:cs="Times New Roman"/>
          <w:i/>
          <w:iCs/>
          <w:sz w:val="24"/>
          <w:szCs w:val="24"/>
          <w:lang w:eastAsia="de-DE"/>
        </w:rPr>
        <w:t xml:space="preserve"> </w:t>
      </w:r>
      <w:r w:rsidR="005C50B5">
        <w:rPr>
          <w:rFonts w:ascii="Times New Roman" w:hAnsi="Times New Roman" w:cs="Times New Roman"/>
          <w:sz w:val="24"/>
          <w:szCs w:val="24"/>
          <w:lang w:eastAsia="de-DE"/>
        </w:rPr>
        <w:t xml:space="preserve">to </w:t>
      </w:r>
      <w:r w:rsidR="00842B07">
        <w:rPr>
          <w:rFonts w:ascii="Times New Roman" w:hAnsi="Times New Roman" w:cs="Times New Roman"/>
          <w:sz w:val="24"/>
          <w:szCs w:val="24"/>
          <w:lang w:eastAsia="de-DE"/>
        </w:rPr>
        <w:t>assess</w:t>
      </w:r>
      <w:r w:rsidR="005C50B5">
        <w:rPr>
          <w:rFonts w:ascii="Times New Roman" w:hAnsi="Times New Roman" w:cs="Times New Roman"/>
          <w:sz w:val="24"/>
          <w:szCs w:val="24"/>
          <w:lang w:eastAsia="de-DE"/>
        </w:rPr>
        <w:t xml:space="preserve"> the disruption noticing speed </w:t>
      </w:r>
      <w:r w:rsidR="00021863" w:rsidRPr="00021863">
        <w:rPr>
          <w:rFonts w:ascii="Times New Roman" w:hAnsi="Times New Roman" w:cs="Times New Roman"/>
          <w:sz w:val="24"/>
          <w:szCs w:val="24"/>
          <w:lang w:eastAsia="de-DE"/>
        </w:rPr>
        <w:t>(</w:t>
      </w:r>
      <w:r w:rsidR="000475ED" w:rsidRPr="000475ED">
        <w:rPr>
          <w:rFonts w:ascii="Times New Roman" w:hAnsi="Times New Roman" w:cs="Times New Roman"/>
          <w:b/>
          <w:bCs/>
          <w:sz w:val="24"/>
          <w:szCs w:val="24"/>
          <w:lang w:eastAsia="de-DE"/>
        </w:rPr>
        <w:t>Hypothesis 2</w:t>
      </w:r>
      <w:r w:rsidR="005C50B5" w:rsidRPr="000475ED">
        <w:rPr>
          <w:rFonts w:ascii="Times New Roman" w:hAnsi="Times New Roman" w:cs="Times New Roman"/>
          <w:b/>
          <w:bCs/>
          <w:sz w:val="24"/>
          <w:szCs w:val="24"/>
          <w:lang w:eastAsia="de-DE"/>
        </w:rPr>
        <w:t>c</w:t>
      </w:r>
      <w:r w:rsidR="005C50B5">
        <w:rPr>
          <w:rFonts w:ascii="Times New Roman" w:hAnsi="Times New Roman" w:cs="Times New Roman"/>
          <w:sz w:val="24"/>
          <w:szCs w:val="24"/>
          <w:lang w:eastAsia="de-DE"/>
        </w:rPr>
        <w:t>)</w:t>
      </w:r>
      <w:r w:rsidRPr="00621921">
        <w:rPr>
          <w:rFonts w:ascii="Times New Roman" w:hAnsi="Times New Roman" w:cs="Times New Roman"/>
          <w:sz w:val="24"/>
          <w:szCs w:val="24"/>
          <w:lang w:eastAsia="de-DE"/>
        </w:rPr>
        <w:t xml:space="preserve">. Independent-sample </w:t>
      </w:r>
      <w:r w:rsidRPr="00621921">
        <w:rPr>
          <w:rFonts w:ascii="Times New Roman" w:hAnsi="Times New Roman" w:cs="Times New Roman"/>
          <w:i/>
          <w:iCs/>
          <w:sz w:val="24"/>
          <w:szCs w:val="24"/>
          <w:lang w:eastAsia="de-DE"/>
        </w:rPr>
        <w:t>t</w:t>
      </w:r>
      <w:r w:rsidRPr="00621921">
        <w:rPr>
          <w:rFonts w:ascii="Times New Roman" w:hAnsi="Times New Roman" w:cs="Times New Roman"/>
          <w:sz w:val="24"/>
          <w:szCs w:val="24"/>
          <w:lang w:eastAsia="de-DE"/>
        </w:rPr>
        <w:t xml:space="preserve">-tests were used to compare the group means </w:t>
      </w:r>
      <w:r w:rsidR="00021863">
        <w:rPr>
          <w:rFonts w:ascii="Times New Roman" w:hAnsi="Times New Roman" w:cs="Times New Roman"/>
          <w:sz w:val="24"/>
          <w:szCs w:val="24"/>
          <w:lang w:eastAsia="de-DE"/>
        </w:rPr>
        <w:t xml:space="preserve">and </w:t>
      </w:r>
      <w:r w:rsidRPr="00621921">
        <w:rPr>
          <w:rFonts w:ascii="Times New Roman" w:hAnsi="Times New Roman" w:cs="Times New Roman"/>
          <w:sz w:val="24"/>
          <w:szCs w:val="24"/>
          <w:lang w:eastAsia="de-DE"/>
        </w:rPr>
        <w:t xml:space="preserve">Cohen’s </w:t>
      </w:r>
      <w:r w:rsidRPr="00621921">
        <w:rPr>
          <w:rFonts w:ascii="Times New Roman" w:hAnsi="Times New Roman" w:cs="Times New Roman"/>
          <w:i/>
          <w:iCs/>
          <w:sz w:val="24"/>
          <w:szCs w:val="24"/>
          <w:lang w:eastAsia="de-DE"/>
        </w:rPr>
        <w:t>d</w:t>
      </w:r>
      <w:r w:rsidRPr="00621921">
        <w:rPr>
          <w:rFonts w:ascii="Times New Roman" w:hAnsi="Times New Roman" w:cs="Times New Roman"/>
          <w:sz w:val="24"/>
          <w:szCs w:val="24"/>
          <w:lang w:eastAsia="de-DE"/>
        </w:rPr>
        <w:t xml:space="preserve"> </w:t>
      </w:r>
      <w:r w:rsidR="00E14699">
        <w:rPr>
          <w:rFonts w:ascii="Times New Roman" w:hAnsi="Times New Roman" w:cs="Times New Roman"/>
          <w:sz w:val="24"/>
          <w:szCs w:val="24"/>
          <w:lang w:eastAsia="de-DE"/>
        </w:rPr>
        <w:fldChar w:fldCharType="begin"/>
      </w:r>
      <w:r w:rsidR="00E14699">
        <w:rPr>
          <w:rFonts w:ascii="Times New Roman" w:hAnsi="Times New Roman" w:cs="Times New Roman"/>
          <w:sz w:val="24"/>
          <w:szCs w:val="24"/>
          <w:lang w:eastAsia="de-DE"/>
        </w:rPr>
        <w:instrText xml:space="preserve"> ADDIN ZOTERO_ITEM CSL_CITATION {"citationID":"33AqOs5i","properties":{"formattedCitation":"(Cohen,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E14699">
        <w:rPr>
          <w:rFonts w:ascii="Times New Roman" w:hAnsi="Times New Roman" w:cs="Times New Roman"/>
          <w:sz w:val="24"/>
          <w:szCs w:val="24"/>
          <w:lang w:eastAsia="de-DE"/>
        </w:rPr>
        <w:fldChar w:fldCharType="separate"/>
      </w:r>
      <w:r w:rsidR="00E14699" w:rsidRPr="00E14699">
        <w:rPr>
          <w:rFonts w:ascii="Times New Roman" w:hAnsi="Times New Roman" w:cs="Times New Roman"/>
          <w:sz w:val="24"/>
        </w:rPr>
        <w:t>(Cohen, 1988)</w:t>
      </w:r>
      <w:r w:rsidR="00E14699">
        <w:rPr>
          <w:rFonts w:ascii="Times New Roman" w:hAnsi="Times New Roman" w:cs="Times New Roman"/>
          <w:sz w:val="24"/>
          <w:szCs w:val="24"/>
          <w:lang w:eastAsia="de-DE"/>
        </w:rPr>
        <w:fldChar w:fldCharType="end"/>
      </w:r>
      <w:r w:rsidR="00E14699">
        <w:rPr>
          <w:rFonts w:ascii="Times New Roman" w:hAnsi="Times New Roman" w:cs="Times New Roman"/>
          <w:sz w:val="24"/>
          <w:szCs w:val="24"/>
          <w:lang w:eastAsia="de-DE"/>
        </w:rPr>
        <w:t xml:space="preserve"> </w:t>
      </w:r>
      <w:r w:rsidRPr="00621921">
        <w:rPr>
          <w:rFonts w:ascii="Times New Roman" w:hAnsi="Times New Roman" w:cs="Times New Roman"/>
          <w:sz w:val="24"/>
          <w:szCs w:val="24"/>
          <w:lang w:eastAsia="de-DE"/>
        </w:rPr>
        <w:t>was calculated to determine the effect size.</w:t>
      </w:r>
      <w:r w:rsidR="001D772A">
        <w:rPr>
          <w:rFonts w:ascii="Times New Roman" w:hAnsi="Times New Roman" w:cs="Times New Roman"/>
          <w:sz w:val="24"/>
          <w:szCs w:val="24"/>
          <w:lang w:eastAsia="de-DE"/>
        </w:rPr>
        <w:t xml:space="preserve"> </w:t>
      </w:r>
    </w:p>
    <w:p w14:paraId="2EA491BA" w14:textId="4B05D676" w:rsidR="00A86D8F" w:rsidRDefault="00D0376F" w:rsidP="00A86D8F">
      <w:pPr>
        <w:rPr>
          <w:rFonts w:ascii="Times New Roman" w:hAnsi="Times New Roman" w:cs="Times New Roman"/>
          <w:sz w:val="24"/>
          <w:szCs w:val="24"/>
          <w:lang w:eastAsia="de-DE"/>
        </w:rPr>
      </w:pPr>
      <w:r w:rsidRPr="00D0376F">
        <w:rPr>
          <w:rFonts w:ascii="Times New Roman" w:hAnsi="Times New Roman" w:cs="Times New Roman"/>
          <w:sz w:val="24"/>
          <w:szCs w:val="24"/>
          <w:lang w:eastAsia="de-DE"/>
        </w:rPr>
        <w:t xml:space="preserve">To test </w:t>
      </w:r>
      <w:r w:rsidRPr="007512E8">
        <w:rPr>
          <w:rFonts w:ascii="Times New Roman" w:hAnsi="Times New Roman" w:cs="Times New Roman"/>
          <w:b/>
          <w:bCs/>
          <w:sz w:val="24"/>
          <w:szCs w:val="24"/>
          <w:lang w:eastAsia="de-DE"/>
        </w:rPr>
        <w:t>Hypothesis 3</w:t>
      </w:r>
      <w:r w:rsidRPr="00D0376F">
        <w:rPr>
          <w:rFonts w:ascii="Times New Roman" w:hAnsi="Times New Roman" w:cs="Times New Roman"/>
          <w:sz w:val="24"/>
          <w:szCs w:val="24"/>
          <w:lang w:eastAsia="de-DE"/>
        </w:rPr>
        <w:t xml:space="preserve">, which </w:t>
      </w:r>
      <w:r w:rsidR="007512E8">
        <w:rPr>
          <w:rFonts w:ascii="Times New Roman" w:hAnsi="Times New Roman" w:cs="Times New Roman"/>
          <w:sz w:val="24"/>
          <w:szCs w:val="24"/>
          <w:lang w:eastAsia="de-DE"/>
        </w:rPr>
        <w:t>stated</w:t>
      </w:r>
      <w:r w:rsidRPr="00D0376F">
        <w:rPr>
          <w:rFonts w:ascii="Times New Roman" w:hAnsi="Times New Roman" w:cs="Times New Roman"/>
          <w:sz w:val="24"/>
          <w:szCs w:val="24"/>
          <w:lang w:eastAsia="de-DE"/>
        </w:rPr>
        <w:t xml:space="preserve"> that </w:t>
      </w:r>
      <w:r w:rsidR="004926CF">
        <w:rPr>
          <w:rFonts w:ascii="Times New Roman" w:hAnsi="Times New Roman" w:cs="Times New Roman"/>
          <w:sz w:val="24"/>
          <w:szCs w:val="24"/>
          <w:lang w:eastAsia="de-DE"/>
        </w:rPr>
        <w:t xml:space="preserve">the </w:t>
      </w:r>
      <w:r w:rsidRPr="00D0376F">
        <w:rPr>
          <w:rFonts w:ascii="Times New Roman" w:hAnsi="Times New Roman" w:cs="Times New Roman"/>
          <w:sz w:val="24"/>
          <w:szCs w:val="24"/>
          <w:lang w:eastAsia="de-DE"/>
        </w:rPr>
        <w:t>disruption category affects teachers’ noticing speed, a 2 × 3 repeated-measures A</w:t>
      </w:r>
      <w:r w:rsidR="007512E8">
        <w:rPr>
          <w:rFonts w:ascii="Times New Roman" w:hAnsi="Times New Roman" w:cs="Times New Roman"/>
          <w:sz w:val="24"/>
          <w:szCs w:val="24"/>
          <w:lang w:eastAsia="de-DE"/>
        </w:rPr>
        <w:t>nalysis of Variance</w:t>
      </w:r>
      <w:r w:rsidRPr="00D0376F">
        <w:rPr>
          <w:rFonts w:ascii="Times New Roman" w:hAnsi="Times New Roman" w:cs="Times New Roman"/>
          <w:sz w:val="24"/>
          <w:szCs w:val="24"/>
          <w:lang w:eastAsia="de-DE"/>
        </w:rPr>
        <w:t xml:space="preserve"> was conducted. The dependent variable, TTFF</w:t>
      </w:r>
      <w:r w:rsidR="004926CF">
        <w:rPr>
          <w:rFonts w:ascii="Times New Roman" w:hAnsi="Times New Roman" w:cs="Times New Roman"/>
          <w:sz w:val="24"/>
          <w:szCs w:val="24"/>
          <w:lang w:eastAsia="de-DE"/>
        </w:rPr>
        <w:t xml:space="preserve"> (</w:t>
      </w:r>
      <w:r w:rsidR="004926CF" w:rsidRPr="004926CF">
        <w:rPr>
          <w:rFonts w:ascii="Times New Roman" w:hAnsi="Times New Roman" w:cs="Times New Roman"/>
          <w:sz w:val="24"/>
          <w:szCs w:val="24"/>
          <w:lang w:eastAsia="de-DE"/>
        </w:rPr>
        <w:t>representing</w:t>
      </w:r>
      <w:r w:rsidR="004926CF">
        <w:rPr>
          <w:rFonts w:ascii="Times New Roman" w:hAnsi="Times New Roman" w:cs="Times New Roman"/>
          <w:sz w:val="24"/>
          <w:szCs w:val="24"/>
          <w:lang w:eastAsia="de-DE"/>
        </w:rPr>
        <w:t xml:space="preserve"> the</w:t>
      </w:r>
      <w:r w:rsidR="004926CF" w:rsidRPr="004926CF">
        <w:rPr>
          <w:rFonts w:ascii="Times New Roman" w:hAnsi="Times New Roman" w:cs="Times New Roman"/>
          <w:sz w:val="24"/>
          <w:szCs w:val="24"/>
          <w:lang w:eastAsia="de-DE"/>
        </w:rPr>
        <w:t xml:space="preserve"> disruption noticing speed</w:t>
      </w:r>
      <w:r w:rsidR="004926CF">
        <w:rPr>
          <w:rFonts w:ascii="Times New Roman" w:hAnsi="Times New Roman" w:cs="Times New Roman"/>
          <w:sz w:val="24"/>
          <w:szCs w:val="24"/>
          <w:lang w:eastAsia="de-DE"/>
        </w:rPr>
        <w:t>)</w:t>
      </w:r>
      <w:r w:rsidRPr="00D0376F">
        <w:rPr>
          <w:rFonts w:ascii="Times New Roman" w:hAnsi="Times New Roman" w:cs="Times New Roman"/>
          <w:sz w:val="24"/>
          <w:szCs w:val="24"/>
          <w:lang w:eastAsia="de-DE"/>
        </w:rPr>
        <w:t xml:space="preserve">,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w:t>
      </w:r>
      <w:r w:rsidRPr="00D0376F">
        <w:rPr>
          <w:rFonts w:ascii="Times New Roman" w:hAnsi="Times New Roman" w:cs="Times New Roman"/>
          <w:sz w:val="24"/>
          <w:szCs w:val="24"/>
          <w:lang w:eastAsia="de-DE"/>
        </w:rPr>
        <w:lastRenderedPageBreak/>
        <w:t>of disruption category (</w:t>
      </w:r>
      <w:r w:rsidRPr="007A66C6">
        <w:rPr>
          <w:rFonts w:ascii="Times New Roman" w:hAnsi="Times New Roman" w:cs="Times New Roman"/>
          <w:b/>
          <w:bCs/>
          <w:sz w:val="24"/>
          <w:szCs w:val="24"/>
          <w:lang w:eastAsia="de-DE"/>
        </w:rPr>
        <w:t>Hypothesis 3a</w:t>
      </w:r>
      <w:r w:rsidRPr="00D0376F">
        <w:rPr>
          <w:rFonts w:ascii="Times New Roman" w:hAnsi="Times New Roman" w:cs="Times New Roman"/>
          <w:sz w:val="24"/>
          <w:szCs w:val="24"/>
          <w:lang w:eastAsia="de-DE"/>
        </w:rPr>
        <w:t>) and expertise (</w:t>
      </w:r>
      <w:r w:rsidRPr="007A66C6">
        <w:rPr>
          <w:rFonts w:ascii="Times New Roman" w:hAnsi="Times New Roman" w:cs="Times New Roman"/>
          <w:b/>
          <w:bCs/>
          <w:sz w:val="24"/>
          <w:szCs w:val="24"/>
          <w:lang w:eastAsia="de-DE"/>
        </w:rPr>
        <w:t>Hypothesis</w:t>
      </w:r>
      <w:r w:rsidRPr="00D0376F">
        <w:rPr>
          <w:rFonts w:ascii="Times New Roman" w:hAnsi="Times New Roman" w:cs="Times New Roman"/>
          <w:sz w:val="24"/>
          <w:szCs w:val="24"/>
          <w:lang w:eastAsia="de-DE"/>
        </w:rPr>
        <w:t xml:space="preserve"> </w:t>
      </w:r>
      <w:r w:rsidRPr="007A66C6">
        <w:rPr>
          <w:rFonts w:ascii="Times New Roman" w:hAnsi="Times New Roman" w:cs="Times New Roman"/>
          <w:b/>
          <w:bCs/>
          <w:sz w:val="24"/>
          <w:szCs w:val="24"/>
          <w:lang w:eastAsia="de-DE"/>
        </w:rPr>
        <w:t>3b</w:t>
      </w:r>
      <w:r w:rsidRPr="00D0376F">
        <w:rPr>
          <w:rFonts w:ascii="Times New Roman" w:hAnsi="Times New Roman" w:cs="Times New Roman"/>
          <w:sz w:val="24"/>
          <w:szCs w:val="24"/>
          <w:lang w:eastAsia="de-DE"/>
        </w:rPr>
        <w:t>), as well as their interaction (</w:t>
      </w:r>
      <w:r w:rsidRPr="007A66C6">
        <w:rPr>
          <w:rFonts w:ascii="Times New Roman" w:hAnsi="Times New Roman" w:cs="Times New Roman"/>
          <w:b/>
          <w:bCs/>
          <w:sz w:val="24"/>
          <w:szCs w:val="24"/>
          <w:lang w:eastAsia="de-DE"/>
        </w:rPr>
        <w:t>Hypothesis 3c</w:t>
      </w:r>
      <w:r w:rsidRPr="00D0376F">
        <w:rPr>
          <w:rFonts w:ascii="Times New Roman" w:hAnsi="Times New Roman" w:cs="Times New Roman"/>
          <w:sz w:val="24"/>
          <w:szCs w:val="24"/>
          <w:lang w:eastAsia="de-DE"/>
        </w:rPr>
        <w:t>). Generalized eta-squared (</w:t>
      </w:r>
      <w:r w:rsidRPr="00D0376F">
        <w:rPr>
          <w:rFonts w:ascii="Times New Roman" w:hAnsi="Times New Roman" w:cs="Times New Roman"/>
          <w:i/>
          <w:iCs/>
          <w:sz w:val="24"/>
          <w:szCs w:val="24"/>
          <w:lang w:eastAsia="de-DE"/>
        </w:rPr>
        <w:t>η²</w:t>
      </w:r>
      <w:r w:rsidRPr="00D0376F">
        <w:rPr>
          <w:rFonts w:ascii="Times New Roman" w:hAnsi="Times New Roman" w:cs="Times New Roman"/>
          <w:sz w:val="24"/>
          <w:szCs w:val="24"/>
          <w:lang w:eastAsia="de-DE"/>
        </w:rPr>
        <w:t xml:space="preserve">) quantified effect sizes and Bonferroni-adjusted post-hoc comparisons were conducted for significant effects. Cohen’s </w:t>
      </w:r>
      <w:r w:rsidRPr="00D0376F">
        <w:rPr>
          <w:rFonts w:ascii="Times New Roman" w:hAnsi="Times New Roman" w:cs="Times New Roman"/>
          <w:i/>
          <w:iCs/>
          <w:sz w:val="24"/>
          <w:szCs w:val="24"/>
          <w:lang w:eastAsia="de-DE"/>
        </w:rPr>
        <w:t>d</w:t>
      </w:r>
      <w:r w:rsidRPr="00D0376F">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fldChar w:fldCharType="begin"/>
      </w:r>
      <w:r>
        <w:rPr>
          <w:rFonts w:ascii="Times New Roman" w:hAnsi="Times New Roman" w:cs="Times New Roman"/>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Pr>
          <w:rFonts w:ascii="Times New Roman" w:hAnsi="Times New Roman" w:cs="Times New Roman"/>
          <w:sz w:val="24"/>
          <w:szCs w:val="24"/>
          <w:lang w:eastAsia="de-DE"/>
        </w:rPr>
        <w:fldChar w:fldCharType="separate"/>
      </w:r>
      <w:r w:rsidRPr="00D0376F">
        <w:rPr>
          <w:rFonts w:ascii="Times New Roman" w:hAnsi="Times New Roman" w:cs="Times New Roman"/>
          <w:sz w:val="24"/>
        </w:rPr>
        <w:t>(Cohen, 1988)</w:t>
      </w:r>
      <w:r>
        <w:rPr>
          <w:rFonts w:ascii="Times New Roman" w:hAnsi="Times New Roman" w:cs="Times New Roman"/>
          <w:sz w:val="24"/>
          <w:szCs w:val="24"/>
          <w:lang w:eastAsia="de-DE"/>
        </w:rPr>
        <w:fldChar w:fldCharType="end"/>
      </w:r>
      <w:r w:rsidRPr="00D0376F">
        <w:rPr>
          <w:rFonts w:ascii="Times New Roman" w:hAnsi="Times New Roman" w:cs="Times New Roman"/>
          <w:sz w:val="24"/>
          <w:szCs w:val="24"/>
          <w:lang w:eastAsia="de-DE"/>
        </w:rPr>
        <w:t xml:space="preserve"> was calculated for effect size estimation.</w:t>
      </w:r>
    </w:p>
    <w:p w14:paraId="603D26FE" w14:textId="2D19B81D" w:rsidR="00C0440E" w:rsidRDefault="00AB5199" w:rsidP="00A86D8F">
      <w:pPr>
        <w:rPr>
          <w:rFonts w:ascii="Times New Roman" w:hAnsi="Times New Roman" w:cs="Times New Roman"/>
          <w:sz w:val="24"/>
          <w:szCs w:val="24"/>
          <w:lang w:eastAsia="de-DE"/>
        </w:rPr>
      </w:pPr>
      <w:r w:rsidRPr="00AB5199">
        <w:rPr>
          <w:rFonts w:ascii="Times New Roman" w:hAnsi="Times New Roman" w:cs="Times New Roman"/>
          <w:sz w:val="24"/>
          <w:szCs w:val="24"/>
          <w:lang w:eastAsia="de-DE"/>
        </w:rPr>
        <w:t>To examine differences in conventional classroom management measures between experienced and inexperienced teachers</w:t>
      </w:r>
      <w:r>
        <w:rPr>
          <w:rFonts w:ascii="Times New Roman" w:hAnsi="Times New Roman" w:cs="Times New Roman"/>
          <w:sz w:val="24"/>
          <w:szCs w:val="24"/>
          <w:lang w:eastAsia="de-DE"/>
        </w:rPr>
        <w:t xml:space="preserve"> (</w:t>
      </w:r>
      <w:r w:rsidRPr="00EB16E6">
        <w:rPr>
          <w:rFonts w:ascii="Times New Roman" w:hAnsi="Times New Roman" w:cs="Times New Roman"/>
          <w:b/>
          <w:bCs/>
          <w:sz w:val="24"/>
          <w:szCs w:val="24"/>
          <w:lang w:eastAsia="de-DE"/>
        </w:rPr>
        <w:t>Hyp</w:t>
      </w:r>
      <w:r w:rsidR="00EB16E6" w:rsidRPr="00EB16E6">
        <w:rPr>
          <w:rFonts w:ascii="Times New Roman" w:hAnsi="Times New Roman" w:cs="Times New Roman"/>
          <w:b/>
          <w:bCs/>
          <w:sz w:val="24"/>
          <w:szCs w:val="24"/>
          <w:lang w:eastAsia="de-DE"/>
        </w:rPr>
        <w:t>othesis 4</w:t>
      </w:r>
      <w:r w:rsidR="00EB16E6">
        <w:rPr>
          <w:rFonts w:ascii="Times New Roman" w:hAnsi="Times New Roman" w:cs="Times New Roman"/>
          <w:sz w:val="24"/>
          <w:szCs w:val="24"/>
          <w:lang w:eastAsia="de-DE"/>
        </w:rPr>
        <w:t>)</w:t>
      </w:r>
      <w:r w:rsidRPr="00AB5199">
        <w:rPr>
          <w:rFonts w:ascii="Times New Roman" w:hAnsi="Times New Roman" w:cs="Times New Roman"/>
          <w:sz w:val="24"/>
          <w:szCs w:val="24"/>
          <w:lang w:eastAsia="de-DE"/>
        </w:rPr>
        <w:t>, independent-sample</w:t>
      </w:r>
      <w:r>
        <w:rPr>
          <w:rFonts w:ascii="Times New Roman" w:hAnsi="Times New Roman" w:cs="Times New Roman"/>
          <w:sz w:val="24"/>
          <w:szCs w:val="24"/>
          <w:lang w:eastAsia="de-DE"/>
        </w:rPr>
        <w:t xml:space="preserve"> </w:t>
      </w:r>
      <w:r w:rsidRPr="00AB5199">
        <w:rPr>
          <w:rFonts w:ascii="Times New Roman" w:hAnsi="Times New Roman" w:cs="Times New Roman"/>
          <w:i/>
          <w:iCs/>
          <w:sz w:val="24"/>
          <w:szCs w:val="24"/>
          <w:lang w:eastAsia="de-DE"/>
        </w:rPr>
        <w:t>t</w:t>
      </w:r>
      <w:r w:rsidRPr="00AB5199">
        <w:rPr>
          <w:rFonts w:ascii="Times New Roman" w:hAnsi="Times New Roman" w:cs="Times New Roman"/>
          <w:sz w:val="24"/>
          <w:szCs w:val="24"/>
          <w:lang w:eastAsia="de-DE"/>
        </w:rPr>
        <w:t>-tests were conducted. Mean differences were analyzed for self-evaluations of disruption prevention and management competencies (</w:t>
      </w:r>
      <w:r w:rsidRPr="00EB16E6">
        <w:rPr>
          <w:rFonts w:ascii="Times New Roman" w:hAnsi="Times New Roman" w:cs="Times New Roman"/>
          <w:b/>
          <w:bCs/>
          <w:sz w:val="24"/>
          <w:szCs w:val="24"/>
          <w:lang w:eastAsia="de-DE"/>
        </w:rPr>
        <w:t>Hypothesis 4a</w:t>
      </w:r>
      <w:r w:rsidRPr="00AB5199">
        <w:rPr>
          <w:rFonts w:ascii="Times New Roman" w:hAnsi="Times New Roman" w:cs="Times New Roman"/>
          <w:sz w:val="24"/>
          <w:szCs w:val="24"/>
          <w:lang w:eastAsia="de-DE"/>
        </w:rPr>
        <w:t xml:space="preserve">), </w:t>
      </w:r>
      <w:r w:rsidR="009D4A51">
        <w:rPr>
          <w:rFonts w:ascii="Times New Roman" w:hAnsi="Times New Roman" w:cs="Times New Roman"/>
          <w:sz w:val="24"/>
          <w:szCs w:val="24"/>
          <w:lang w:eastAsia="de-DE"/>
        </w:rPr>
        <w:t xml:space="preserve">ratings of how disruptive </w:t>
      </w:r>
      <w:r w:rsidR="000C5CD2">
        <w:rPr>
          <w:rFonts w:ascii="Times New Roman" w:hAnsi="Times New Roman" w:cs="Times New Roman"/>
          <w:sz w:val="24"/>
          <w:szCs w:val="24"/>
          <w:lang w:eastAsia="de-DE"/>
        </w:rPr>
        <w:t xml:space="preserve">the disruptions were </w:t>
      </w:r>
      <w:r w:rsidRPr="00AB5199">
        <w:rPr>
          <w:rFonts w:ascii="Times New Roman" w:hAnsi="Times New Roman" w:cs="Times New Roman"/>
          <w:sz w:val="24"/>
          <w:szCs w:val="24"/>
          <w:lang w:eastAsia="de-DE"/>
        </w:rPr>
        <w:t>(</w:t>
      </w:r>
      <w:r w:rsidRPr="000C5CD2">
        <w:rPr>
          <w:rFonts w:ascii="Times New Roman" w:hAnsi="Times New Roman" w:cs="Times New Roman"/>
          <w:b/>
          <w:bCs/>
          <w:sz w:val="24"/>
          <w:szCs w:val="24"/>
          <w:lang w:eastAsia="de-DE"/>
        </w:rPr>
        <w:t>Hypothesis 4b</w:t>
      </w:r>
      <w:r w:rsidRPr="00AB5199">
        <w:rPr>
          <w:rFonts w:ascii="Times New Roman" w:hAnsi="Times New Roman" w:cs="Times New Roman"/>
          <w:sz w:val="24"/>
          <w:szCs w:val="24"/>
          <w:lang w:eastAsia="de-DE"/>
        </w:rPr>
        <w:t xml:space="preserve">), </w:t>
      </w:r>
      <w:r w:rsidR="000C5CD2">
        <w:rPr>
          <w:rFonts w:ascii="Times New Roman" w:hAnsi="Times New Roman" w:cs="Times New Roman"/>
          <w:sz w:val="24"/>
          <w:szCs w:val="24"/>
          <w:lang w:eastAsia="de-DE"/>
        </w:rPr>
        <w:t xml:space="preserve">how confident teachers felt </w:t>
      </w:r>
      <w:r w:rsidRPr="00AB5199">
        <w:rPr>
          <w:rFonts w:ascii="Times New Roman" w:hAnsi="Times New Roman" w:cs="Times New Roman"/>
          <w:sz w:val="24"/>
          <w:szCs w:val="24"/>
          <w:lang w:eastAsia="de-DE"/>
        </w:rPr>
        <w:t xml:space="preserve">in handling </w:t>
      </w:r>
      <w:r w:rsidR="000C5CD2">
        <w:rPr>
          <w:rFonts w:ascii="Times New Roman" w:hAnsi="Times New Roman" w:cs="Times New Roman"/>
          <w:sz w:val="24"/>
          <w:szCs w:val="24"/>
          <w:lang w:eastAsia="de-DE"/>
        </w:rPr>
        <w:t>them</w:t>
      </w:r>
      <w:r w:rsidRPr="00AB5199">
        <w:rPr>
          <w:rFonts w:ascii="Times New Roman" w:hAnsi="Times New Roman" w:cs="Times New Roman"/>
          <w:sz w:val="24"/>
          <w:szCs w:val="24"/>
          <w:lang w:eastAsia="de-DE"/>
        </w:rPr>
        <w:t xml:space="preserve"> (</w:t>
      </w:r>
      <w:r w:rsidRPr="000C5CD2">
        <w:rPr>
          <w:rFonts w:ascii="Times New Roman" w:hAnsi="Times New Roman" w:cs="Times New Roman"/>
          <w:b/>
          <w:bCs/>
          <w:sz w:val="24"/>
          <w:szCs w:val="24"/>
          <w:lang w:eastAsia="de-DE"/>
        </w:rPr>
        <w:t>Hypothesis 4c</w:t>
      </w:r>
      <w:r w:rsidRPr="00AB5199">
        <w:rPr>
          <w:rFonts w:ascii="Times New Roman" w:hAnsi="Times New Roman" w:cs="Times New Roman"/>
          <w:sz w:val="24"/>
          <w:szCs w:val="24"/>
          <w:lang w:eastAsia="de-DE"/>
        </w:rPr>
        <w:t xml:space="preserve">), and </w:t>
      </w:r>
      <w:r w:rsidR="000C5CD2">
        <w:rPr>
          <w:rFonts w:ascii="Times New Roman" w:hAnsi="Times New Roman" w:cs="Times New Roman"/>
          <w:sz w:val="24"/>
          <w:szCs w:val="24"/>
          <w:lang w:eastAsia="de-DE"/>
        </w:rPr>
        <w:t xml:space="preserve">their </w:t>
      </w:r>
      <w:r w:rsidRPr="00AB5199">
        <w:rPr>
          <w:rFonts w:ascii="Times New Roman" w:hAnsi="Times New Roman" w:cs="Times New Roman"/>
          <w:sz w:val="24"/>
          <w:szCs w:val="24"/>
          <w:lang w:eastAsia="de-DE"/>
        </w:rPr>
        <w:t>strategic knowledge of classroom management (</w:t>
      </w:r>
      <w:r w:rsidRPr="000C5CD2">
        <w:rPr>
          <w:rFonts w:ascii="Times New Roman" w:hAnsi="Times New Roman" w:cs="Times New Roman"/>
          <w:b/>
          <w:bCs/>
          <w:sz w:val="24"/>
          <w:szCs w:val="24"/>
          <w:lang w:eastAsia="de-DE"/>
        </w:rPr>
        <w:t>Hypothesis 4d</w:t>
      </w:r>
      <w:r w:rsidRPr="00AB5199">
        <w:rPr>
          <w:rFonts w:ascii="Times New Roman" w:hAnsi="Times New Roman" w:cs="Times New Roman"/>
          <w:sz w:val="24"/>
          <w:szCs w:val="24"/>
          <w:lang w:eastAsia="de-DE"/>
        </w:rPr>
        <w:t xml:space="preserve">). For each comparison, </w:t>
      </w:r>
      <w:r w:rsidRPr="000C5CD2">
        <w:rPr>
          <w:rFonts w:ascii="Times New Roman" w:hAnsi="Times New Roman" w:cs="Times New Roman"/>
          <w:sz w:val="24"/>
          <w:szCs w:val="24"/>
          <w:lang w:eastAsia="de-DE"/>
        </w:rPr>
        <w:t xml:space="preserve">Cohen’s </w:t>
      </w:r>
      <w:r w:rsidRPr="000C5CD2">
        <w:rPr>
          <w:rFonts w:ascii="Times New Roman" w:hAnsi="Times New Roman" w:cs="Times New Roman"/>
          <w:i/>
          <w:iCs/>
          <w:sz w:val="24"/>
          <w:szCs w:val="24"/>
          <w:lang w:eastAsia="de-DE"/>
        </w:rPr>
        <w:t>d</w:t>
      </w:r>
      <w:r w:rsidRPr="000C5CD2">
        <w:rPr>
          <w:rFonts w:ascii="Times New Roman" w:hAnsi="Times New Roman" w:cs="Times New Roman"/>
          <w:sz w:val="24"/>
          <w:szCs w:val="24"/>
          <w:lang w:eastAsia="de-DE"/>
        </w:rPr>
        <w:t xml:space="preserve"> </w:t>
      </w:r>
      <w:r w:rsidR="000B3030">
        <w:rPr>
          <w:rFonts w:ascii="Times New Roman" w:hAnsi="Times New Roman" w:cs="Times New Roman"/>
          <w:sz w:val="24"/>
          <w:szCs w:val="24"/>
          <w:lang w:eastAsia="de-DE"/>
        </w:rPr>
        <w:fldChar w:fldCharType="begin"/>
      </w:r>
      <w:r w:rsidR="000B3030">
        <w:rPr>
          <w:rFonts w:ascii="Times New Roman" w:hAnsi="Times New Roman" w:cs="Times New Roman"/>
          <w:sz w:val="24"/>
          <w:szCs w:val="24"/>
          <w:lang w:eastAsia="de-DE"/>
        </w:rPr>
        <w:instrText xml:space="preserve"> ADDIN ZOTERO_ITEM CSL_CITATION {"citationID":"UQovlspK","properties":{"formattedCitation":"(Cohen,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0B3030">
        <w:rPr>
          <w:rFonts w:ascii="Times New Roman" w:hAnsi="Times New Roman" w:cs="Times New Roman"/>
          <w:sz w:val="24"/>
          <w:szCs w:val="24"/>
          <w:lang w:eastAsia="de-DE"/>
        </w:rPr>
        <w:fldChar w:fldCharType="separate"/>
      </w:r>
      <w:r w:rsidR="000B3030" w:rsidRPr="000B3030">
        <w:rPr>
          <w:rFonts w:ascii="Times New Roman" w:hAnsi="Times New Roman" w:cs="Times New Roman"/>
          <w:sz w:val="24"/>
        </w:rPr>
        <w:t>(Cohen, 1988)</w:t>
      </w:r>
      <w:r w:rsidR="000B3030">
        <w:rPr>
          <w:rFonts w:ascii="Times New Roman" w:hAnsi="Times New Roman" w:cs="Times New Roman"/>
          <w:sz w:val="24"/>
          <w:szCs w:val="24"/>
          <w:lang w:eastAsia="de-DE"/>
        </w:rPr>
        <w:fldChar w:fldCharType="end"/>
      </w:r>
      <w:r w:rsidR="000B3030">
        <w:rPr>
          <w:rFonts w:ascii="Times New Roman" w:hAnsi="Times New Roman" w:cs="Times New Roman"/>
          <w:sz w:val="24"/>
          <w:szCs w:val="24"/>
          <w:lang w:eastAsia="de-DE"/>
        </w:rPr>
        <w:t xml:space="preserve"> </w:t>
      </w:r>
      <w:r w:rsidRPr="00AB5199">
        <w:rPr>
          <w:rFonts w:ascii="Times New Roman" w:hAnsi="Times New Roman" w:cs="Times New Roman"/>
          <w:sz w:val="24"/>
          <w:szCs w:val="24"/>
          <w:lang w:eastAsia="de-DE"/>
        </w:rPr>
        <w:t>was calculated.</w:t>
      </w:r>
    </w:p>
    <w:p w14:paraId="15F08121" w14:textId="4EAE43B4" w:rsidR="007512E8" w:rsidRPr="00E51BAE" w:rsidRDefault="00B26347" w:rsidP="00E51BAE">
      <w:pPr>
        <w:rPr>
          <w:rFonts w:ascii="Times New Roman" w:hAnsi="Times New Roman" w:cs="Times New Roman"/>
          <w:sz w:val="24"/>
          <w:szCs w:val="24"/>
          <w:lang w:eastAsia="de-DE"/>
        </w:rPr>
      </w:pPr>
      <w:r w:rsidRPr="00B26347">
        <w:rPr>
          <w:rFonts w:ascii="Times New Roman" w:hAnsi="Times New Roman" w:cs="Times New Roman"/>
          <w:sz w:val="24"/>
          <w:szCs w:val="24"/>
          <w:lang w:eastAsia="de-DE"/>
        </w:rPr>
        <w:t xml:space="preserve">To address the </w:t>
      </w:r>
      <w:r>
        <w:rPr>
          <w:rFonts w:ascii="Times New Roman" w:hAnsi="Times New Roman" w:cs="Times New Roman"/>
          <w:sz w:val="24"/>
          <w:szCs w:val="24"/>
          <w:lang w:eastAsia="de-DE"/>
        </w:rPr>
        <w:t>fifth</w:t>
      </w:r>
      <w:r w:rsidRPr="00B26347">
        <w:rPr>
          <w:rFonts w:ascii="Times New Roman" w:hAnsi="Times New Roman" w:cs="Times New Roman"/>
          <w:sz w:val="24"/>
          <w:szCs w:val="24"/>
          <w:lang w:eastAsia="de-DE"/>
        </w:rPr>
        <w:t xml:space="preserve"> research goal, we analyzed the relationship between </w:t>
      </w:r>
      <w:r w:rsidR="00E00CA2">
        <w:rPr>
          <w:rFonts w:ascii="Times New Roman" w:hAnsi="Times New Roman" w:cs="Times New Roman"/>
          <w:sz w:val="24"/>
          <w:szCs w:val="24"/>
          <w:lang w:eastAsia="de-DE"/>
        </w:rPr>
        <w:t xml:space="preserve">global and event-related </w:t>
      </w:r>
      <w:r w:rsidRPr="00B26347">
        <w:rPr>
          <w:rFonts w:ascii="Times New Roman" w:hAnsi="Times New Roman" w:cs="Times New Roman"/>
          <w:sz w:val="24"/>
          <w:szCs w:val="24"/>
          <w:lang w:eastAsia="de-DE"/>
        </w:rPr>
        <w:t>gaze efficiency</w:t>
      </w:r>
      <w:r w:rsidR="00E00CA2">
        <w:rPr>
          <w:rFonts w:ascii="Times New Roman" w:hAnsi="Times New Roman" w:cs="Times New Roman"/>
          <w:sz w:val="24"/>
          <w:szCs w:val="24"/>
          <w:lang w:eastAsia="de-DE"/>
        </w:rPr>
        <w:t xml:space="preserve"> </w:t>
      </w:r>
      <w:r w:rsidRPr="00B26347">
        <w:rPr>
          <w:rFonts w:ascii="Times New Roman" w:hAnsi="Times New Roman" w:cs="Times New Roman"/>
          <w:sz w:val="24"/>
          <w:szCs w:val="24"/>
          <w:lang w:eastAsia="de-DE"/>
        </w:rPr>
        <w:t xml:space="preserve">and classroom management </w:t>
      </w:r>
      <w:r>
        <w:rPr>
          <w:rFonts w:ascii="Times New Roman" w:hAnsi="Times New Roman" w:cs="Times New Roman"/>
          <w:sz w:val="24"/>
          <w:szCs w:val="24"/>
          <w:lang w:eastAsia="de-DE"/>
        </w:rPr>
        <w:t>measures</w:t>
      </w:r>
      <w:r w:rsidRPr="00B26347">
        <w:rPr>
          <w:rFonts w:ascii="Times New Roman" w:hAnsi="Times New Roman" w:cs="Times New Roman"/>
          <w:sz w:val="24"/>
          <w:szCs w:val="24"/>
          <w:lang w:eastAsia="de-DE"/>
        </w:rPr>
        <w:t xml:space="preserve"> using Pearson correlation coefficients. </w:t>
      </w:r>
      <w:r w:rsidR="00BF7EBC" w:rsidRPr="00BF7EBC">
        <w:rPr>
          <w:rFonts w:ascii="Times New Roman" w:hAnsi="Times New Roman" w:cs="Times New Roman"/>
          <w:sz w:val="24"/>
          <w:szCs w:val="24"/>
          <w:lang w:eastAsia="de-DE"/>
        </w:rPr>
        <w:t>Specifically, we examined correlations between GRI values (</w:t>
      </w:r>
      <w:r w:rsidR="00BF7EBC" w:rsidRPr="00BF7EBC">
        <w:rPr>
          <w:rFonts w:ascii="Times New Roman" w:hAnsi="Times New Roman" w:cs="Times New Roman"/>
          <w:b/>
          <w:bCs/>
          <w:sz w:val="24"/>
          <w:szCs w:val="24"/>
          <w:lang w:eastAsia="de-DE"/>
        </w:rPr>
        <w:t>Hypothesis 5a</w:t>
      </w:r>
      <w:r w:rsidR="00BF7EBC" w:rsidRPr="00BF7EBC">
        <w:rPr>
          <w:rFonts w:ascii="Times New Roman" w:hAnsi="Times New Roman" w:cs="Times New Roman"/>
          <w:sz w:val="24"/>
          <w:szCs w:val="24"/>
          <w:lang w:eastAsia="de-DE"/>
        </w:rPr>
        <w:t>), fixation number per minute on students (</w:t>
      </w:r>
      <w:r w:rsidR="00BF7EBC" w:rsidRPr="00BF7EBC">
        <w:rPr>
          <w:rFonts w:ascii="Times New Roman" w:hAnsi="Times New Roman" w:cs="Times New Roman"/>
          <w:b/>
          <w:bCs/>
          <w:sz w:val="24"/>
          <w:szCs w:val="24"/>
          <w:lang w:eastAsia="de-DE"/>
        </w:rPr>
        <w:t>Hypothesis 5b</w:t>
      </w:r>
      <w:r w:rsidR="00BF7EBC" w:rsidRPr="00BF7EBC">
        <w:rPr>
          <w:rFonts w:ascii="Times New Roman" w:hAnsi="Times New Roman" w:cs="Times New Roman"/>
          <w:sz w:val="24"/>
          <w:szCs w:val="24"/>
          <w:lang w:eastAsia="de-DE"/>
        </w:rPr>
        <w:t>), and disruption noticing speed (</w:t>
      </w:r>
      <w:r w:rsidR="00BF7EBC" w:rsidRPr="00BF7EBC">
        <w:rPr>
          <w:rFonts w:ascii="Times New Roman" w:hAnsi="Times New Roman" w:cs="Times New Roman"/>
          <w:b/>
          <w:bCs/>
          <w:sz w:val="24"/>
          <w:szCs w:val="24"/>
          <w:lang w:eastAsia="de-DE"/>
        </w:rPr>
        <w:t>Hypothesis 5c</w:t>
      </w:r>
      <w:r w:rsidR="00BF7EBC" w:rsidRPr="00BF7EBC">
        <w:rPr>
          <w:rFonts w:ascii="Times New Roman" w:hAnsi="Times New Roman" w:cs="Times New Roman"/>
          <w:sz w:val="24"/>
          <w:szCs w:val="24"/>
          <w:lang w:eastAsia="de-DE"/>
        </w:rPr>
        <w:t xml:space="preserve">) and classroom management measures, including self-evaluations of disruption prevention and management competencies, ratings of how disrupted teachers felt by classroom disruptions, confidence in handling </w:t>
      </w:r>
      <w:r w:rsidR="00BF7EBC">
        <w:rPr>
          <w:rFonts w:ascii="Times New Roman" w:hAnsi="Times New Roman" w:cs="Times New Roman"/>
          <w:sz w:val="24"/>
          <w:szCs w:val="24"/>
          <w:lang w:eastAsia="de-DE"/>
        </w:rPr>
        <w:t>them</w:t>
      </w:r>
      <w:r w:rsidR="00BF7EBC" w:rsidRPr="00BF7EBC">
        <w:rPr>
          <w:rFonts w:ascii="Times New Roman" w:hAnsi="Times New Roman" w:cs="Times New Roman"/>
          <w:sz w:val="24"/>
          <w:szCs w:val="24"/>
          <w:lang w:eastAsia="de-DE"/>
        </w:rPr>
        <w:t xml:space="preserve">, and </w:t>
      </w:r>
      <w:r w:rsidR="00BF7EBC">
        <w:rPr>
          <w:rFonts w:ascii="Times New Roman" w:hAnsi="Times New Roman" w:cs="Times New Roman"/>
          <w:sz w:val="24"/>
          <w:szCs w:val="24"/>
          <w:lang w:eastAsia="de-DE"/>
        </w:rPr>
        <w:t xml:space="preserve">their </w:t>
      </w:r>
      <w:r w:rsidR="00BF7EBC" w:rsidRPr="00BF7EBC">
        <w:rPr>
          <w:rFonts w:ascii="Times New Roman" w:hAnsi="Times New Roman" w:cs="Times New Roman"/>
          <w:sz w:val="24"/>
          <w:szCs w:val="24"/>
          <w:lang w:eastAsia="de-DE"/>
        </w:rPr>
        <w:t xml:space="preserve">strategic knowledge of classroom management. </w:t>
      </w:r>
      <w:r w:rsidR="00095759" w:rsidRPr="00095759">
        <w:rPr>
          <w:rFonts w:ascii="Times New Roman" w:hAnsi="Times New Roman" w:cs="Times New Roman"/>
          <w:sz w:val="24"/>
          <w:szCs w:val="24"/>
          <w:lang w:eastAsia="de-DE"/>
        </w:rPr>
        <w:t xml:space="preserve">Significance was assessed using </w:t>
      </w:r>
      <w:r w:rsidR="00095759" w:rsidRPr="00095759">
        <w:rPr>
          <w:rFonts w:ascii="Times New Roman" w:hAnsi="Times New Roman" w:cs="Times New Roman"/>
          <w:i/>
          <w:iCs/>
          <w:sz w:val="24"/>
          <w:szCs w:val="24"/>
          <w:lang w:eastAsia="de-DE"/>
        </w:rPr>
        <w:t>p</w:t>
      </w:r>
      <w:r w:rsidR="00095759" w:rsidRPr="00095759">
        <w:rPr>
          <w:rFonts w:ascii="Times New Roman" w:hAnsi="Times New Roman" w:cs="Times New Roman"/>
          <w:sz w:val="24"/>
          <w:szCs w:val="24"/>
          <w:lang w:eastAsia="de-DE"/>
        </w:rPr>
        <w:t>-values, and effect sizes were interpreted based on correlation coefficients.</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4A731511"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8D638C">
        <w:rPr>
          <w:rFonts w:ascii="Times New Roman" w:hAnsi="Times New Roman" w:cs="Times New Roman"/>
          <w:sz w:val="24"/>
          <w:szCs w:val="24"/>
          <w:lang w:eastAsia="de-DE"/>
        </w:rPr>
        <w:t>Behavior</w:t>
      </w:r>
      <w:r w:rsidRPr="00D33BE9">
        <w:rPr>
          <w:rFonts w:ascii="Times New Roman" w:hAnsi="Times New Roman" w:cs="Times New Roman"/>
          <w:sz w:val="24"/>
          <w:szCs w:val="24"/>
          <w:lang w:eastAsia="de-DE"/>
        </w:rPr>
        <w:t xml:space="preserve"> Across Areas of Interest</w:t>
      </w:r>
    </w:p>
    <w:p w14:paraId="28E578F2" w14:textId="350E5D64" w:rsidR="00006918" w:rsidRDefault="000000FC"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To investigate </w:t>
      </w:r>
      <w:r w:rsidR="00197DFD">
        <w:rPr>
          <w:rFonts w:ascii="Times New Roman" w:hAnsi="Times New Roman" w:cs="Times New Roman"/>
          <w:sz w:val="24"/>
          <w:szCs w:val="24"/>
          <w:lang w:eastAsia="de-DE"/>
        </w:rPr>
        <w:t xml:space="preserve">teachers’ </w:t>
      </w:r>
      <w:r w:rsidR="00F923BA">
        <w:rPr>
          <w:rFonts w:ascii="Times New Roman" w:hAnsi="Times New Roman" w:cs="Times New Roman"/>
          <w:sz w:val="24"/>
          <w:szCs w:val="24"/>
          <w:lang w:eastAsia="de-DE"/>
        </w:rPr>
        <w:t xml:space="preserve">gaze </w:t>
      </w:r>
      <w:r w:rsidR="007201E5">
        <w:rPr>
          <w:rFonts w:ascii="Times New Roman" w:hAnsi="Times New Roman" w:cs="Times New Roman"/>
          <w:sz w:val="24"/>
          <w:szCs w:val="24"/>
          <w:lang w:eastAsia="de-DE"/>
        </w:rPr>
        <w:t>behavior</w:t>
      </w:r>
      <w:r>
        <w:rPr>
          <w:rFonts w:ascii="Times New Roman" w:hAnsi="Times New Roman" w:cs="Times New Roman"/>
          <w:sz w:val="24"/>
          <w:szCs w:val="24"/>
          <w:lang w:eastAsia="de-DE"/>
        </w:rPr>
        <w:t xml:space="preserve">, we </w:t>
      </w:r>
      <w:r w:rsidR="00197DFD">
        <w:rPr>
          <w:rFonts w:ascii="Times New Roman" w:hAnsi="Times New Roman" w:cs="Times New Roman"/>
          <w:sz w:val="24"/>
          <w:szCs w:val="24"/>
          <w:lang w:eastAsia="de-DE"/>
        </w:rPr>
        <w:t>calculated</w:t>
      </w:r>
      <w:r>
        <w:rPr>
          <w:rFonts w:ascii="Times New Roman" w:hAnsi="Times New Roman" w:cs="Times New Roman"/>
          <w:sz w:val="24"/>
          <w:szCs w:val="24"/>
          <w:lang w:eastAsia="de-DE"/>
        </w:rPr>
        <w:t xml:space="preserve"> t</w:t>
      </w:r>
      <w:r w:rsidR="00F923BA">
        <w:rPr>
          <w:rFonts w:ascii="Times New Roman" w:hAnsi="Times New Roman" w:cs="Times New Roman"/>
          <w:sz w:val="24"/>
          <w:szCs w:val="24"/>
          <w:lang w:eastAsia="de-DE"/>
        </w:rPr>
        <w:t xml:space="preserve">he </w:t>
      </w:r>
      <w:r w:rsidR="00F923BA" w:rsidRPr="00F923BA">
        <w:rPr>
          <w:rFonts w:ascii="Times New Roman" w:hAnsi="Times New Roman" w:cs="Times New Roman"/>
          <w:sz w:val="24"/>
          <w:szCs w:val="24"/>
          <w:lang w:eastAsia="de-DE"/>
        </w:rPr>
        <w:t>percentage of fixation durations directed at each AOI during the micro-teaching unit</w:t>
      </w:r>
      <w:r w:rsidR="00AC5351">
        <w:rPr>
          <w:rFonts w:ascii="Times New Roman" w:hAnsi="Times New Roman" w:cs="Times New Roman"/>
          <w:sz w:val="24"/>
          <w:szCs w:val="24"/>
          <w:lang w:eastAsia="de-DE"/>
        </w:rPr>
        <w:t xml:space="preserve">. </w:t>
      </w:r>
      <w:r w:rsidR="009F0669">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294262B8" w:rsidR="006635AD" w:rsidRPr="00BB59EF" w:rsidRDefault="006635AD" w:rsidP="00BB59EF">
      <w:pPr>
        <w:ind w:firstLine="0"/>
        <w:rPr>
          <w:rFonts w:ascii="Times New Roman" w:hAnsi="Times New Roman" w:cs="Times New Roman"/>
          <w:bCs/>
          <w:i/>
          <w:iCs/>
          <w:sz w:val="24"/>
          <w:szCs w:val="24"/>
          <w:lang w:eastAsia="de-DE"/>
        </w:rPr>
      </w:pPr>
      <w:r w:rsidRPr="00BB59EF">
        <w:rPr>
          <w:rFonts w:ascii="Times New Roman" w:hAnsi="Times New Roman" w:cs="Times New Roman"/>
          <w:bCs/>
          <w:i/>
          <w:iCs/>
          <w:sz w:val="24"/>
          <w:szCs w:val="24"/>
          <w:lang w:eastAsia="de-DE"/>
        </w:rPr>
        <w:t xml:space="preserve">Fixation </w:t>
      </w:r>
      <w:r w:rsidR="00BB59EF">
        <w:rPr>
          <w:rFonts w:ascii="Times New Roman" w:hAnsi="Times New Roman" w:cs="Times New Roman"/>
          <w:bCs/>
          <w:i/>
          <w:iCs/>
          <w:sz w:val="24"/>
          <w:szCs w:val="24"/>
          <w:lang w:eastAsia="de-DE"/>
        </w:rPr>
        <w:t>Duration</w:t>
      </w:r>
      <w:r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r w:rsidRPr="00BB59EF">
        <w:rPr>
          <w:rFonts w:ascii="Times New Roman" w:hAnsi="Times New Roman" w:cs="Times New Roman"/>
          <w:bCs/>
          <w:i/>
          <w:iCs/>
          <w:sz w:val="24"/>
          <w:szCs w:val="24"/>
          <w:lang w:eastAsia="de-DE"/>
        </w:rPr>
        <w:t>with 95% Confidence Intervals</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4F018714"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across five AOIs (Students, Teacher Material, Student Desk, Classroom/Others, and Disruptive </w:t>
      </w:r>
      <w:r w:rsidR="00EC6696">
        <w:rPr>
          <w:rFonts w:ascii="Times New Roman" w:hAnsi="Times New Roman" w:cs="Times New Roman"/>
          <w:bCs/>
          <w:iCs/>
          <w:szCs w:val="22"/>
          <w:lang w:eastAsia="de-DE"/>
        </w:rPr>
        <w:t>Student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47120534"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414A49" w:rsidRPr="00AC2C77">
        <w:rPr>
          <w:rFonts w:ascii="Times New Roman" w:hAnsi="Times New Roman" w:cs="Times New Roman"/>
          <w:i/>
          <w:iCs/>
          <w:sz w:val="24"/>
          <w:szCs w:val="24"/>
          <w:lang w:eastAsia="de-DE"/>
        </w:rPr>
        <w:t>Students</w:t>
      </w:r>
      <w:r w:rsidR="007A5442">
        <w:rPr>
          <w:rFonts w:ascii="Times New Roman" w:hAnsi="Times New Roman" w:cs="Times New Roman"/>
          <w:sz w:val="24"/>
          <w:szCs w:val="24"/>
          <w:lang w:eastAsia="de-DE"/>
        </w:rPr>
        <w:t xml:space="preserve">, while the </w:t>
      </w:r>
      <w:r w:rsidR="00414A49" w:rsidRPr="00414A49">
        <w:rPr>
          <w:rFonts w:ascii="Times New Roman" w:hAnsi="Times New Roman" w:cs="Times New Roman"/>
          <w:sz w:val="24"/>
          <w:szCs w:val="24"/>
          <w:lang w:eastAsia="de-DE"/>
        </w:rPr>
        <w:t xml:space="preserve">AOI </w:t>
      </w:r>
      <w:r w:rsidR="00414A49" w:rsidRPr="00AC2C77">
        <w:rPr>
          <w:rFonts w:ascii="Times New Roman" w:hAnsi="Times New Roman" w:cs="Times New Roman"/>
          <w:i/>
          <w:iCs/>
          <w:sz w:val="24"/>
          <w:szCs w:val="24"/>
          <w:lang w:eastAsia="de-DE"/>
        </w:rPr>
        <w:t xml:space="preserve">Disruptive </w:t>
      </w:r>
      <w:r w:rsidR="00591D2D">
        <w:rPr>
          <w:rFonts w:ascii="Times New Roman" w:hAnsi="Times New Roman" w:cs="Times New Roman"/>
          <w:i/>
          <w:iCs/>
          <w:sz w:val="24"/>
          <w:szCs w:val="24"/>
          <w:lang w:eastAsia="de-DE"/>
        </w:rPr>
        <w:t>Student</w:t>
      </w:r>
      <w:r w:rsidR="00414A49" w:rsidRPr="00414A49">
        <w:rPr>
          <w:rFonts w:ascii="Times New Roman" w:hAnsi="Times New Roman" w:cs="Times New Roman"/>
          <w:sz w:val="24"/>
          <w:szCs w:val="24"/>
          <w:lang w:eastAsia="de-DE"/>
        </w:rPr>
        <w:t xml:space="preserve"> received the lowest </w:t>
      </w:r>
      <w:r w:rsidR="003E29BD">
        <w:rPr>
          <w:rFonts w:ascii="Times New Roman" w:hAnsi="Times New Roman" w:cs="Times New Roman"/>
          <w:sz w:val="24"/>
          <w:szCs w:val="24"/>
          <w:lang w:eastAsia="de-DE"/>
        </w:rPr>
        <w:t>values</w:t>
      </w:r>
      <w:r w:rsidR="00414A49" w:rsidRPr="00414A49">
        <w:rPr>
          <w:rFonts w:ascii="Times New Roman" w:hAnsi="Times New Roman" w:cs="Times New Roman"/>
          <w:sz w:val="24"/>
          <w:szCs w:val="24"/>
          <w:lang w:eastAsia="de-DE"/>
        </w:rPr>
        <w:t>.</w:t>
      </w:r>
      <w:r w:rsidR="00414A49">
        <w:rPr>
          <w:rFonts w:ascii="Times New Roman" w:hAnsi="Times New Roman" w:cs="Times New Roman"/>
          <w:sz w:val="24"/>
          <w:szCs w:val="24"/>
          <w:lang w:eastAsia="de-DE"/>
        </w:rPr>
        <w:t xml:space="preserve"> </w:t>
      </w:r>
      <w:r w:rsidR="003E29BD">
        <w:rPr>
          <w:rFonts w:ascii="Times New Roman" w:hAnsi="Times New Roman" w:cs="Times New Roman"/>
          <w:sz w:val="24"/>
          <w:szCs w:val="24"/>
          <w:lang w:eastAsia="de-DE"/>
        </w:rPr>
        <w:t>N</w:t>
      </w:r>
      <w:r w:rsidR="0057203B" w:rsidRPr="00B16D06">
        <w:rPr>
          <w:rFonts w:ascii="Times New Roman" w:hAnsi="Times New Roman" w:cs="Times New Roman"/>
          <w:sz w:val="24"/>
          <w:szCs w:val="24"/>
          <w:lang w:eastAsia="de-DE"/>
        </w:rPr>
        <w:t>o 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inexperienced teachers across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Appendix </w:t>
      </w:r>
      <w:r w:rsidR="00CA2515" w:rsidRPr="00CA2515">
        <w:rPr>
          <w:rFonts w:ascii="Times New Roman" w:hAnsi="Times New Roman" w:cs="Times New Roman"/>
          <w:sz w:val="24"/>
          <w:szCs w:val="24"/>
          <w:lang w:eastAsia="de-DE"/>
        </w:rPr>
        <w:t>C</w:t>
      </w:r>
      <w:r w:rsidR="00E27588" w:rsidRPr="00CA2515">
        <w:rPr>
          <w:rFonts w:ascii="Times New Roman" w:hAnsi="Times New Roman" w:cs="Times New Roman"/>
          <w:sz w:val="24"/>
          <w:szCs w:val="24"/>
          <w:lang w:eastAsia="de-DE"/>
        </w:rPr>
        <w:t xml:space="preserve">, Table </w:t>
      </w:r>
      <w:r w:rsidR="00CA2515" w:rsidRPr="00CA2515">
        <w:rPr>
          <w:rFonts w:ascii="Times New Roman" w:hAnsi="Times New Roman" w:cs="Times New Roman"/>
          <w:sz w:val="24"/>
          <w:szCs w:val="24"/>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214E49D" w:rsidR="008605DF" w:rsidRDefault="0012687D"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 xml:space="preserve">Global and Event-related Gaze </w:t>
      </w:r>
      <w:r w:rsidR="00A07244">
        <w:rPr>
          <w:rFonts w:ascii="Times New Roman" w:hAnsi="Times New Roman" w:cs="Times New Roman"/>
          <w:sz w:val="24"/>
          <w:szCs w:val="24"/>
          <w:lang w:eastAsia="de-DE"/>
        </w:rPr>
        <w:t>Efficiency</w:t>
      </w:r>
      <w:r>
        <w:rPr>
          <w:rFonts w:ascii="Times New Roman" w:hAnsi="Times New Roman" w:cs="Times New Roman"/>
          <w:sz w:val="24"/>
          <w:szCs w:val="24"/>
          <w:lang w:eastAsia="de-DE"/>
        </w:rPr>
        <w:t xml:space="preserve"> </w:t>
      </w:r>
    </w:p>
    <w:p w14:paraId="17C8E6F8" w14:textId="3EBEECC1"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7D4D16">
        <w:rPr>
          <w:rFonts w:ascii="Times New Roman" w:hAnsi="Times New Roman" w:cs="Times New Roman"/>
          <w:sz w:val="24"/>
          <w:szCs w:val="24"/>
          <w:lang w:eastAsia="de-DE"/>
        </w:rPr>
        <w:t xml:space="preserve">global and event-related </w:t>
      </w:r>
      <w:r>
        <w:rPr>
          <w:rFonts w:ascii="Times New Roman" w:hAnsi="Times New Roman" w:cs="Times New Roman"/>
          <w:sz w:val="24"/>
          <w:szCs w:val="24"/>
          <w:lang w:eastAsia="de-DE"/>
        </w:rPr>
        <w:t>gaze efficiency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3" w:name="_Hlk189579835"/>
      <w:r w:rsidRPr="006F5AF4">
        <w:rPr>
          <w:rFonts w:ascii="Times New Roman" w:hAnsi="Times New Roman" w:cs="Times New Roman"/>
          <w:b/>
          <w:sz w:val="24"/>
          <w:szCs w:val="24"/>
          <w:lang w:eastAsia="de-DE"/>
        </w:rPr>
        <w:t>Table 1</w:t>
      </w:r>
    </w:p>
    <w:p w14:paraId="0ACA3206" w14:textId="613E5BA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3640C6" w:rsidRPr="003640C6">
        <w:rPr>
          <w:rFonts w:ascii="Times New Roman" w:hAnsi="Times New Roman" w:cs="Times New Roman"/>
          <w:i/>
          <w:sz w:val="24"/>
          <w:szCs w:val="24"/>
          <w:lang w:eastAsia="de-DE"/>
        </w:rPr>
        <w:t xml:space="preserve">Global </w:t>
      </w:r>
      <w:r w:rsidR="003640C6">
        <w:rPr>
          <w:rFonts w:ascii="Times New Roman" w:hAnsi="Times New Roman" w:cs="Times New Roman"/>
          <w:i/>
          <w:sz w:val="24"/>
          <w:szCs w:val="24"/>
          <w:lang w:eastAsia="de-DE"/>
        </w:rPr>
        <w:t>a</w:t>
      </w:r>
      <w:r w:rsidR="003640C6" w:rsidRPr="003640C6">
        <w:rPr>
          <w:rFonts w:ascii="Times New Roman" w:hAnsi="Times New Roman" w:cs="Times New Roman"/>
          <w:i/>
          <w:sz w:val="24"/>
          <w:szCs w:val="24"/>
          <w:lang w:eastAsia="de-DE"/>
        </w:rPr>
        <w:t>nd Event-</w:t>
      </w:r>
      <w:r w:rsidR="003640C6">
        <w:rPr>
          <w:rFonts w:ascii="Times New Roman" w:hAnsi="Times New Roman" w:cs="Times New Roman"/>
          <w:i/>
          <w:sz w:val="24"/>
          <w:szCs w:val="24"/>
          <w:lang w:eastAsia="de-DE"/>
        </w:rPr>
        <w:t>r</w:t>
      </w:r>
      <w:r w:rsidR="003640C6" w:rsidRPr="003640C6">
        <w:rPr>
          <w:rFonts w:ascii="Times New Roman" w:hAnsi="Times New Roman" w:cs="Times New Roman"/>
          <w:i/>
          <w:sz w:val="24"/>
          <w:szCs w:val="24"/>
          <w:lang w:eastAsia="de-DE"/>
        </w:rPr>
        <w:t>elated Gaze Efficiency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7D445A74" w:rsidR="00B07AB1" w:rsidRDefault="00B07AB1" w:rsidP="00B07AB1">
            <w:pPr>
              <w:spacing w:line="360" w:lineRule="auto"/>
              <w:ind w:firstLine="0"/>
              <w:jc w:val="center"/>
              <w:rPr>
                <w:rFonts w:ascii="Times New Roman" w:hAnsi="Times New Roman" w:cs="Times New Roman"/>
                <w:sz w:val="24"/>
                <w:szCs w:val="24"/>
                <w:lang w:val="de-DE" w:eastAsia="de-DE"/>
              </w:rPr>
            </w:pPr>
            <w:bookmarkStart w:id="4" w:name="_Hlk189575193"/>
            <w:bookmarkEnd w:id="3"/>
            <w:r w:rsidRPr="00211D07">
              <w:rPr>
                <w:rFonts w:ascii="Times New Roman" w:hAnsi="Times New Roman" w:cs="Times New Roman"/>
                <w:sz w:val="24"/>
                <w:szCs w:val="24"/>
                <w:lang w:val="de-DE" w:eastAsia="de-DE"/>
              </w:rPr>
              <w:t xml:space="preserve">Gaze Efficiency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4"/>
    <w:p w14:paraId="7227499B" w14:textId="77777777"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regarding gaze efficiency,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Hypothesis 2a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787D18A4"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Pr="00FE765C">
        <w:rPr>
          <w:rFonts w:ascii="Times New Roman" w:hAnsi="Times New Roman" w:cs="Times New Roman"/>
          <w:i/>
          <w:iCs/>
          <w:sz w:val="24"/>
          <w:szCs w:val="24"/>
          <w:lang w:eastAsia="de-DE"/>
        </w:rPr>
        <w:t>Students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Hypothesis 2b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27591D3F"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in terms of event-related gaze efficiency,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Pr="00FE765C">
        <w:rPr>
          <w:rFonts w:ascii="Times New Roman" w:hAnsi="Times New Roman" w:cs="Times New Roman"/>
          <w:i/>
          <w:iCs/>
          <w:sz w:val="24"/>
          <w:szCs w:val="24"/>
          <w:lang w:eastAsia="de-DE"/>
        </w:rPr>
        <w:t>Disruptive Student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Hypothesis 2c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9D61BD2"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Effect of Disruption Category and Expertise on Disruption Noticing Speed</w:t>
      </w:r>
    </w:p>
    <w:p w14:paraId="5D0D5202" w14:textId="77777777" w:rsidR="007F2CD4" w:rsidRDefault="00A616C4" w:rsidP="007F2CD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A 2 × 3 repeated-measures ANOVA tested </w:t>
      </w:r>
      <w:r w:rsidRPr="00A616C4">
        <w:rPr>
          <w:rFonts w:ascii="Times New Roman" w:hAnsi="Times New Roman" w:cs="Times New Roman"/>
          <w:b/>
          <w:bCs/>
          <w:sz w:val="24"/>
          <w:szCs w:val="24"/>
          <w:lang w:eastAsia="de-DE"/>
        </w:rPr>
        <w:t>Hypothesis 3</w:t>
      </w:r>
      <w:r w:rsidRPr="00A616C4">
        <w:rPr>
          <w:rFonts w:ascii="Times New Roman" w:hAnsi="Times New Roman" w:cs="Times New Roman"/>
          <w:sz w:val="24"/>
          <w:szCs w:val="24"/>
          <w:lang w:eastAsia="de-DE"/>
        </w:rPr>
        <w:t>, examining the effect of disruption category and expertise on log-transformed TTFF</w:t>
      </w:r>
      <w:r w:rsidR="007F2CD4">
        <w:rPr>
          <w:rFonts w:ascii="Times New Roman" w:hAnsi="Times New Roman" w:cs="Times New Roman"/>
          <w:sz w:val="24"/>
          <w:szCs w:val="24"/>
          <w:lang w:eastAsia="de-DE"/>
        </w:rPr>
        <w:t xml:space="preserve">. </w:t>
      </w:r>
    </w:p>
    <w:p w14:paraId="71E74D9A" w14:textId="77777777" w:rsidR="00774B0F" w:rsidRDefault="00774B0F" w:rsidP="00A616C4">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Hypothesis 3a</w:t>
      </w:r>
      <w:r w:rsidRPr="00774B0F">
        <w:rPr>
          <w:rFonts w:ascii="Times New Roman" w:hAnsi="Times New Roman" w:cs="Times New Roman"/>
          <w:sz w:val="24"/>
          <w:szCs w:val="24"/>
          <w:lang w:eastAsia="de-DE"/>
        </w:rPr>
        <w:t xml:space="preserve">, the main effect of disruption category was significant, </w:t>
      </w:r>
      <w:proofErr w:type="gramStart"/>
      <w:r w:rsidRPr="00774B0F">
        <w:rPr>
          <w:rFonts w:ascii="Times New Roman" w:hAnsi="Times New Roman" w:cs="Times New Roman"/>
          <w:i/>
          <w:iCs/>
          <w:sz w:val="24"/>
          <w:szCs w:val="24"/>
          <w:lang w:eastAsia="de-DE"/>
        </w:rPr>
        <w:t>F</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1.94, 141.49) = 68.05,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η²</w:t>
      </w:r>
      <w:r w:rsidRPr="00774B0F">
        <w:rPr>
          <w:rFonts w:ascii="Times New Roman" w:hAnsi="Times New Roman" w:cs="Times New Roman"/>
          <w:sz w:val="24"/>
          <w:szCs w:val="24"/>
          <w:lang w:eastAsia="de-DE"/>
        </w:rPr>
        <w:t xml:space="preserve"> = .34. Post-hoc comparisons revealed that verbal disruptions were detected significantly faster than both physical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6.33,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 and lack of eagerness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11.09,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1.23 (large effect). Additionally, physical disruptions were noticed faster than lack of eagerness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-5.72,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w:t>
      </w:r>
    </w:p>
    <w:p w14:paraId="59C4BDBE" w14:textId="5FE867E9" w:rsidR="00A616C4" w:rsidRP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3b</w:t>
      </w:r>
      <w:r w:rsidRPr="00A616C4">
        <w:rPr>
          <w:rFonts w:ascii="Times New Roman" w:hAnsi="Times New Roman" w:cs="Times New Roman"/>
          <w:sz w:val="24"/>
          <w:szCs w:val="24"/>
          <w:lang w:eastAsia="de-DE"/>
        </w:rPr>
        <w:t xml:space="preserve">, the main effect of expertise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 73) = 0.03,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.86, indicating no difference in noticing speed between experienced and inexperienced teachers.</w:t>
      </w:r>
    </w:p>
    <w:p w14:paraId="6BB01137" w14:textId="790D0BD7" w:rsid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3c</w:t>
      </w:r>
      <w:r w:rsidRPr="00A616C4">
        <w:rPr>
          <w:rFonts w:ascii="Times New Roman" w:hAnsi="Times New Roman" w:cs="Times New Roman"/>
          <w:sz w:val="24"/>
          <w:szCs w:val="24"/>
          <w:lang w:eastAsia="de-DE"/>
        </w:rPr>
        <w:t xml:space="preserve">, the interaction effect between expertise and disruption category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1.94, 141.49) = 1.28,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.28, suggesting that </w:t>
      </w:r>
      <w:r w:rsidR="000C2AA7">
        <w:rPr>
          <w:rFonts w:ascii="Times New Roman" w:hAnsi="Times New Roman" w:cs="Times New Roman"/>
          <w:sz w:val="24"/>
          <w:szCs w:val="24"/>
          <w:lang w:eastAsia="de-DE"/>
        </w:rPr>
        <w:t xml:space="preserve">the </w:t>
      </w:r>
      <w:r w:rsidRPr="00A616C4">
        <w:rPr>
          <w:rFonts w:ascii="Times New Roman" w:hAnsi="Times New Roman" w:cs="Times New Roman"/>
          <w:sz w:val="24"/>
          <w:szCs w:val="24"/>
          <w:lang w:eastAsia="de-DE"/>
        </w:rPr>
        <w:t>disruption category affected both groups similarly.</w:t>
      </w:r>
    </w:p>
    <w:p w14:paraId="5C70A152" w14:textId="0E6824EA" w:rsidR="004727E9" w:rsidRPr="004727E9" w:rsidRDefault="001E45F8" w:rsidP="004727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C5CD44A"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lastRenderedPageBreak/>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presents a summary of the</w:t>
      </w:r>
      <w:r w:rsidR="00500DE2">
        <w:rPr>
          <w:rFonts w:ascii="Times New Roman" w:hAnsi="Times New Roman" w:cs="Times New Roman"/>
          <w:sz w:val="24"/>
          <w:szCs w:val="24"/>
          <w:lang w:eastAsia="de-DE"/>
        </w:rPr>
        <w:t xml:space="preserve"> classroom management</w:t>
      </w:r>
      <w:r w:rsidRPr="004727E9">
        <w:rPr>
          <w:rFonts w:ascii="Times New Roman" w:hAnsi="Times New Roman" w:cs="Times New Roman"/>
          <w:sz w:val="24"/>
          <w:szCs w:val="24"/>
          <w:lang w:eastAsia="de-DE"/>
        </w:rPr>
        <w:t xml:space="preserve"> measures, including group means, standard deviations, </w:t>
      </w:r>
      <w:r w:rsidR="00500DE2">
        <w:rPr>
          <w:rFonts w:ascii="Times New Roman" w:hAnsi="Times New Roman" w:cs="Times New Roman"/>
          <w:sz w:val="24"/>
          <w:szCs w:val="24"/>
          <w:lang w:eastAsia="de-DE"/>
        </w:rPr>
        <w:t xml:space="preserve">range, and </w:t>
      </w:r>
      <w:r w:rsidR="00500DE2" w:rsidRPr="00500DE2">
        <w:rPr>
          <w:rFonts w:ascii="Times New Roman" w:hAnsi="Times New Roman" w:cs="Times New Roman"/>
          <w:sz w:val="24"/>
          <w:szCs w:val="24"/>
          <w:lang w:eastAsia="de-DE"/>
        </w:rPr>
        <w:t xml:space="preserve">internal consistency reliabilities (ω), </w:t>
      </w:r>
      <w:r w:rsidRPr="004727E9">
        <w:rPr>
          <w:rFonts w:ascii="Times New Roman" w:hAnsi="Times New Roman" w:cs="Times New Roman"/>
          <w:sz w:val="24"/>
          <w:szCs w:val="24"/>
          <w:lang w:eastAsia="de-DE"/>
        </w:rPr>
        <w:t xml:space="preserve">for each variable across experienced and inexperienced teachers. </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92"/>
        <w:gridCol w:w="792"/>
        <w:gridCol w:w="792"/>
        <w:gridCol w:w="917"/>
        <w:gridCol w:w="792"/>
        <w:gridCol w:w="792"/>
        <w:gridCol w:w="792"/>
        <w:gridCol w:w="919"/>
        <w:gridCol w:w="1095"/>
      </w:tblGrid>
      <w:tr w:rsidR="00335069" w:rsidRPr="002D6E3B" w14:paraId="2D54D56C" w14:textId="76659301" w:rsidTr="00500DE2">
        <w:trPr>
          <w:trHeight w:val="496"/>
        </w:trPr>
        <w:tc>
          <w:tcPr>
            <w:tcW w:w="896" w:type="pct"/>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1759" w:type="pct"/>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1760" w:type="pct"/>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585" w:type="pct"/>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4727E9">
        <w:trPr>
          <w:trHeight w:val="999"/>
        </w:trPr>
        <w:tc>
          <w:tcPr>
            <w:tcW w:w="896" w:type="pct"/>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423" w:type="pct"/>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423" w:type="pct"/>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423" w:type="pct"/>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490" w:type="pct"/>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423" w:type="pct"/>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423" w:type="pct"/>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423" w:type="pct"/>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491" w:type="pct"/>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585" w:type="pct"/>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4727E9">
        <w:trPr>
          <w:trHeight w:val="305"/>
        </w:trPr>
        <w:tc>
          <w:tcPr>
            <w:tcW w:w="896" w:type="pct"/>
            <w:tcBorders>
              <w:top w:val="single" w:sz="4" w:space="0" w:color="auto"/>
            </w:tcBorders>
            <w:vAlign w:val="center"/>
            <w:hideMark/>
          </w:tcPr>
          <w:p w14:paraId="1D354C08" w14:textId="100B0C9A"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Self-Evaluation</w:t>
            </w:r>
          </w:p>
        </w:tc>
        <w:tc>
          <w:tcPr>
            <w:tcW w:w="423" w:type="pct"/>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423" w:type="pct"/>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423" w:type="pct"/>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490" w:type="pct"/>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423" w:type="pct"/>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423" w:type="pct"/>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423" w:type="pct"/>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491" w:type="pct"/>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585" w:type="pct"/>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4727E9">
        <w:trPr>
          <w:trHeight w:val="305"/>
        </w:trPr>
        <w:tc>
          <w:tcPr>
            <w:tcW w:w="896" w:type="pct"/>
            <w:vAlign w:val="center"/>
            <w:hideMark/>
          </w:tcPr>
          <w:p w14:paraId="76CF9A71" w14:textId="08187F28" w:rsidR="00B323C7" w:rsidRPr="002D6E3B" w:rsidRDefault="00B323C7"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Disruption Rating</w:t>
            </w:r>
          </w:p>
        </w:tc>
        <w:tc>
          <w:tcPr>
            <w:tcW w:w="423" w:type="pct"/>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423" w:type="pct"/>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423" w:type="pct"/>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490" w:type="pct"/>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423" w:type="pct"/>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423" w:type="pct"/>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423" w:type="pct"/>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491" w:type="pct"/>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585" w:type="pct"/>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4727E9">
        <w:trPr>
          <w:trHeight w:val="305"/>
        </w:trPr>
        <w:tc>
          <w:tcPr>
            <w:tcW w:w="896" w:type="pct"/>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423" w:type="pct"/>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423" w:type="pct"/>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423" w:type="pct"/>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490" w:type="pct"/>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423" w:type="pct"/>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423" w:type="pct"/>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423" w:type="pct"/>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491" w:type="pct"/>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585" w:type="pct"/>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4727E9">
        <w:trPr>
          <w:trHeight w:val="305"/>
        </w:trPr>
        <w:tc>
          <w:tcPr>
            <w:tcW w:w="896" w:type="pct"/>
            <w:tcBorders>
              <w:bottom w:val="single" w:sz="4" w:space="0" w:color="auto"/>
            </w:tcBorders>
            <w:vAlign w:val="center"/>
          </w:tcPr>
          <w:p w14:paraId="260088E7" w14:textId="1366529D" w:rsidR="00974C82" w:rsidRPr="00974C82" w:rsidRDefault="00974C82" w:rsidP="00B323C7">
            <w:pPr>
              <w:pStyle w:val="Default"/>
              <w:spacing w:line="360" w:lineRule="auto"/>
              <w:rPr>
                <w:szCs w:val="22"/>
              </w:rPr>
            </w:pPr>
            <w:r w:rsidRPr="00974C82">
              <w:t>Strategic Knowledge Test</w:t>
            </w:r>
          </w:p>
        </w:tc>
        <w:tc>
          <w:tcPr>
            <w:tcW w:w="423" w:type="pct"/>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423" w:type="pct"/>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423" w:type="pct"/>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490" w:type="pct"/>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423" w:type="pct"/>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423" w:type="pct"/>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423" w:type="pct"/>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491" w:type="pct"/>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585" w:type="pct"/>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500DE2">
        <w:trPr>
          <w:trHeight w:val="693"/>
        </w:trPr>
        <w:tc>
          <w:tcPr>
            <w:tcW w:w="5000" w:type="pct"/>
            <w:gridSpan w:val="10"/>
            <w:tcBorders>
              <w:top w:val="single" w:sz="4" w:space="0" w:color="auto"/>
            </w:tcBorders>
            <w:vAlign w:val="bottom"/>
          </w:tcPr>
          <w:p w14:paraId="3919E53C" w14:textId="33971E55"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135116">
              <w:rPr>
                <w:rFonts w:ascii="Times New Roman" w:hAnsi="Times New Roman" w:cs="Times New Roman"/>
                <w:sz w:val="20"/>
                <w:szCs w:val="20"/>
                <w:lang w:eastAsia="de-DE"/>
              </w:rPr>
              <w:t>Self-evaluation</w:t>
            </w:r>
            <w:r w:rsidR="004727E9" w:rsidRPr="00135116">
              <w:rPr>
                <w:rFonts w:ascii="Times New Roman" w:hAnsi="Times New Roman" w:cs="Times New Roman"/>
                <w:sz w:val="20"/>
                <w:szCs w:val="20"/>
                <w:lang w:eastAsia="de-DE"/>
              </w:rPr>
              <w:t xml:space="preserve"> refers to participants’</w:t>
            </w:r>
            <w:r w:rsidR="00CB0532" w:rsidRPr="00135116">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disruption prevention and management competencies. Disruption Rating indicates the extent to which participants judged the behaviors as disruptive, while Confidence Rating measures their confidence in managing these disruptions. The Strategic Knowledge Test measures knowledge of classroom management strategies. </w:t>
            </w:r>
          </w:p>
        </w:tc>
      </w:tr>
    </w:tbl>
    <w:p w14:paraId="16F3582D" w14:textId="7329F827" w:rsidR="005621B9" w:rsidRPr="005621B9" w:rsidRDefault="005621B9" w:rsidP="00CB0532">
      <w:pPr>
        <w:spacing w:before="240"/>
        <w:rPr>
          <w:rFonts w:ascii="Times New Roman" w:hAnsi="Times New Roman" w:cs="Times New Roman"/>
          <w:sz w:val="24"/>
          <w:szCs w:val="24"/>
          <w:lang w:eastAsia="de-DE"/>
        </w:rPr>
      </w:pPr>
      <w:r w:rsidRPr="005621B9">
        <w:rPr>
          <w:rFonts w:ascii="Times New Roman" w:hAnsi="Times New Roman" w:cs="Times New Roman"/>
          <w:sz w:val="24"/>
          <w:szCs w:val="24"/>
          <w:lang w:eastAsia="de-DE"/>
        </w:rPr>
        <w:t xml:space="preserve">The </w:t>
      </w:r>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-test for self-evaluation</w:t>
      </w:r>
      <w:r w:rsidR="00CB0532">
        <w:rPr>
          <w:rFonts w:ascii="Times New Roman" w:hAnsi="Times New Roman" w:cs="Times New Roman"/>
          <w:sz w:val="24"/>
          <w:szCs w:val="24"/>
          <w:lang w:eastAsia="de-DE"/>
        </w:rPr>
        <w:t xml:space="preserve"> of </w:t>
      </w:r>
      <w:r w:rsidR="00CB0532" w:rsidRPr="00CB0532">
        <w:rPr>
          <w:rFonts w:ascii="Times New Roman" w:hAnsi="Times New Roman" w:cs="Times New Roman"/>
          <w:sz w:val="24"/>
          <w:szCs w:val="24"/>
          <w:lang w:eastAsia="de-DE"/>
        </w:rPr>
        <w:t>disruption prevention and management competencies</w:t>
      </w:r>
      <w:r w:rsidRPr="005621B9">
        <w:rPr>
          <w:rFonts w:ascii="Times New Roman" w:hAnsi="Times New Roman" w:cs="Times New Roman"/>
          <w:sz w:val="24"/>
          <w:szCs w:val="24"/>
          <w:lang w:eastAsia="de-DE"/>
        </w:rPr>
        <w:t xml:space="preserve"> </w:t>
      </w:r>
      <w:r w:rsidR="00CB0532">
        <w:rPr>
          <w:rFonts w:ascii="Times New Roman" w:hAnsi="Times New Roman" w:cs="Times New Roman"/>
          <w:sz w:val="24"/>
          <w:szCs w:val="24"/>
          <w:lang w:eastAsia="de-DE"/>
        </w:rPr>
        <w:t>(</w:t>
      </w:r>
      <w:r w:rsidR="00CB0532" w:rsidRPr="00CB0532">
        <w:rPr>
          <w:rFonts w:ascii="Times New Roman" w:hAnsi="Times New Roman" w:cs="Times New Roman"/>
          <w:b/>
          <w:bCs/>
          <w:sz w:val="24"/>
          <w:szCs w:val="24"/>
          <w:lang w:eastAsia="de-DE"/>
        </w:rPr>
        <w:t>Hypothesis 4a</w:t>
      </w:r>
      <w:r w:rsidR="00CB0532">
        <w:rPr>
          <w:rFonts w:ascii="Times New Roman" w:hAnsi="Times New Roman" w:cs="Times New Roman"/>
          <w:sz w:val="24"/>
          <w:szCs w:val="24"/>
          <w:lang w:eastAsia="de-DE"/>
        </w:rPr>
        <w:t xml:space="preserve">) </w:t>
      </w:r>
      <w:r w:rsidRPr="005621B9">
        <w:rPr>
          <w:rFonts w:ascii="Times New Roman" w:hAnsi="Times New Roman" w:cs="Times New Roman"/>
          <w:sz w:val="24"/>
          <w:szCs w:val="24"/>
          <w:lang w:eastAsia="de-DE"/>
        </w:rPr>
        <w:t>revealed a significant difference,</w:t>
      </w:r>
      <w:r w:rsidRPr="005621B9">
        <w:rPr>
          <w:rFonts w:ascii="Times New Roman" w:hAnsi="Times New Roman" w:cs="Times New Roman"/>
          <w:i/>
          <w:iCs/>
          <w:sz w:val="24"/>
          <w:szCs w:val="24"/>
          <w:lang w:eastAsia="de-DE"/>
        </w:rPr>
        <w:t xml:space="preserve">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2.78,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Pr="005621B9">
        <w:rPr>
          <w:rFonts w:ascii="Times New Roman" w:hAnsi="Times New Roman" w:cs="Times New Roman"/>
          <w:sz w:val="24"/>
          <w:szCs w:val="24"/>
          <w:lang w:eastAsia="de-DE"/>
        </w:rPr>
        <w:t xml:space="preserve">, </w:t>
      </w:r>
      <w:r w:rsidRPr="005621B9">
        <w:rPr>
          <w:rFonts w:ascii="Times New Roman" w:hAnsi="Times New Roman" w:cs="Times New Roman"/>
          <w:i/>
          <w:iCs/>
          <w:sz w:val="24"/>
          <w:szCs w:val="24"/>
          <w:lang w:eastAsia="de-DE"/>
        </w:rPr>
        <w:t>d</w:t>
      </w:r>
      <w:r w:rsidRPr="005621B9">
        <w:rPr>
          <w:rFonts w:ascii="Times New Roman" w:hAnsi="Times New Roman" w:cs="Times New Roman"/>
          <w:sz w:val="24"/>
          <w:szCs w:val="24"/>
          <w:lang w:eastAsia="de-DE"/>
        </w:rPr>
        <w:t xml:space="preserve"> = 0.62</w:t>
      </w:r>
      <w:r w:rsidR="00CB0532">
        <w:rPr>
          <w:rFonts w:ascii="Times New Roman" w:hAnsi="Times New Roman" w:cs="Times New Roman"/>
          <w:sz w:val="24"/>
          <w:szCs w:val="24"/>
          <w:lang w:eastAsia="de-DE"/>
        </w:rPr>
        <w:t xml:space="preserve"> (large effect</w:t>
      </w:r>
      <w:r w:rsidRPr="005621B9">
        <w:rPr>
          <w:rFonts w:ascii="Times New Roman" w:hAnsi="Times New Roman" w:cs="Times New Roman"/>
          <w:sz w:val="24"/>
          <w:szCs w:val="24"/>
          <w:lang w:eastAsia="de-DE"/>
        </w:rPr>
        <w:t>).</w:t>
      </w:r>
    </w:p>
    <w:p w14:paraId="2D0FA707" w14:textId="2943908C" w:rsidR="005621B9" w:rsidRPr="005621B9" w:rsidRDefault="00FB2ED5" w:rsidP="00CB0532">
      <w:pPr>
        <w:rPr>
          <w:rFonts w:ascii="Times New Roman" w:hAnsi="Times New Roman" w:cs="Times New Roman"/>
          <w:sz w:val="24"/>
          <w:szCs w:val="24"/>
          <w:lang w:eastAsia="de-DE"/>
        </w:rPr>
      </w:pPr>
      <w:r>
        <w:rPr>
          <w:rFonts w:ascii="Times New Roman" w:hAnsi="Times New Roman" w:cs="Times New Roman"/>
          <w:sz w:val="24"/>
          <w:szCs w:val="24"/>
          <w:lang w:eastAsia="de-DE"/>
        </w:rPr>
        <w:t>Results of the</w:t>
      </w:r>
      <w:r w:rsidR="00CB0532">
        <w:rPr>
          <w:rFonts w:ascii="Times New Roman" w:hAnsi="Times New Roman" w:cs="Times New Roman"/>
          <w:sz w:val="24"/>
          <w:szCs w:val="24"/>
          <w:lang w:eastAsia="de-DE"/>
        </w:rPr>
        <w:t xml:space="preserve"> disruption rating</w:t>
      </w:r>
      <w:r>
        <w:rPr>
          <w:rFonts w:ascii="Times New Roman" w:hAnsi="Times New Roman" w:cs="Times New Roman"/>
          <w:sz w:val="24"/>
          <w:szCs w:val="24"/>
          <w:lang w:eastAsia="de-DE"/>
        </w:rPr>
        <w:t>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4b</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sz w:val="24"/>
          <w:szCs w:val="24"/>
          <w:lang w:eastAsia="de-DE"/>
        </w:rPr>
        <w:t xml:space="preserve">showed a significant difference, </w:t>
      </w:r>
      <w:proofErr w:type="gramStart"/>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w:t>
      </w:r>
      <w:proofErr w:type="gramEnd"/>
      <w:r w:rsidR="005621B9" w:rsidRPr="005621B9">
        <w:rPr>
          <w:rFonts w:ascii="Times New Roman" w:hAnsi="Times New Roman" w:cs="Times New Roman"/>
          <w:sz w:val="24"/>
          <w:szCs w:val="24"/>
          <w:lang w:eastAsia="de-DE"/>
        </w:rPr>
        <w:t xml:space="preserve">80)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 xml:space="preserve">2.57,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0.57</w:t>
      </w:r>
      <w:r w:rsidR="00CB0532">
        <w:rPr>
          <w:rFonts w:ascii="Times New Roman" w:hAnsi="Times New Roman" w:cs="Times New Roman"/>
          <w:sz w:val="24"/>
          <w:szCs w:val="24"/>
          <w:lang w:eastAsia="de-DE"/>
        </w:rPr>
        <w:t xml:space="preserve"> (medium effect</w:t>
      </w:r>
      <w:r w:rsidR="005621B9" w:rsidRPr="005621B9">
        <w:rPr>
          <w:rFonts w:ascii="Times New Roman" w:hAnsi="Times New Roman" w:cs="Times New Roman"/>
          <w:sz w:val="24"/>
          <w:szCs w:val="24"/>
          <w:lang w:eastAsia="de-DE"/>
        </w:rPr>
        <w:t>)</w:t>
      </w:r>
      <w:r>
        <w:rPr>
          <w:rFonts w:ascii="Times New Roman" w:hAnsi="Times New Roman" w:cs="Times New Roman"/>
          <w:sz w:val="24"/>
          <w:szCs w:val="24"/>
          <w:lang w:eastAsia="de-DE"/>
        </w:rPr>
        <w:t>, as well as the c</w:t>
      </w:r>
      <w:r w:rsidRPr="00FB2ED5">
        <w:rPr>
          <w:rFonts w:ascii="Times New Roman" w:hAnsi="Times New Roman" w:cs="Times New Roman"/>
          <w:sz w:val="24"/>
          <w:szCs w:val="24"/>
          <w:lang w:eastAsia="de-DE"/>
        </w:rPr>
        <w:t>onfidence rating</w:t>
      </w:r>
      <w:r>
        <w:rPr>
          <w:rFonts w:ascii="Times New Roman" w:hAnsi="Times New Roman" w:cs="Times New Roman"/>
          <w:sz w:val="24"/>
          <w:szCs w:val="24"/>
          <w:lang w:eastAsia="de-DE"/>
        </w:rPr>
        <w:t>s</w:t>
      </w:r>
      <w:r w:rsidRPr="00FB2ED5">
        <w:rPr>
          <w:rFonts w:ascii="Times New Roman" w:hAnsi="Times New Roman" w:cs="Times New Roman"/>
          <w:sz w:val="24"/>
          <w:szCs w:val="24"/>
          <w:lang w:eastAsia="de-DE"/>
        </w:rPr>
        <w:t xml:space="preserve"> (</w:t>
      </w:r>
      <w:r w:rsidRPr="00FB2ED5">
        <w:rPr>
          <w:rFonts w:ascii="Times New Roman" w:hAnsi="Times New Roman" w:cs="Times New Roman"/>
          <w:b/>
          <w:bCs/>
          <w:sz w:val="24"/>
          <w:szCs w:val="24"/>
          <w:lang w:eastAsia="de-DE"/>
        </w:rPr>
        <w:t>Hypothesis 4c</w:t>
      </w:r>
      <w:r w:rsidRPr="00FB2ED5">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 xml:space="preserve">(80) = 5.63, </w:t>
      </w:r>
      <w:r w:rsidR="005621B9" w:rsidRPr="005621B9">
        <w:rPr>
          <w:rFonts w:ascii="Times New Roman" w:hAnsi="Times New Roman" w:cs="Times New Roman"/>
          <w:i/>
          <w:iCs/>
          <w:sz w:val="24"/>
          <w:szCs w:val="24"/>
          <w:lang w:eastAsia="de-DE"/>
        </w:rPr>
        <w:t>p</w:t>
      </w:r>
      <w:r w:rsidR="005621B9" w:rsidRPr="005621B9">
        <w:rPr>
          <w:rFonts w:ascii="Times New Roman" w:hAnsi="Times New Roman" w:cs="Times New Roman"/>
          <w:sz w:val="24"/>
          <w:szCs w:val="24"/>
          <w:lang w:eastAsia="de-DE"/>
        </w:rPr>
        <w:t xml:space="preserve"> &lt; .0</w:t>
      </w:r>
      <w:r w:rsid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1.24</w:t>
      </w:r>
      <w:r w:rsidR="00CB0532">
        <w:rPr>
          <w:rFonts w:ascii="Times New Roman" w:hAnsi="Times New Roman" w:cs="Times New Roman"/>
          <w:sz w:val="24"/>
          <w:szCs w:val="24"/>
          <w:lang w:eastAsia="de-DE"/>
        </w:rPr>
        <w:t xml:space="preserve"> (large effect</w:t>
      </w:r>
      <w:r w:rsidR="005621B9" w:rsidRPr="005621B9">
        <w:rPr>
          <w:rFonts w:ascii="Times New Roman" w:hAnsi="Times New Roman" w:cs="Times New Roman"/>
          <w:sz w:val="24"/>
          <w:szCs w:val="24"/>
          <w:lang w:eastAsia="de-DE"/>
        </w:rPr>
        <w:t>).</w:t>
      </w:r>
    </w:p>
    <w:p w14:paraId="4C877F66" w14:textId="77DDF646" w:rsidR="005621B9" w:rsidRPr="005621B9" w:rsidRDefault="005621B9" w:rsidP="00CB0532">
      <w:pPr>
        <w:rPr>
          <w:rFonts w:ascii="Times New Roman" w:hAnsi="Times New Roman" w:cs="Times New Roman"/>
          <w:sz w:val="24"/>
          <w:szCs w:val="24"/>
          <w:lang w:eastAsia="de-DE"/>
        </w:rPr>
      </w:pPr>
      <w:r w:rsidRPr="005621B9">
        <w:rPr>
          <w:rFonts w:ascii="Times New Roman" w:hAnsi="Times New Roman" w:cs="Times New Roman"/>
          <w:sz w:val="24"/>
          <w:szCs w:val="24"/>
          <w:lang w:eastAsia="de-DE"/>
        </w:rPr>
        <w:lastRenderedPageBreak/>
        <w:t>The situational judgment test (SJT) scores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4d</w:t>
      </w:r>
      <w:r w:rsidR="00CB0532">
        <w:rPr>
          <w:rFonts w:ascii="Times New Roman" w:hAnsi="Times New Roman" w:cs="Times New Roman"/>
          <w:sz w:val="24"/>
          <w:szCs w:val="24"/>
          <w:lang w:eastAsia="de-DE"/>
        </w:rPr>
        <w:t>)</w:t>
      </w:r>
      <w:r w:rsidRPr="005621B9">
        <w:rPr>
          <w:rFonts w:ascii="Times New Roman" w:hAnsi="Times New Roman" w:cs="Times New Roman"/>
          <w:sz w:val="24"/>
          <w:szCs w:val="24"/>
          <w:lang w:eastAsia="de-DE"/>
        </w:rPr>
        <w:t xml:space="preserve">, assessing strategic knowledge, did not show a significant difference between groups,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1.00, </w:t>
      </w:r>
      <w:r w:rsidRPr="005621B9">
        <w:rPr>
          <w:rFonts w:ascii="Times New Roman" w:hAnsi="Times New Roman" w:cs="Times New Roman"/>
          <w:i/>
          <w:iCs/>
          <w:sz w:val="24"/>
          <w:szCs w:val="24"/>
          <w:lang w:eastAsia="de-DE"/>
        </w:rPr>
        <w:t>p</w:t>
      </w:r>
      <w:r w:rsidRPr="005621B9">
        <w:rPr>
          <w:rFonts w:ascii="Times New Roman" w:hAnsi="Times New Roman" w:cs="Times New Roman"/>
          <w:sz w:val="24"/>
          <w:szCs w:val="24"/>
          <w:lang w:eastAsia="de-DE"/>
        </w:rPr>
        <w:t xml:space="preserve"> = .32.</w:t>
      </w:r>
    </w:p>
    <w:p w14:paraId="61712993" w14:textId="2048E5F7" w:rsidR="00432340" w:rsidRDefault="002625A5" w:rsidP="00432340">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Efficiency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27AAE85C"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able 3 presents Pearson correlation coefficients between the Gaze Relational Index (GRI) as a key gaze efficiency measure and classroom management measures, including self-evaluation of disruption prevention and management competencies, disruption ratings, confidence ratings, and strategic knowledge test scores,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856"/>
        <w:gridCol w:w="856"/>
        <w:gridCol w:w="856"/>
        <w:gridCol w:w="856"/>
        <w:gridCol w:w="856"/>
        <w:gridCol w:w="856"/>
        <w:gridCol w:w="1143"/>
        <w:gridCol w:w="9"/>
      </w:tblGrid>
      <w:tr w:rsidR="00F52740" w:rsidRPr="00F52740" w14:paraId="53D3EB16" w14:textId="77777777" w:rsidTr="00432027">
        <w:trPr>
          <w:gridAfter w:val="1"/>
          <w:wAfter w:w="9" w:type="dxa"/>
          <w:trHeight w:val="527"/>
        </w:trPr>
        <w:tc>
          <w:tcPr>
            <w:tcW w:w="3018" w:type="dxa"/>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856" w:type="dxa"/>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856" w:type="dxa"/>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856" w:type="dxa"/>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856" w:type="dxa"/>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856" w:type="dxa"/>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856" w:type="dxa"/>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1143" w:type="dxa"/>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432027">
        <w:trPr>
          <w:gridAfter w:val="1"/>
          <w:wAfter w:w="9" w:type="dxa"/>
          <w:trHeight w:val="527"/>
        </w:trPr>
        <w:tc>
          <w:tcPr>
            <w:tcW w:w="3018" w:type="dxa"/>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856" w:type="dxa"/>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856" w:type="dxa"/>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856" w:type="dxa"/>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856" w:type="dxa"/>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856" w:type="dxa"/>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856" w:type="dxa"/>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1143" w:type="dxa"/>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432027">
        <w:trPr>
          <w:gridAfter w:val="1"/>
          <w:wAfter w:w="9" w:type="dxa"/>
          <w:trHeight w:val="519"/>
        </w:trPr>
        <w:tc>
          <w:tcPr>
            <w:tcW w:w="3018" w:type="dxa"/>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856" w:type="dxa"/>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856" w:type="dxa"/>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856" w:type="dxa"/>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856" w:type="dxa"/>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856" w:type="dxa"/>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856" w:type="dxa"/>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1143" w:type="dxa"/>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432027">
        <w:trPr>
          <w:gridAfter w:val="1"/>
          <w:wAfter w:w="9" w:type="dxa"/>
          <w:trHeight w:val="783"/>
        </w:trPr>
        <w:tc>
          <w:tcPr>
            <w:tcW w:w="3018" w:type="dxa"/>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856" w:type="dxa"/>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856" w:type="dxa"/>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856" w:type="dxa"/>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856" w:type="dxa"/>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856" w:type="dxa"/>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856" w:type="dxa"/>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1143" w:type="dxa"/>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432027">
        <w:trPr>
          <w:gridAfter w:val="1"/>
          <w:wAfter w:w="9" w:type="dxa"/>
          <w:trHeight w:val="527"/>
        </w:trPr>
        <w:tc>
          <w:tcPr>
            <w:tcW w:w="3018" w:type="dxa"/>
            <w:vAlign w:val="center"/>
          </w:tcPr>
          <w:p w14:paraId="245E531A"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(4) Disruption Rating</w:t>
            </w:r>
          </w:p>
        </w:tc>
        <w:tc>
          <w:tcPr>
            <w:tcW w:w="856" w:type="dxa"/>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856" w:type="dxa"/>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856" w:type="dxa"/>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856" w:type="dxa"/>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856" w:type="dxa"/>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856" w:type="dxa"/>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1143" w:type="dxa"/>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432027">
        <w:trPr>
          <w:gridAfter w:val="1"/>
          <w:wAfter w:w="9" w:type="dxa"/>
          <w:trHeight w:val="519"/>
        </w:trPr>
        <w:tc>
          <w:tcPr>
            <w:tcW w:w="3018" w:type="dxa"/>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856" w:type="dxa"/>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856" w:type="dxa"/>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856" w:type="dxa"/>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856" w:type="dxa"/>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856" w:type="dxa"/>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856" w:type="dxa"/>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1143" w:type="dxa"/>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F52740">
        <w:trPr>
          <w:gridAfter w:val="1"/>
          <w:wAfter w:w="9" w:type="dxa"/>
          <w:trHeight w:val="527"/>
        </w:trPr>
        <w:tc>
          <w:tcPr>
            <w:tcW w:w="3018" w:type="dxa"/>
            <w:vAlign w:val="center"/>
          </w:tcPr>
          <w:p w14:paraId="3231C0C6"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Self-Evaluation</w:t>
            </w:r>
          </w:p>
        </w:tc>
        <w:tc>
          <w:tcPr>
            <w:tcW w:w="856" w:type="dxa"/>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856" w:type="dxa"/>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856" w:type="dxa"/>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856" w:type="dxa"/>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856" w:type="dxa"/>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856" w:type="dxa"/>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1143" w:type="dxa"/>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F52740">
        <w:trPr>
          <w:gridAfter w:val="1"/>
          <w:wAfter w:w="9" w:type="dxa"/>
          <w:trHeight w:val="519"/>
        </w:trPr>
        <w:tc>
          <w:tcPr>
            <w:tcW w:w="3018" w:type="dxa"/>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856" w:type="dxa"/>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856" w:type="dxa"/>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856" w:type="dxa"/>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856" w:type="dxa"/>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856" w:type="dxa"/>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856" w:type="dxa"/>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1143" w:type="dxa"/>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F52740">
        <w:trPr>
          <w:trHeight w:val="2140"/>
        </w:trPr>
        <w:tc>
          <w:tcPr>
            <w:tcW w:w="9306" w:type="dxa"/>
            <w:gridSpan w:val="9"/>
            <w:vAlign w:val="center"/>
          </w:tcPr>
          <w:p w14:paraId="77567B82"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lastRenderedPageBreak/>
              <w:t>Note.</w:t>
            </w:r>
            <w:r w:rsidRPr="00F52740">
              <w:rPr>
                <w:rFonts w:ascii="Times New Roman" w:hAnsi="Times New Roman" w:cs="Times New Roman"/>
                <w:sz w:val="20"/>
                <w:szCs w:val="20"/>
                <w:lang w:eastAsia="de-DE"/>
              </w:rPr>
              <w:t xml:space="preserve"> The table presents Pearson correlation coefficients between gaze efficiency measures (average fixation duration, fixation number per minute, GRI (= Gaze Relational Index), fixation number per minute on AOI </w:t>
            </w:r>
            <w:r w:rsidRPr="00F52740">
              <w:rPr>
                <w:rFonts w:ascii="Times New Roman" w:hAnsi="Times New Roman" w:cs="Times New Roman"/>
                <w:i/>
                <w:iCs/>
                <w:sz w:val="20"/>
                <w:szCs w:val="20"/>
                <w:lang w:eastAsia="de-DE"/>
              </w:rPr>
              <w:t xml:space="preserve">Students, </w:t>
            </w:r>
            <w:r w:rsidRPr="00F52740">
              <w:rPr>
                <w:rFonts w:ascii="Times New Roman" w:hAnsi="Times New Roman" w:cs="Times New Roman"/>
                <w:sz w:val="20"/>
                <w:szCs w:val="20"/>
                <w:lang w:eastAsia="de-DE"/>
              </w:rPr>
              <w:t xml:space="preserve">and TTFF (= log-transformed time to first fixation on AOI </w:t>
            </w:r>
            <w:r w:rsidRPr="00F52740">
              <w:rPr>
                <w:rFonts w:ascii="Times New Roman" w:hAnsi="Times New Roman" w:cs="Times New Roman"/>
                <w:i/>
                <w:iCs/>
                <w:sz w:val="20"/>
                <w:szCs w:val="20"/>
                <w:lang w:eastAsia="de-DE"/>
              </w:rPr>
              <w:t>Disruptive Student</w:t>
            </w:r>
            <w:r w:rsidRPr="00F52740">
              <w:rPr>
                <w:rFonts w:ascii="Times New Roman" w:hAnsi="Times New Roman" w:cs="Times New Roman"/>
                <w:sz w:val="20"/>
                <w:szCs w:val="20"/>
                <w:lang w:eastAsia="de-DE"/>
              </w:rPr>
              <w:t xml:space="preserve">), and classroom management measures (self-evaluation of teachers’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ratings, 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65E79B9A" w14:textId="4BCD2496"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Negative values indicate inverse relationships. </w:t>
            </w:r>
          </w:p>
          <w:p w14:paraId="78920509" w14:textId="6F1DD0FE"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Pr="00F52740">
              <w:rPr>
                <w:rFonts w:ascii="Times New Roman" w:hAnsi="Times New Roman" w:cs="Times New Roman"/>
                <w:i/>
                <w:iCs/>
                <w:sz w:val="20"/>
                <w:szCs w:val="20"/>
                <w:lang w:eastAsia="de-DE"/>
              </w:rPr>
              <w:t>Disruptive Student</w:t>
            </w:r>
            <w:r w:rsidRPr="00F52740">
              <w:rPr>
                <w:rFonts w:ascii="Times New Roman" w:hAnsi="Times New Roman" w:cs="Times New Roman"/>
                <w:sz w:val="20"/>
                <w:szCs w:val="20"/>
                <w:lang w:eastAsia="de-DE"/>
              </w:rPr>
              <w:t xml:space="preserve"> (log-transformed).</w:t>
            </w:r>
          </w:p>
        </w:tc>
      </w:tr>
    </w:tbl>
    <w:p w14:paraId="7E60ACFB" w14:textId="77777777" w:rsidR="00856EB4" w:rsidRDefault="00856EB4" w:rsidP="003F6116">
      <w:pPr>
        <w:rPr>
          <w:rFonts w:ascii="Times New Roman" w:hAnsi="Times New Roman" w:cs="Times New Roman"/>
          <w:sz w:val="24"/>
          <w:szCs w:val="24"/>
          <w:lang w:eastAsia="de-DE"/>
        </w:rPr>
      </w:pPr>
    </w:p>
    <w:p w14:paraId="3E6F623B" w14:textId="08995BBA" w:rsidR="003F6116" w:rsidRPr="003F6116" w:rsidRDefault="003F6116" w:rsidP="003F6116">
      <w:pPr>
        <w:rPr>
          <w:rFonts w:ascii="Times New Roman" w:hAnsi="Times New Roman" w:cs="Times New Roman"/>
          <w:b/>
          <w:bCs/>
          <w:lang w:eastAsia="de-DE"/>
        </w:rPr>
      </w:pPr>
      <w:r w:rsidRPr="00831A49">
        <w:rPr>
          <w:rFonts w:ascii="Times New Roman" w:hAnsi="Times New Roman" w:cs="Times New Roman"/>
          <w:sz w:val="24"/>
          <w:szCs w:val="24"/>
          <w:lang w:eastAsia="de-DE"/>
        </w:rPr>
        <w:t>For inexperienced teachers, GRI was not significantly correlated with classroom management measures. Confidence ratings showed a significant positive correlation with self-evaluation.</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For experienced teachers, GRI was significantly negatively correlated with strategic knowledge test scores</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Confidence ratings were significantly negatively correlated with disruption ratings, and significantly positively correlated with self-evaluation</w:t>
      </w:r>
      <w:r>
        <w:rPr>
          <w:rFonts w:ascii="Times New Roman" w:hAnsi="Times New Roman" w:cs="Times New Roman"/>
          <w:sz w:val="24"/>
          <w:szCs w:val="24"/>
          <w:lang w:eastAsia="de-DE"/>
        </w:rPr>
        <w:t>.</w:t>
      </w:r>
    </w:p>
    <w:p w14:paraId="0AC40330" w14:textId="37480927" w:rsidR="007D3CFC" w:rsidRPr="00077C08" w:rsidRDefault="007D3CFC" w:rsidP="00077C08">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 xml:space="preserve">Beaty-O’Ferrall,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behavioural sciences. </w:t>
      </w:r>
      <w:r w:rsidRPr="000B3030">
        <w:rPr>
          <w:rFonts w:ascii="Times New Roman" w:hAnsi="Times New Roman" w:cs="Times New Roman"/>
          <w:sz w:val="24"/>
          <w:lang w:val="de-DE"/>
        </w:rPr>
        <w:t xml:space="preserve">Hilsdale.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Boucheix, J.-M., Gruber, H., Lehtinen,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Brünken,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Lenske, G., Pham, G., Praetorius, A.-K., &amp; Ade-Thurow,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Mit Sch"ulern klarkommen: Professioneller Umgang mit Unterrichtsst"orungen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Cornelsen-Scriptor.</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lastRenderedPageBreak/>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Onkhar, V., Dodou, D., &amp; de Winter, J. C. F. (2024). Evaluating the Tobii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Tobii AB. (2024). </w:t>
      </w:r>
      <w:r w:rsidRPr="000B3030">
        <w:rPr>
          <w:rFonts w:ascii="Times New Roman" w:hAnsi="Times New Roman" w:cs="Times New Roman"/>
          <w:i/>
          <w:iCs/>
          <w:sz w:val="24"/>
          <w:lang w:val="de-DE"/>
        </w:rPr>
        <w:t>Tobii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CCAF52A" w14:textId="1EFDA621"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1D132D3C"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 xml:space="preserve">Manual of </w:t>
      </w:r>
      <w:proofErr w:type="spellStart"/>
      <w:r w:rsidRPr="00371182">
        <w:rPr>
          <w:rFonts w:ascii="Times New Roman" w:eastAsia="Times New Roman" w:hAnsi="Times New Roman" w:cs="Times New Roman"/>
          <w:color w:val="000000" w:themeColor="text1"/>
          <w:sz w:val="24"/>
          <w:szCs w:val="24"/>
          <w:shd w:val="clear" w:color="auto" w:fill="auto"/>
          <w:lang w:eastAsia="de-DE"/>
        </w:rPr>
        <w:t>Tobii</w:t>
      </w:r>
      <w:proofErr w:type="spellEnd"/>
      <w:r w:rsidRPr="00371182">
        <w:rPr>
          <w:rFonts w:ascii="Times New Roman" w:eastAsia="Times New Roman" w:hAnsi="Times New Roman" w:cs="Times New Roman"/>
          <w:color w:val="000000" w:themeColor="text1"/>
          <w:sz w:val="24"/>
          <w:szCs w:val="24"/>
          <w:shd w:val="clear" w:color="auto" w:fill="auto"/>
          <w:lang w:eastAsia="de-DE"/>
        </w:rPr>
        <w:t xml:space="preserve">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proofErr w:type="spellStart"/>
      <w:r w:rsidRPr="00371182">
        <w:rPr>
          <w:rFonts w:ascii="Times New Roman" w:eastAsia="Times New Roman" w:hAnsi="Times New Roman" w:cs="Times New Roman"/>
          <w:color w:val="000000" w:themeColor="text1"/>
          <w:sz w:val="24"/>
          <w:szCs w:val="24"/>
          <w:shd w:val="clear" w:color="auto" w:fill="auto"/>
          <w:lang w:eastAsia="de-DE"/>
        </w:rPr>
        <w:t>Onkhar</w:t>
      </w:r>
      <w:proofErr w:type="spellEnd"/>
      <w:r w:rsidRPr="00371182">
        <w:rPr>
          <w:rFonts w:ascii="Times New Roman" w:eastAsia="Times New Roman" w:hAnsi="Times New Roman" w:cs="Times New Roman"/>
          <w:color w:val="000000" w:themeColor="text1"/>
          <w:sz w:val="24"/>
          <w:szCs w:val="24"/>
          <w:shd w:val="clear" w:color="auto" w:fill="auto"/>
          <w:lang w:eastAsia="de-DE"/>
        </w:rPr>
        <w:t xml:space="preserve">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w:t>
      </w:r>
      <w:proofErr w:type="spellStart"/>
      <w:r w:rsidR="00A6369F" w:rsidRPr="00A6369F">
        <w:rPr>
          <w:rFonts w:ascii="Times New Roman" w:eastAsia="Calibri" w:hAnsi="Times New Roman" w:cs="Times New Roman"/>
          <w:sz w:val="24"/>
          <w:shd w:val="clear" w:color="auto" w:fill="auto"/>
        </w:rPr>
        <w:t>Tobii</w:t>
      </w:r>
      <w:proofErr w:type="spellEnd"/>
      <w:r w:rsidR="00A6369F" w:rsidRPr="00A6369F">
        <w:rPr>
          <w:rFonts w:ascii="Times New Roman" w:eastAsia="Calibri" w:hAnsi="Times New Roman" w:cs="Times New Roman"/>
          <w:sz w:val="24"/>
          <w:shd w:val="clear" w:color="auto" w:fill="auto"/>
        </w:rPr>
        <w:t xml:space="preserve">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and after each data collection session.</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01F92754" w14:textId="786E41AC"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59346920" w14:textId="77777777" w:rsidR="00447B65" w:rsidRPr="00671016" w:rsidRDefault="00447B65" w:rsidP="007C555E">
      <w:pPr>
        <w:ind w:firstLine="0"/>
        <w:rPr>
          <w:rFonts w:ascii="Times New Roman" w:hAnsi="Times New Roman" w:cs="Times New Roman"/>
          <w:b/>
          <w:bCs/>
          <w:sz w:val="24"/>
          <w:szCs w:val="24"/>
        </w:rPr>
      </w:pPr>
    </w:p>
    <w:p w14:paraId="5455472B" w14:textId="4777EDEA"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lastRenderedPageBreak/>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226BBE0A" w14:textId="77777777" w:rsidR="00D66A46" w:rsidRPr="00B76258" w:rsidRDefault="00D66A46" w:rsidP="007C555E">
      <w:pPr>
        <w:ind w:firstLine="0"/>
        <w:rPr>
          <w:rFonts w:ascii="Times New Roman" w:hAnsi="Times New Roman" w:cs="Times New Roman"/>
          <w:color w:val="DBDBDB" w:themeColor="accent3" w:themeTint="66"/>
          <w:sz w:val="24"/>
          <w:szCs w:val="24"/>
        </w:rPr>
      </w:pPr>
    </w:p>
    <w:p w14:paraId="35A2267A" w14:textId="35B6B400"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lastRenderedPageBreak/>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32460E0" w:rsidR="00CF6D94" w:rsidRPr="00CF6D94" w:rsidRDefault="00CF6D94" w:rsidP="00CF6D94">
      <w:pPr>
        <w:ind w:firstLine="0"/>
        <w:rPr>
          <w:rFonts w:ascii="Times New Roman" w:hAnsi="Times New Roman" w:cs="Times New Roman"/>
          <w:b/>
          <w:iCs/>
          <w:sz w:val="24"/>
          <w:szCs w:val="24"/>
        </w:rPr>
      </w:pPr>
      <w:r w:rsidRPr="00CF6D94">
        <w:rPr>
          <w:rFonts w:ascii="Times New Roman" w:hAnsi="Times New Roman" w:cs="Times New Roman"/>
          <w:b/>
          <w:iCs/>
          <w:sz w:val="24"/>
          <w:szCs w:val="24"/>
        </w:rPr>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lastRenderedPageBreak/>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46E7802F" w14:textId="77777777" w:rsidR="00BA71EF" w:rsidRDefault="00BA71EF" w:rsidP="00FA478F">
      <w:pPr>
        <w:ind w:firstLine="0"/>
        <w:rPr>
          <w:rFonts w:ascii="Times New Roman" w:hAnsi="Times New Roman" w:cs="Times New Roman"/>
          <w:b/>
          <w:bCs/>
          <w:color w:val="000000" w:themeColor="text1"/>
          <w:sz w:val="24"/>
          <w:szCs w:val="24"/>
        </w:rPr>
      </w:pPr>
    </w:p>
    <w:p w14:paraId="2B15FE95" w14:textId="38E75871"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Appendix D</w:t>
      </w:r>
    </w:p>
    <w:p w14:paraId="600A6CF8" w14:textId="6CAAE3B4"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lastRenderedPageBreak/>
        <w:t>Correlation Between Gaze Efficiency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72EE5FE2" w:rsidR="00135116" w:rsidRPr="003F6116" w:rsidRDefault="00135116" w:rsidP="00135116">
      <w:pPr>
        <w:ind w:firstLine="0"/>
        <w:rPr>
          <w:rFonts w:ascii="Times New Roman" w:hAnsi="Times New Roman" w:cs="Times New Roman"/>
          <w:i/>
          <w:iCs/>
          <w:sz w:val="24"/>
          <w:szCs w:val="22"/>
          <w:lang w:eastAsia="de-DE"/>
        </w:rPr>
      </w:pPr>
      <w:commentRangeStart w:id="6"/>
      <w:r w:rsidRPr="003F6116">
        <w:rPr>
          <w:rFonts w:ascii="Times New Roman" w:hAnsi="Times New Roman" w:cs="Times New Roman"/>
          <w:i/>
          <w:iCs/>
          <w:sz w:val="24"/>
          <w:szCs w:val="22"/>
          <w:lang w:eastAsia="de-DE"/>
        </w:rPr>
        <w:t>Correlations Between the Gaze Efficiency Measure and Classroom Management Measures for Experienced and Inexperienced Teachers</w:t>
      </w:r>
      <w:commentRangeEnd w:id="6"/>
      <w:r w:rsidR="00DA16F7">
        <w:rPr>
          <w:rStyle w:val="Kommentarzeichen"/>
        </w:rPr>
        <w:commentReference w:id="6"/>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856"/>
        <w:gridCol w:w="856"/>
        <w:gridCol w:w="856"/>
        <w:gridCol w:w="856"/>
        <w:gridCol w:w="856"/>
        <w:gridCol w:w="856"/>
        <w:gridCol w:w="1143"/>
        <w:gridCol w:w="9"/>
      </w:tblGrid>
      <w:tr w:rsidR="00DD5165" w:rsidRPr="00131A10" w14:paraId="73355CEF" w14:textId="77777777" w:rsidTr="00F52740">
        <w:trPr>
          <w:gridAfter w:val="1"/>
          <w:wAfter w:w="9" w:type="dxa"/>
          <w:trHeight w:val="527"/>
        </w:trPr>
        <w:tc>
          <w:tcPr>
            <w:tcW w:w="3018" w:type="dxa"/>
            <w:tcBorders>
              <w:top w:val="single" w:sz="4" w:space="0" w:color="auto"/>
              <w:bottom w:val="single" w:sz="4" w:space="0" w:color="auto"/>
            </w:tcBorders>
            <w:vAlign w:val="center"/>
          </w:tcPr>
          <w:p w14:paraId="3D5CBCBC" w14:textId="77777777" w:rsidR="00DD5165" w:rsidRPr="008C4CB2" w:rsidRDefault="00DD5165"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856" w:type="dxa"/>
            <w:tcBorders>
              <w:top w:val="single" w:sz="4" w:space="0" w:color="auto"/>
              <w:bottom w:val="single" w:sz="4" w:space="0" w:color="auto"/>
            </w:tcBorders>
            <w:vAlign w:val="center"/>
          </w:tcPr>
          <w:p w14:paraId="17EDE3A5" w14:textId="1246B5B3" w:rsidR="00DD5165" w:rsidRPr="00131A10" w:rsidRDefault="00DD5165"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1</w:t>
            </w:r>
            <w:r w:rsidRPr="00131A10">
              <w:rPr>
                <w:rFonts w:ascii="Times New Roman" w:hAnsi="Times New Roman" w:cs="Times New Roman"/>
                <w:szCs w:val="22"/>
                <w:lang w:eastAsia="de-DE"/>
              </w:rPr>
              <w:t>)</w:t>
            </w:r>
          </w:p>
        </w:tc>
        <w:tc>
          <w:tcPr>
            <w:tcW w:w="856" w:type="dxa"/>
            <w:tcBorders>
              <w:top w:val="single" w:sz="4" w:space="0" w:color="auto"/>
              <w:bottom w:val="single" w:sz="4" w:space="0" w:color="auto"/>
            </w:tcBorders>
            <w:vAlign w:val="center"/>
          </w:tcPr>
          <w:p w14:paraId="1C42EF36" w14:textId="70289EA7" w:rsidR="00DD5165" w:rsidRPr="00131A10" w:rsidRDefault="00DD5165"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856" w:type="dxa"/>
            <w:tcBorders>
              <w:top w:val="single" w:sz="4" w:space="0" w:color="auto"/>
              <w:bottom w:val="single" w:sz="4" w:space="0" w:color="auto"/>
            </w:tcBorders>
            <w:vAlign w:val="center"/>
          </w:tcPr>
          <w:p w14:paraId="4EDF9BEB" w14:textId="076D26CD" w:rsidR="00DD5165" w:rsidRPr="00131A10" w:rsidRDefault="00DD5165"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856" w:type="dxa"/>
            <w:tcBorders>
              <w:top w:val="single" w:sz="4" w:space="0" w:color="auto"/>
              <w:bottom w:val="single" w:sz="4" w:space="0" w:color="auto"/>
            </w:tcBorders>
            <w:vAlign w:val="center"/>
          </w:tcPr>
          <w:p w14:paraId="736D7423" w14:textId="31F875AA" w:rsidR="00DD5165" w:rsidRPr="00131A10" w:rsidRDefault="00DD5165"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856" w:type="dxa"/>
            <w:tcBorders>
              <w:top w:val="single" w:sz="4" w:space="0" w:color="auto"/>
              <w:bottom w:val="single" w:sz="4" w:space="0" w:color="auto"/>
            </w:tcBorders>
            <w:vAlign w:val="center"/>
          </w:tcPr>
          <w:p w14:paraId="490D66E3" w14:textId="19F15BA2" w:rsidR="00DD5165" w:rsidRPr="00131A10" w:rsidRDefault="00DD5165"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856" w:type="dxa"/>
            <w:tcBorders>
              <w:top w:val="single" w:sz="4" w:space="0" w:color="auto"/>
              <w:bottom w:val="single" w:sz="4" w:space="0" w:color="auto"/>
            </w:tcBorders>
            <w:vAlign w:val="center"/>
          </w:tcPr>
          <w:p w14:paraId="2230FC31" w14:textId="6C09B271" w:rsidR="00DD5165" w:rsidRPr="00131A10" w:rsidRDefault="00DD5165"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1143" w:type="dxa"/>
            <w:tcBorders>
              <w:top w:val="single" w:sz="4" w:space="0" w:color="auto"/>
              <w:bottom w:val="single" w:sz="4" w:space="0" w:color="auto"/>
            </w:tcBorders>
            <w:vAlign w:val="center"/>
          </w:tcPr>
          <w:p w14:paraId="4C47A297" w14:textId="30630531" w:rsidR="00DD5165" w:rsidRPr="00131A10" w:rsidRDefault="00DD5165"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DD5165" w:rsidRPr="00131A10" w14:paraId="21A4C5DE" w14:textId="77777777" w:rsidTr="00F52740">
        <w:trPr>
          <w:gridAfter w:val="1"/>
          <w:wAfter w:w="9" w:type="dxa"/>
          <w:trHeight w:val="527"/>
        </w:trPr>
        <w:tc>
          <w:tcPr>
            <w:tcW w:w="3018" w:type="dxa"/>
            <w:vAlign w:val="center"/>
          </w:tcPr>
          <w:p w14:paraId="01822980" w14:textId="0A6FE91B" w:rsidR="00DD5165" w:rsidRPr="00131A10" w:rsidRDefault="00DD5165"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856" w:type="dxa"/>
            <w:vAlign w:val="center"/>
          </w:tcPr>
          <w:p w14:paraId="76E2DDC1" w14:textId="77777777" w:rsidR="00DD5165" w:rsidRPr="00131A10" w:rsidRDefault="00DD5165"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856" w:type="dxa"/>
            <w:vAlign w:val="center"/>
          </w:tcPr>
          <w:p w14:paraId="78623AEF"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44*</w:t>
            </w:r>
          </w:p>
        </w:tc>
        <w:tc>
          <w:tcPr>
            <w:tcW w:w="856" w:type="dxa"/>
            <w:vAlign w:val="center"/>
          </w:tcPr>
          <w:p w14:paraId="6B7BCC8C"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856" w:type="dxa"/>
            <w:vAlign w:val="center"/>
          </w:tcPr>
          <w:p w14:paraId="0762FC17"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856" w:type="dxa"/>
            <w:vAlign w:val="center"/>
          </w:tcPr>
          <w:p w14:paraId="7B6DC11D"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856" w:type="dxa"/>
            <w:vAlign w:val="center"/>
          </w:tcPr>
          <w:p w14:paraId="3C966FAB"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1143" w:type="dxa"/>
            <w:vAlign w:val="center"/>
          </w:tcPr>
          <w:p w14:paraId="7246CFF4"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14</w:t>
            </w:r>
          </w:p>
        </w:tc>
      </w:tr>
      <w:tr w:rsidR="00DD5165" w:rsidRPr="00131A10" w14:paraId="208BC627" w14:textId="77777777" w:rsidTr="00F52740">
        <w:trPr>
          <w:gridAfter w:val="1"/>
          <w:wAfter w:w="9" w:type="dxa"/>
          <w:trHeight w:val="519"/>
        </w:trPr>
        <w:tc>
          <w:tcPr>
            <w:tcW w:w="3018" w:type="dxa"/>
            <w:vAlign w:val="center"/>
          </w:tcPr>
          <w:p w14:paraId="4947A3CC" w14:textId="16F978B5" w:rsidR="00DD5165" w:rsidRPr="00131A10" w:rsidRDefault="00DD5165"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856" w:type="dxa"/>
            <w:vAlign w:val="center"/>
          </w:tcPr>
          <w:p w14:paraId="43337169"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53*</w:t>
            </w:r>
          </w:p>
        </w:tc>
        <w:tc>
          <w:tcPr>
            <w:tcW w:w="856" w:type="dxa"/>
            <w:vAlign w:val="center"/>
          </w:tcPr>
          <w:p w14:paraId="2792A130" w14:textId="77777777" w:rsidR="00DD5165" w:rsidRPr="00131A10" w:rsidRDefault="00DD5165"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856" w:type="dxa"/>
            <w:vAlign w:val="center"/>
          </w:tcPr>
          <w:p w14:paraId="3F3E7253"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39*</w:t>
            </w:r>
          </w:p>
        </w:tc>
        <w:tc>
          <w:tcPr>
            <w:tcW w:w="856" w:type="dxa"/>
            <w:vAlign w:val="center"/>
          </w:tcPr>
          <w:p w14:paraId="59B4A35B"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.39*</w:t>
            </w:r>
          </w:p>
        </w:tc>
        <w:tc>
          <w:tcPr>
            <w:tcW w:w="856" w:type="dxa"/>
            <w:vAlign w:val="center"/>
          </w:tcPr>
          <w:p w14:paraId="01EBC5A9"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49*</w:t>
            </w:r>
          </w:p>
        </w:tc>
        <w:tc>
          <w:tcPr>
            <w:tcW w:w="856" w:type="dxa"/>
            <w:vAlign w:val="center"/>
          </w:tcPr>
          <w:p w14:paraId="4D0A9193"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22</w:t>
            </w:r>
          </w:p>
        </w:tc>
        <w:tc>
          <w:tcPr>
            <w:tcW w:w="1143" w:type="dxa"/>
            <w:vAlign w:val="center"/>
          </w:tcPr>
          <w:p w14:paraId="297FA28D"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.14</w:t>
            </w:r>
          </w:p>
        </w:tc>
      </w:tr>
      <w:tr w:rsidR="00DD5165" w:rsidRPr="00131A10" w14:paraId="2D9546E3" w14:textId="77777777" w:rsidTr="00F52740">
        <w:trPr>
          <w:gridAfter w:val="1"/>
          <w:wAfter w:w="9" w:type="dxa"/>
          <w:trHeight w:val="783"/>
        </w:trPr>
        <w:tc>
          <w:tcPr>
            <w:tcW w:w="3018" w:type="dxa"/>
            <w:vAlign w:val="center"/>
          </w:tcPr>
          <w:p w14:paraId="2D3D9239" w14:textId="77777777" w:rsidR="00DD5165" w:rsidRDefault="00DD5165" w:rsidP="0053790C">
            <w:pPr>
              <w:spacing w:line="240" w:lineRule="auto"/>
              <w:ind w:firstLine="0"/>
              <w:rPr>
                <w:rFonts w:ascii="Times New Roman" w:hAnsi="Times New Roman" w:cs="Times New Roman"/>
                <w:iCs/>
                <w:szCs w:val="22"/>
                <w:lang w:eastAsia="de-DE"/>
              </w:rPr>
            </w:pPr>
          </w:p>
          <w:p w14:paraId="2E1F5632" w14:textId="2430BE43" w:rsidR="00DD5165" w:rsidRPr="00131A10" w:rsidRDefault="00DD5165"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sidR="00F52740">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856" w:type="dxa"/>
            <w:vAlign w:val="center"/>
          </w:tcPr>
          <w:p w14:paraId="48A9F270"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.05</w:t>
            </w:r>
          </w:p>
        </w:tc>
        <w:tc>
          <w:tcPr>
            <w:tcW w:w="856" w:type="dxa"/>
            <w:vAlign w:val="center"/>
          </w:tcPr>
          <w:p w14:paraId="3AC68F13"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29</w:t>
            </w:r>
          </w:p>
        </w:tc>
        <w:tc>
          <w:tcPr>
            <w:tcW w:w="856" w:type="dxa"/>
            <w:vAlign w:val="center"/>
          </w:tcPr>
          <w:p w14:paraId="6E6BA451" w14:textId="77777777" w:rsidR="00DD5165" w:rsidRPr="00131A10" w:rsidRDefault="00DD5165"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856" w:type="dxa"/>
            <w:vAlign w:val="center"/>
          </w:tcPr>
          <w:p w14:paraId="328B9E27"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856" w:type="dxa"/>
            <w:vAlign w:val="center"/>
          </w:tcPr>
          <w:p w14:paraId="313F1935"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.32*</w:t>
            </w:r>
          </w:p>
        </w:tc>
        <w:tc>
          <w:tcPr>
            <w:tcW w:w="856" w:type="dxa"/>
            <w:vAlign w:val="center"/>
          </w:tcPr>
          <w:p w14:paraId="5CB6D454"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1143" w:type="dxa"/>
            <w:vAlign w:val="center"/>
          </w:tcPr>
          <w:p w14:paraId="6CFC7EB1"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r>
      <w:tr w:rsidR="00DD5165" w:rsidRPr="00131A10" w14:paraId="7DDACEF5" w14:textId="77777777" w:rsidTr="00F52740">
        <w:trPr>
          <w:gridAfter w:val="1"/>
          <w:wAfter w:w="9" w:type="dxa"/>
          <w:trHeight w:val="527"/>
        </w:trPr>
        <w:tc>
          <w:tcPr>
            <w:tcW w:w="3018" w:type="dxa"/>
            <w:vAlign w:val="center"/>
          </w:tcPr>
          <w:p w14:paraId="52CD2C3C" w14:textId="7DB9DB8E" w:rsidR="00DD5165" w:rsidRPr="00131A10" w:rsidRDefault="00DD5165"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sidR="00F52740">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Pr>
                <w:rFonts w:ascii="Times New Roman" w:hAnsi="Times New Roman" w:cs="Times New Roman"/>
                <w:szCs w:val="22"/>
                <w:lang w:eastAsia="de-DE"/>
              </w:rPr>
              <w:t>Disruption Rating</w:t>
            </w:r>
          </w:p>
        </w:tc>
        <w:tc>
          <w:tcPr>
            <w:tcW w:w="856" w:type="dxa"/>
            <w:vAlign w:val="center"/>
          </w:tcPr>
          <w:p w14:paraId="60809256"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.03</w:t>
            </w:r>
          </w:p>
        </w:tc>
        <w:tc>
          <w:tcPr>
            <w:tcW w:w="856" w:type="dxa"/>
            <w:vAlign w:val="center"/>
          </w:tcPr>
          <w:p w14:paraId="3F7AEA73"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856" w:type="dxa"/>
            <w:vAlign w:val="center"/>
          </w:tcPr>
          <w:p w14:paraId="698110B9"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.02</w:t>
            </w:r>
          </w:p>
        </w:tc>
        <w:tc>
          <w:tcPr>
            <w:tcW w:w="856" w:type="dxa"/>
            <w:vAlign w:val="center"/>
          </w:tcPr>
          <w:p w14:paraId="176B65F9" w14:textId="77777777" w:rsidR="00DD5165" w:rsidRPr="00131A10" w:rsidRDefault="00DD5165"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856" w:type="dxa"/>
            <w:vAlign w:val="center"/>
          </w:tcPr>
          <w:p w14:paraId="0E33AFFE"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02</w:t>
            </w:r>
          </w:p>
        </w:tc>
        <w:tc>
          <w:tcPr>
            <w:tcW w:w="856" w:type="dxa"/>
            <w:vAlign w:val="center"/>
          </w:tcPr>
          <w:p w14:paraId="6FF34F07"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c>
          <w:tcPr>
            <w:tcW w:w="1143" w:type="dxa"/>
            <w:vAlign w:val="center"/>
          </w:tcPr>
          <w:p w14:paraId="642BC2BE"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15</w:t>
            </w:r>
          </w:p>
        </w:tc>
      </w:tr>
      <w:tr w:rsidR="00DD5165" w:rsidRPr="00131A10" w14:paraId="301E8421" w14:textId="77777777" w:rsidTr="00F52740">
        <w:trPr>
          <w:gridAfter w:val="1"/>
          <w:wAfter w:w="9" w:type="dxa"/>
          <w:trHeight w:val="519"/>
        </w:trPr>
        <w:tc>
          <w:tcPr>
            <w:tcW w:w="3018" w:type="dxa"/>
            <w:vAlign w:val="center"/>
          </w:tcPr>
          <w:p w14:paraId="4E428856" w14:textId="60FB4729" w:rsidR="00DD5165" w:rsidRPr="00131A10" w:rsidRDefault="00DD5165"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w:t>
            </w:r>
            <w:r w:rsidR="00F52740">
              <w:rPr>
                <w:rFonts w:ascii="Times New Roman" w:hAnsi="Times New Roman" w:cs="Times New Roman"/>
                <w:szCs w:val="22"/>
                <w:lang w:eastAsia="de-DE"/>
              </w:rPr>
              <w:t>5</w:t>
            </w:r>
            <w:r>
              <w:rPr>
                <w:rFonts w:ascii="Times New Roman" w:hAnsi="Times New Roman" w:cs="Times New Roman"/>
                <w:szCs w:val="22"/>
                <w:lang w:eastAsia="de-DE"/>
              </w:rPr>
              <w:t>) Confidence Rating</w:t>
            </w:r>
          </w:p>
        </w:tc>
        <w:tc>
          <w:tcPr>
            <w:tcW w:w="856" w:type="dxa"/>
            <w:vAlign w:val="center"/>
          </w:tcPr>
          <w:p w14:paraId="40A6DC3D"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856" w:type="dxa"/>
            <w:vAlign w:val="center"/>
          </w:tcPr>
          <w:p w14:paraId="5C5BDB63"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856" w:type="dxa"/>
            <w:vAlign w:val="center"/>
          </w:tcPr>
          <w:p w14:paraId="4AFC4CE4"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6</w:t>
            </w:r>
          </w:p>
        </w:tc>
        <w:tc>
          <w:tcPr>
            <w:tcW w:w="856" w:type="dxa"/>
            <w:vAlign w:val="center"/>
          </w:tcPr>
          <w:p w14:paraId="4C1E9E32"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51*</w:t>
            </w:r>
          </w:p>
        </w:tc>
        <w:tc>
          <w:tcPr>
            <w:tcW w:w="856" w:type="dxa"/>
            <w:vAlign w:val="center"/>
          </w:tcPr>
          <w:p w14:paraId="4DA7B60F" w14:textId="77777777" w:rsidR="00DD5165" w:rsidRPr="00131A10" w:rsidRDefault="00DD5165"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856" w:type="dxa"/>
            <w:vAlign w:val="center"/>
          </w:tcPr>
          <w:p w14:paraId="36004BBF"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.48*</w:t>
            </w:r>
          </w:p>
        </w:tc>
        <w:tc>
          <w:tcPr>
            <w:tcW w:w="1143" w:type="dxa"/>
            <w:vAlign w:val="center"/>
          </w:tcPr>
          <w:p w14:paraId="4466A040"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r>
      <w:tr w:rsidR="00DD5165" w:rsidRPr="00131A10" w14:paraId="19DBDCCA" w14:textId="77777777" w:rsidTr="00F52740">
        <w:trPr>
          <w:gridAfter w:val="1"/>
          <w:wAfter w:w="9" w:type="dxa"/>
          <w:trHeight w:val="527"/>
        </w:trPr>
        <w:tc>
          <w:tcPr>
            <w:tcW w:w="3018" w:type="dxa"/>
            <w:vAlign w:val="center"/>
          </w:tcPr>
          <w:p w14:paraId="1DBFA767" w14:textId="67BD7D55" w:rsidR="00DD5165" w:rsidRPr="00131A10" w:rsidRDefault="00DD5165"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w:t>
            </w:r>
            <w:r w:rsidR="00F52740">
              <w:rPr>
                <w:rFonts w:ascii="Times New Roman" w:hAnsi="Times New Roman" w:cs="Times New Roman"/>
                <w:szCs w:val="22"/>
                <w:lang w:eastAsia="de-DE"/>
              </w:rPr>
              <w:t>6</w:t>
            </w:r>
            <w:r>
              <w:rPr>
                <w:rFonts w:ascii="Times New Roman" w:hAnsi="Times New Roman" w:cs="Times New Roman"/>
                <w:szCs w:val="22"/>
                <w:lang w:eastAsia="de-DE"/>
              </w:rPr>
              <w:t>) Self-Evaluation</w:t>
            </w:r>
          </w:p>
        </w:tc>
        <w:tc>
          <w:tcPr>
            <w:tcW w:w="856" w:type="dxa"/>
            <w:vAlign w:val="center"/>
          </w:tcPr>
          <w:p w14:paraId="115778A4"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856" w:type="dxa"/>
            <w:vAlign w:val="center"/>
          </w:tcPr>
          <w:p w14:paraId="63BBF47B"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856" w:type="dxa"/>
            <w:vAlign w:val="center"/>
          </w:tcPr>
          <w:p w14:paraId="3C9F08C5"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18</w:t>
            </w:r>
          </w:p>
        </w:tc>
        <w:tc>
          <w:tcPr>
            <w:tcW w:w="856" w:type="dxa"/>
            <w:vAlign w:val="center"/>
          </w:tcPr>
          <w:p w14:paraId="3C205199"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11</w:t>
            </w:r>
          </w:p>
        </w:tc>
        <w:tc>
          <w:tcPr>
            <w:tcW w:w="856" w:type="dxa"/>
            <w:vAlign w:val="center"/>
          </w:tcPr>
          <w:p w14:paraId="3EE720DD"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.33*</w:t>
            </w:r>
          </w:p>
        </w:tc>
        <w:tc>
          <w:tcPr>
            <w:tcW w:w="856" w:type="dxa"/>
            <w:vAlign w:val="center"/>
          </w:tcPr>
          <w:p w14:paraId="43E4A6A9" w14:textId="77777777" w:rsidR="00DD5165" w:rsidRPr="00131A10" w:rsidRDefault="00DD5165"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1143" w:type="dxa"/>
            <w:vAlign w:val="center"/>
          </w:tcPr>
          <w:p w14:paraId="35DA7C35"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21</w:t>
            </w:r>
          </w:p>
        </w:tc>
      </w:tr>
      <w:tr w:rsidR="00DD5165" w:rsidRPr="00131A10" w14:paraId="7B521615" w14:textId="77777777" w:rsidTr="00F52740">
        <w:trPr>
          <w:gridAfter w:val="1"/>
          <w:wAfter w:w="9" w:type="dxa"/>
          <w:trHeight w:val="519"/>
        </w:trPr>
        <w:tc>
          <w:tcPr>
            <w:tcW w:w="3018" w:type="dxa"/>
            <w:vAlign w:val="center"/>
          </w:tcPr>
          <w:p w14:paraId="22B1FB90" w14:textId="5FF83747" w:rsidR="00DD5165" w:rsidRDefault="00DD5165"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w:t>
            </w:r>
            <w:r w:rsidR="00F52740">
              <w:rPr>
                <w:rFonts w:ascii="Times New Roman" w:hAnsi="Times New Roman" w:cs="Times New Roman"/>
                <w:szCs w:val="22"/>
                <w:lang w:eastAsia="de-DE"/>
              </w:rPr>
              <w:t>7</w:t>
            </w:r>
            <w:r>
              <w:rPr>
                <w:rFonts w:ascii="Times New Roman" w:hAnsi="Times New Roman" w:cs="Times New Roman"/>
                <w:szCs w:val="22"/>
                <w:lang w:eastAsia="de-DE"/>
              </w:rPr>
              <w:t xml:space="preserve">) </w:t>
            </w:r>
            <w:r w:rsidRPr="008460C3">
              <w:rPr>
                <w:rFonts w:ascii="Times New Roman" w:hAnsi="Times New Roman" w:cs="Times New Roman"/>
                <w:szCs w:val="22"/>
                <w:lang w:eastAsia="de-DE"/>
              </w:rPr>
              <w:t>Strategic Knowledge Test</w:t>
            </w:r>
          </w:p>
        </w:tc>
        <w:tc>
          <w:tcPr>
            <w:tcW w:w="856" w:type="dxa"/>
            <w:vAlign w:val="center"/>
          </w:tcPr>
          <w:p w14:paraId="57198156"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36*</w:t>
            </w:r>
          </w:p>
        </w:tc>
        <w:tc>
          <w:tcPr>
            <w:tcW w:w="856" w:type="dxa"/>
            <w:vAlign w:val="center"/>
          </w:tcPr>
          <w:p w14:paraId="08839331"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856" w:type="dxa"/>
            <w:vAlign w:val="center"/>
          </w:tcPr>
          <w:p w14:paraId="3AB27533"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34*</w:t>
            </w:r>
          </w:p>
        </w:tc>
        <w:tc>
          <w:tcPr>
            <w:tcW w:w="856" w:type="dxa"/>
            <w:vAlign w:val="center"/>
          </w:tcPr>
          <w:p w14:paraId="6B46FA6B"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c>
          <w:tcPr>
            <w:tcW w:w="856" w:type="dxa"/>
            <w:vAlign w:val="center"/>
          </w:tcPr>
          <w:p w14:paraId="1D01D35C" w14:textId="77777777" w:rsidR="00DD5165" w:rsidRPr="00131A10" w:rsidRDefault="00DD5165"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3</w:t>
            </w:r>
          </w:p>
        </w:tc>
        <w:tc>
          <w:tcPr>
            <w:tcW w:w="856" w:type="dxa"/>
            <w:vAlign w:val="center"/>
          </w:tcPr>
          <w:p w14:paraId="6A1626E4" w14:textId="77777777" w:rsidR="00DD5165" w:rsidRPr="00131A10" w:rsidRDefault="00DD5165"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1143" w:type="dxa"/>
            <w:vAlign w:val="center"/>
          </w:tcPr>
          <w:p w14:paraId="6EDEFB0D" w14:textId="77777777" w:rsidR="00DD5165" w:rsidRPr="00131A10" w:rsidRDefault="00DD5165"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D5165" w:rsidRPr="00131A10" w14:paraId="3E2651BD" w14:textId="77777777" w:rsidTr="00F52740">
        <w:trPr>
          <w:trHeight w:val="2140"/>
        </w:trPr>
        <w:tc>
          <w:tcPr>
            <w:tcW w:w="9306" w:type="dxa"/>
            <w:gridSpan w:val="9"/>
            <w:tcBorders>
              <w:bottom w:val="single" w:sz="4" w:space="0" w:color="auto"/>
            </w:tcBorders>
            <w:vAlign w:val="center"/>
          </w:tcPr>
          <w:p w14:paraId="730C6908" w14:textId="5CA47477" w:rsidR="00DD5165" w:rsidRPr="00F52740" w:rsidRDefault="00DD5165" w:rsidP="00DD5165">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efficiency measures (average fixation duration, fixation number per minute, GRI (= Gaze Relational Index), fixation number per minute on AOI </w:t>
            </w:r>
            <w:r w:rsidRPr="00F52740">
              <w:rPr>
                <w:rFonts w:ascii="Times New Roman" w:hAnsi="Times New Roman" w:cs="Times New Roman"/>
                <w:i/>
                <w:iCs/>
                <w:sz w:val="20"/>
                <w:szCs w:val="20"/>
                <w:lang w:eastAsia="de-DE"/>
              </w:rPr>
              <w:t xml:space="preserve">Students, </w:t>
            </w:r>
            <w:r w:rsidRPr="00F52740">
              <w:rPr>
                <w:rFonts w:ascii="Times New Roman" w:hAnsi="Times New Roman" w:cs="Times New Roman"/>
                <w:sz w:val="20"/>
                <w:szCs w:val="20"/>
                <w:lang w:eastAsia="de-DE"/>
              </w:rPr>
              <w:t xml:space="preserve">and TTFF (= log-transformed time to first fixation on AOI </w:t>
            </w:r>
            <w:r w:rsidRPr="00F52740">
              <w:rPr>
                <w:rFonts w:ascii="Times New Roman" w:hAnsi="Times New Roman" w:cs="Times New Roman"/>
                <w:i/>
                <w:iCs/>
                <w:sz w:val="20"/>
                <w:szCs w:val="20"/>
                <w:lang w:eastAsia="de-DE"/>
              </w:rPr>
              <w:t>Disruptive Student</w:t>
            </w:r>
            <w:r w:rsidRPr="00F52740">
              <w:rPr>
                <w:rFonts w:ascii="Times New Roman" w:hAnsi="Times New Roman" w:cs="Times New Roman"/>
                <w:sz w:val="20"/>
                <w:szCs w:val="20"/>
                <w:lang w:eastAsia="de-DE"/>
              </w:rPr>
              <w:t>), and classroom management measures (self-evaluation of teachers’ disruption prevention and management competencies, disruption ratings, confidence ratings, and strategic knowledge test) for inexperienced teachers (above diagonal) and experienced teachers (below diagonal). 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Negative values indicate inverse relationships. GRI = Gaze-Relational Index; TTFF = Time to First Fixation on AOI Disruptive Student (log-transformed).</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1-16T07:19:00Z" w:initials="MK">
    <w:p w14:paraId="0FF6ED45" w14:textId="77777777" w:rsidR="00551144" w:rsidRDefault="00551144">
      <w:pPr>
        <w:pStyle w:val="Kommentartext"/>
        <w:rPr>
          <w:lang w:val="de-DE"/>
        </w:rPr>
      </w:pPr>
      <w:r>
        <w:rPr>
          <w:rStyle w:val="Kommentarzeichen"/>
        </w:rPr>
        <w:annotationRef/>
      </w:r>
      <w:r w:rsidRPr="00551144">
        <w:rPr>
          <w:lang w:val="de-DE"/>
        </w:rPr>
        <w:t>Das ist die vorläufige</w:t>
      </w:r>
      <w:r w:rsidR="003409D1">
        <w:rPr>
          <w:lang w:val="de-DE"/>
        </w:rPr>
        <w:t>, grobe</w:t>
      </w:r>
      <w:r w:rsidRPr="00551144">
        <w:rPr>
          <w:lang w:val="de-DE"/>
        </w:rPr>
        <w:t xml:space="preserve"> G</w:t>
      </w:r>
      <w:r>
        <w:rPr>
          <w:lang w:val="de-DE"/>
        </w:rPr>
        <w:t xml:space="preserve">liederung der Theorie. </w:t>
      </w:r>
    </w:p>
    <w:p w14:paraId="6E32FEF9" w14:textId="2D034A1B" w:rsidR="002A6E1F" w:rsidRPr="00551144" w:rsidRDefault="002A6E1F">
      <w:pPr>
        <w:pStyle w:val="Kommentartext"/>
        <w:rPr>
          <w:lang w:val="de-DE"/>
        </w:rPr>
      </w:pPr>
      <w:r>
        <w:rPr>
          <w:lang w:val="de-DE"/>
        </w:rPr>
        <w:t>Ich habe mich dabei an der Diss von Ann-Sophie Grub orientiert. Inwiefern ist so was in Ordnung?</w:t>
      </w:r>
    </w:p>
  </w:comment>
  <w:comment w:id="1" w:author="Mandy Klatt" w:date="2025-02-14T18:05:00Z" w:initials="MK">
    <w:p w14:paraId="7508995E" w14:textId="34365817"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proofErr w:type="spellStart"/>
      <w:r>
        <w:rPr>
          <w:lang w:val="de-DE"/>
        </w:rPr>
        <w:t>hinpacken</w:t>
      </w:r>
      <w:proofErr w:type="spellEnd"/>
      <w:r>
        <w:rPr>
          <w:lang w:val="de-DE"/>
        </w:rPr>
        <w:t xml:space="preserve"> soll… Vielleicht ist sie zu wichtig, als dass sie in einer Fußnote erwähnt wird? </w:t>
      </w:r>
    </w:p>
  </w:comment>
  <w:comment w:id="2" w:author="Mandy Klatt" w:date="2025-02-14T18:05:00Z" w:initials="MK">
    <w:p w14:paraId="7A2FC77D" w14:textId="1A8E9936" w:rsidR="005D351A" w:rsidRPr="005D351A" w:rsidRDefault="005D351A">
      <w:pPr>
        <w:pStyle w:val="Kommentartext"/>
        <w:rPr>
          <w:lang w:val="de-DE"/>
        </w:rPr>
      </w:pPr>
      <w:r>
        <w:rPr>
          <w:rStyle w:val="Kommentarzeichen"/>
        </w:rPr>
        <w:annotationRef/>
      </w:r>
      <w:r w:rsidRPr="005D351A">
        <w:rPr>
          <w:lang w:val="de-DE"/>
        </w:rPr>
        <w:t>Noch ge</w:t>
      </w:r>
      <w:r>
        <w:rPr>
          <w:lang w:val="de-DE"/>
        </w:rPr>
        <w:t xml:space="preserve">nauer auf AOI </w:t>
      </w:r>
      <w:proofErr w:type="spellStart"/>
      <w:r>
        <w:rPr>
          <w:lang w:val="de-DE"/>
        </w:rPr>
        <w:t>students</w:t>
      </w:r>
      <w:proofErr w:type="spellEnd"/>
      <w:r>
        <w:rPr>
          <w:lang w:val="de-DE"/>
        </w:rPr>
        <w:t xml:space="preserve"> anpassen!</w:t>
      </w:r>
    </w:p>
  </w:comment>
  <w:comment w:id="6" w:author="Mandy Klatt" w:date="2025-02-13T15:00:00Z" w:initials="MK">
    <w:p w14:paraId="44EDD458" w14:textId="0EAC85BD" w:rsidR="00DA16F7" w:rsidRPr="00DA16F7" w:rsidRDefault="00DA16F7">
      <w:pPr>
        <w:pStyle w:val="Kommentartext"/>
        <w:rPr>
          <w:lang w:val="de-DE"/>
        </w:rPr>
      </w:pPr>
      <w:r>
        <w:rPr>
          <w:rStyle w:val="Kommentarzeichen"/>
        </w:rPr>
        <w:annotationRef/>
      </w:r>
      <w:r w:rsidRPr="00DA16F7">
        <w:rPr>
          <w:lang w:val="de-DE"/>
        </w:rPr>
        <w:t xml:space="preserve">In den Appendix </w:t>
      </w:r>
      <w:r>
        <w:sym w:font="Wingdings" w:char="F0E0"/>
      </w:r>
      <w:r w:rsidRPr="00DA16F7">
        <w:rPr>
          <w:lang w:val="de-DE"/>
        </w:rPr>
        <w:t xml:space="preserve"> </w:t>
      </w:r>
      <w:proofErr w:type="spellStart"/>
      <w:r w:rsidRPr="00DA16F7">
        <w:rPr>
          <w:lang w:val="de-DE"/>
        </w:rPr>
        <w:t>Korr.tabelle</w:t>
      </w:r>
      <w:proofErr w:type="spellEnd"/>
      <w:r w:rsidRPr="00DA16F7">
        <w:rPr>
          <w:lang w:val="de-DE"/>
        </w:rPr>
        <w:t xml:space="preserve"> </w:t>
      </w:r>
      <w:r>
        <w:rPr>
          <w:lang w:val="de-DE"/>
        </w:rPr>
        <w:t xml:space="preserve">ohne Split, für gesamtes Sample mit </w:t>
      </w:r>
      <w:r w:rsidR="00222100">
        <w:rPr>
          <w:lang w:val="de-DE"/>
        </w:rPr>
        <w:t>7</w:t>
      </w:r>
      <w:r>
        <w:rPr>
          <w:lang w:val="de-DE"/>
        </w:rPr>
        <w:t xml:space="preserve"> Variablen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FEF9" w15:done="0"/>
  <w15:commentEx w15:paraId="7508995E" w15:done="0"/>
  <w15:commentEx w15:paraId="7A2FC77D" w15:done="0"/>
  <w15:commentEx w15:paraId="44EDD4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33167" w16cex:dateUtc="2025-01-16T06:19:00Z"/>
  <w16cex:commentExtensible w16cex:durableId="2B5A044D" w16cex:dateUtc="2025-02-14T17:05:00Z"/>
  <w16cex:commentExtensible w16cex:durableId="2B5A0471" w16cex:dateUtc="2025-02-14T17:05:00Z"/>
  <w16cex:commentExtensible w16cex:durableId="2B588789" w16cex:dateUtc="2025-02-13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FEF9" w16cid:durableId="2B333167"/>
  <w16cid:commentId w16cid:paraId="7508995E" w16cid:durableId="2B5A044D"/>
  <w16cid:commentId w16cid:paraId="7A2FC77D" w16cid:durableId="2B5A0471"/>
  <w16cid:commentId w16cid:paraId="44EDD458" w16cid:durableId="2B588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BF21" w14:textId="77777777" w:rsidR="003D7369" w:rsidRDefault="003D7369" w:rsidP="00E102C3">
      <w:r>
        <w:separator/>
      </w:r>
    </w:p>
    <w:p w14:paraId="1AA7204B" w14:textId="77777777" w:rsidR="003D7369" w:rsidRDefault="003D7369" w:rsidP="00E102C3"/>
  </w:endnote>
  <w:endnote w:type="continuationSeparator" w:id="0">
    <w:p w14:paraId="337A968A" w14:textId="77777777" w:rsidR="003D7369" w:rsidRDefault="003D7369" w:rsidP="00E102C3">
      <w:r>
        <w:continuationSeparator/>
      </w:r>
    </w:p>
    <w:p w14:paraId="00EDFE69" w14:textId="77777777" w:rsidR="003D7369" w:rsidRDefault="003D7369" w:rsidP="00E102C3"/>
  </w:endnote>
  <w:endnote w:type="continuationNotice" w:id="1">
    <w:p w14:paraId="1B1F4B6D" w14:textId="77777777" w:rsidR="003D7369" w:rsidRDefault="003D73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FEFB" w14:textId="77777777" w:rsidR="003D7369" w:rsidRDefault="003D7369" w:rsidP="00E102C3">
      <w:r>
        <w:separator/>
      </w:r>
    </w:p>
    <w:p w14:paraId="429ABED2" w14:textId="77777777" w:rsidR="003D7369" w:rsidRDefault="003D7369" w:rsidP="00E102C3"/>
  </w:footnote>
  <w:footnote w:type="continuationSeparator" w:id="0">
    <w:p w14:paraId="5AF451F6" w14:textId="77777777" w:rsidR="003D7369" w:rsidRDefault="003D7369" w:rsidP="00E102C3">
      <w:r>
        <w:continuationSeparator/>
      </w:r>
    </w:p>
    <w:p w14:paraId="69F92195" w14:textId="77777777" w:rsidR="003D7369" w:rsidRDefault="003D7369" w:rsidP="00E102C3"/>
  </w:footnote>
  <w:footnote w:type="continuationNotice" w:id="1">
    <w:p w14:paraId="7317A150" w14:textId="77777777" w:rsidR="003D7369" w:rsidRDefault="003D7369">
      <w:pPr>
        <w:spacing w:line="240" w:lineRule="auto"/>
      </w:pPr>
    </w:p>
  </w:footnote>
  <w:footnote w:id="2">
    <w:p w14:paraId="4E975C66" w14:textId="2EBE0B4B"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w:t>
      </w:r>
      <w:proofErr w:type="spellStart"/>
      <w:r w:rsidRPr="00DD7BBF">
        <w:rPr>
          <w:rFonts w:ascii="Times New Roman" w:hAnsi="Times New Roman" w:cs="Times New Roman"/>
        </w:rPr>
        <w:t>Tobii</w:t>
      </w:r>
      <w:proofErr w:type="spellEnd"/>
      <w:r w:rsidRPr="00DD7BBF">
        <w:rPr>
          <w:rFonts w:ascii="Times New Roman" w:hAnsi="Times New Roman" w:cs="Times New Roman"/>
        </w:rPr>
        <w:t xml:space="preserve"> Pro Lab Analyzer (Version 1.241.54542). A fixation filter was applied, with a threshold set at 30°/sec to identify fixations, as this default fixation filter is recommended for mobile eye-tracking data in the </w:t>
      </w:r>
      <w:proofErr w:type="spellStart"/>
      <w:r w:rsidRPr="00DD7BBF">
        <w:rPr>
          <w:rFonts w:ascii="Times New Roman" w:hAnsi="Times New Roman" w:cs="Times New Roman"/>
        </w:rPr>
        <w:t>Tobii</w:t>
      </w:r>
      <w:proofErr w:type="spellEnd"/>
      <w:r w:rsidRPr="00DD7BBF">
        <w:rPr>
          <w:rFonts w:ascii="Times New Roman" w:hAnsi="Times New Roman" w:cs="Times New Roman"/>
        </w:rPr>
        <w:t xml:space="preserve"> Lab Analyzer Software </w:t>
      </w:r>
      <w:r w:rsidRPr="00DD7BBF">
        <w:rPr>
          <w:rFonts w:ascii="Times New Roman" w:hAnsi="Times New Roman" w:cs="Times New Roman"/>
        </w:rPr>
        <w:fldChar w:fldCharType="begin"/>
      </w:r>
      <w:r w:rsidRPr="00DD7BBF">
        <w:rPr>
          <w:rFonts w:ascii="Times New Roman" w:hAnsi="Times New Roman" w:cs="Times New Roman"/>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w:t>
      </w:r>
      <w:proofErr w:type="spellStart"/>
      <w:r w:rsidRPr="00DD7BBF">
        <w:rPr>
          <w:rFonts w:ascii="Times New Roman" w:hAnsi="Times New Roman" w:cs="Times New Roman"/>
        </w:rPr>
        <w:t>Tobii</w:t>
      </w:r>
      <w:proofErr w:type="spellEnd"/>
      <w:r w:rsidRPr="00DD7BBF">
        <w:rPr>
          <w:rFonts w:ascii="Times New Roman" w:hAnsi="Times New Roman" w:cs="Times New Roman"/>
        </w:rPr>
        <w:t xml:space="preserve">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6BA89F51" w14:textId="1BFAD777" w:rsidR="005433BC" w:rsidRPr="00C423D6" w:rsidRDefault="005433BC">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BA4471" w:rsidRPr="00C423D6">
        <w:rPr>
          <w:rFonts w:ascii="Times New Roman" w:hAnsi="Times New Roman" w:cs="Times New Roman"/>
        </w:rPr>
        <w:t xml:space="preserve">As our focus was on gaze behavior directed toward the disruptive </w:t>
      </w:r>
      <w:r w:rsidR="00C26986">
        <w:rPr>
          <w:rFonts w:ascii="Times New Roman" w:hAnsi="Times New Roman" w:cs="Times New Roman"/>
        </w:rPr>
        <w:t>student</w:t>
      </w:r>
      <w:r w:rsidR="00BA4471" w:rsidRPr="00C423D6">
        <w:rPr>
          <w:rFonts w:ascii="Times New Roman" w:hAnsi="Times New Roman" w:cs="Times New Roman"/>
        </w:rPr>
        <w:t xml:space="preserve">, instances where the gaze was already fixated on the disruptive </w:t>
      </w:r>
      <w:r w:rsidR="008D638C">
        <w:rPr>
          <w:rFonts w:ascii="Times New Roman" w:hAnsi="Times New Roman" w:cs="Times New Roman"/>
        </w:rPr>
        <w:t>student</w:t>
      </w:r>
      <w:r w:rsidR="00C336B9">
        <w:rPr>
          <w:rFonts w:ascii="Times New Roman" w:hAnsi="Times New Roman" w:cs="Times New Roman"/>
        </w:rPr>
        <w:t>, when the event started,</w:t>
      </w:r>
      <w:r w:rsidR="00BA4471" w:rsidRPr="00C423D6">
        <w:rPr>
          <w:rFonts w:ascii="Times New Roman" w:hAnsi="Times New Roman" w:cs="Times New Roman"/>
        </w:rPr>
        <w:t xml:space="preserve"> were excluded from the analysis.</w:t>
      </w:r>
    </w:p>
  </w:footnote>
  <w:footnote w:id="4">
    <w:p w14:paraId="175901A9" w14:textId="6F410C24" w:rsidR="006D459A" w:rsidRPr="00C423D6" w:rsidRDefault="006D459A">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C423D6" w:rsidRPr="00C423D6">
        <w:rPr>
          <w:rFonts w:ascii="Times New Roman" w:hAnsi="Times New Roman" w:cs="Times New Roman"/>
        </w:rPr>
        <w:t>Fixation times beyond 30 seconds were excluded, as they exceeded the duration of the scripted disruptions.</w:t>
      </w:r>
    </w:p>
  </w:footnote>
  <w:footnote w:id="5">
    <w:p w14:paraId="26FA38D9" w14:textId="77777777" w:rsidR="00F30EEC" w:rsidRPr="00FA1ED8" w:rsidRDefault="00F30EEC" w:rsidP="00F30EEC">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03E4D779"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See Appendix D (Table D1) for a full correlation table including all gaze efficiency measures.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C"/>
    <w:rsid w:val="00005C49"/>
    <w:rsid w:val="000064B8"/>
    <w:rsid w:val="00006918"/>
    <w:rsid w:val="00006F14"/>
    <w:rsid w:val="0001120A"/>
    <w:rsid w:val="000115EE"/>
    <w:rsid w:val="00011842"/>
    <w:rsid w:val="00011A5F"/>
    <w:rsid w:val="00015A52"/>
    <w:rsid w:val="00017709"/>
    <w:rsid w:val="00021863"/>
    <w:rsid w:val="000218D0"/>
    <w:rsid w:val="00023276"/>
    <w:rsid w:val="00023EB1"/>
    <w:rsid w:val="00023F33"/>
    <w:rsid w:val="000251D5"/>
    <w:rsid w:val="0002597B"/>
    <w:rsid w:val="00027743"/>
    <w:rsid w:val="00027D49"/>
    <w:rsid w:val="000315B3"/>
    <w:rsid w:val="000325AB"/>
    <w:rsid w:val="00033065"/>
    <w:rsid w:val="000363C0"/>
    <w:rsid w:val="0003794B"/>
    <w:rsid w:val="000413E6"/>
    <w:rsid w:val="00043713"/>
    <w:rsid w:val="000442C9"/>
    <w:rsid w:val="00045FE6"/>
    <w:rsid w:val="000475ED"/>
    <w:rsid w:val="00051337"/>
    <w:rsid w:val="000533E9"/>
    <w:rsid w:val="00053FB8"/>
    <w:rsid w:val="00054D2E"/>
    <w:rsid w:val="00055B3A"/>
    <w:rsid w:val="00055EBE"/>
    <w:rsid w:val="00056488"/>
    <w:rsid w:val="0005674A"/>
    <w:rsid w:val="00056A71"/>
    <w:rsid w:val="00057D2C"/>
    <w:rsid w:val="00060CC4"/>
    <w:rsid w:val="00061062"/>
    <w:rsid w:val="00061D18"/>
    <w:rsid w:val="00063F67"/>
    <w:rsid w:val="000643EA"/>
    <w:rsid w:val="00066475"/>
    <w:rsid w:val="00070592"/>
    <w:rsid w:val="000720A0"/>
    <w:rsid w:val="00073180"/>
    <w:rsid w:val="0007360B"/>
    <w:rsid w:val="00073832"/>
    <w:rsid w:val="00074DC1"/>
    <w:rsid w:val="00076281"/>
    <w:rsid w:val="00077C08"/>
    <w:rsid w:val="0008031E"/>
    <w:rsid w:val="00080587"/>
    <w:rsid w:val="00083FCC"/>
    <w:rsid w:val="00085298"/>
    <w:rsid w:val="00085748"/>
    <w:rsid w:val="00090CDD"/>
    <w:rsid w:val="00092297"/>
    <w:rsid w:val="000928A3"/>
    <w:rsid w:val="00094996"/>
    <w:rsid w:val="00095759"/>
    <w:rsid w:val="000957C6"/>
    <w:rsid w:val="00095A74"/>
    <w:rsid w:val="0009623B"/>
    <w:rsid w:val="0009643A"/>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3D6F"/>
    <w:rsid w:val="000E4F04"/>
    <w:rsid w:val="000E71EA"/>
    <w:rsid w:val="000E7667"/>
    <w:rsid w:val="000E78E3"/>
    <w:rsid w:val="000E7BD6"/>
    <w:rsid w:val="000F1F38"/>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63C3"/>
    <w:rsid w:val="0012687D"/>
    <w:rsid w:val="0012701A"/>
    <w:rsid w:val="00130A3E"/>
    <w:rsid w:val="00131A10"/>
    <w:rsid w:val="00131FAD"/>
    <w:rsid w:val="00132939"/>
    <w:rsid w:val="0013325D"/>
    <w:rsid w:val="001333B9"/>
    <w:rsid w:val="00135116"/>
    <w:rsid w:val="00140CA6"/>
    <w:rsid w:val="00142AE8"/>
    <w:rsid w:val="001437B3"/>
    <w:rsid w:val="00146C9B"/>
    <w:rsid w:val="00147635"/>
    <w:rsid w:val="00153807"/>
    <w:rsid w:val="00153A3D"/>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6CC"/>
    <w:rsid w:val="001807C7"/>
    <w:rsid w:val="001824C1"/>
    <w:rsid w:val="00183262"/>
    <w:rsid w:val="0018538D"/>
    <w:rsid w:val="001854CC"/>
    <w:rsid w:val="0018600F"/>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E35"/>
    <w:rsid w:val="001C7F49"/>
    <w:rsid w:val="001D00DC"/>
    <w:rsid w:val="001D4310"/>
    <w:rsid w:val="001D47E5"/>
    <w:rsid w:val="001D5623"/>
    <w:rsid w:val="001D5F37"/>
    <w:rsid w:val="001D6361"/>
    <w:rsid w:val="001D6A04"/>
    <w:rsid w:val="001D6E56"/>
    <w:rsid w:val="001D772A"/>
    <w:rsid w:val="001D7F11"/>
    <w:rsid w:val="001E060F"/>
    <w:rsid w:val="001E1952"/>
    <w:rsid w:val="001E45F8"/>
    <w:rsid w:val="001E4E30"/>
    <w:rsid w:val="001E4EFD"/>
    <w:rsid w:val="001E7569"/>
    <w:rsid w:val="001E7830"/>
    <w:rsid w:val="001F0012"/>
    <w:rsid w:val="001F0C2D"/>
    <w:rsid w:val="001F19CB"/>
    <w:rsid w:val="001F1EF2"/>
    <w:rsid w:val="001F29E3"/>
    <w:rsid w:val="001F3D80"/>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3717"/>
    <w:rsid w:val="00213D88"/>
    <w:rsid w:val="00215C69"/>
    <w:rsid w:val="002168CD"/>
    <w:rsid w:val="0021772D"/>
    <w:rsid w:val="00217D65"/>
    <w:rsid w:val="0022005D"/>
    <w:rsid w:val="00221181"/>
    <w:rsid w:val="00222052"/>
    <w:rsid w:val="00222100"/>
    <w:rsid w:val="00222A35"/>
    <w:rsid w:val="00223BFF"/>
    <w:rsid w:val="00223F0B"/>
    <w:rsid w:val="002240C9"/>
    <w:rsid w:val="00226F34"/>
    <w:rsid w:val="002272D2"/>
    <w:rsid w:val="00230AFF"/>
    <w:rsid w:val="00234569"/>
    <w:rsid w:val="00234A36"/>
    <w:rsid w:val="00234A84"/>
    <w:rsid w:val="002353AB"/>
    <w:rsid w:val="0023578D"/>
    <w:rsid w:val="002357BD"/>
    <w:rsid w:val="00236E04"/>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6096A"/>
    <w:rsid w:val="002625A5"/>
    <w:rsid w:val="002663B8"/>
    <w:rsid w:val="00266BE7"/>
    <w:rsid w:val="002727C8"/>
    <w:rsid w:val="00273ADB"/>
    <w:rsid w:val="002749C2"/>
    <w:rsid w:val="0027612D"/>
    <w:rsid w:val="00276DB0"/>
    <w:rsid w:val="002777BF"/>
    <w:rsid w:val="002859F1"/>
    <w:rsid w:val="0028607B"/>
    <w:rsid w:val="00286455"/>
    <w:rsid w:val="00287B00"/>
    <w:rsid w:val="00290A3E"/>
    <w:rsid w:val="00290C63"/>
    <w:rsid w:val="0029125E"/>
    <w:rsid w:val="00291E36"/>
    <w:rsid w:val="0029237C"/>
    <w:rsid w:val="002923C6"/>
    <w:rsid w:val="002927CE"/>
    <w:rsid w:val="00293074"/>
    <w:rsid w:val="0029513F"/>
    <w:rsid w:val="002965E5"/>
    <w:rsid w:val="00296CF5"/>
    <w:rsid w:val="002975AD"/>
    <w:rsid w:val="00297AFE"/>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66C3"/>
    <w:rsid w:val="00322A54"/>
    <w:rsid w:val="00324402"/>
    <w:rsid w:val="0032546B"/>
    <w:rsid w:val="00326B49"/>
    <w:rsid w:val="00327270"/>
    <w:rsid w:val="003274EE"/>
    <w:rsid w:val="00327853"/>
    <w:rsid w:val="0033200C"/>
    <w:rsid w:val="003325A6"/>
    <w:rsid w:val="0033291A"/>
    <w:rsid w:val="003332D8"/>
    <w:rsid w:val="0033418B"/>
    <w:rsid w:val="00335069"/>
    <w:rsid w:val="00335915"/>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322E"/>
    <w:rsid w:val="00383E9D"/>
    <w:rsid w:val="00385036"/>
    <w:rsid w:val="0038704D"/>
    <w:rsid w:val="003876CA"/>
    <w:rsid w:val="0039003C"/>
    <w:rsid w:val="0039084A"/>
    <w:rsid w:val="00391141"/>
    <w:rsid w:val="00391DD8"/>
    <w:rsid w:val="0039268B"/>
    <w:rsid w:val="00395FD6"/>
    <w:rsid w:val="00396577"/>
    <w:rsid w:val="00396A34"/>
    <w:rsid w:val="0039772C"/>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B62"/>
    <w:rsid w:val="003D58B6"/>
    <w:rsid w:val="003D7369"/>
    <w:rsid w:val="003E05FD"/>
    <w:rsid w:val="003E0E1E"/>
    <w:rsid w:val="003E1BB9"/>
    <w:rsid w:val="003E22A3"/>
    <w:rsid w:val="003E29BD"/>
    <w:rsid w:val="003E374D"/>
    <w:rsid w:val="003E4E08"/>
    <w:rsid w:val="003E52CD"/>
    <w:rsid w:val="003E70CA"/>
    <w:rsid w:val="003E7695"/>
    <w:rsid w:val="003F1DC5"/>
    <w:rsid w:val="003F2AC0"/>
    <w:rsid w:val="003F6116"/>
    <w:rsid w:val="00401866"/>
    <w:rsid w:val="00401872"/>
    <w:rsid w:val="004019B3"/>
    <w:rsid w:val="00401A08"/>
    <w:rsid w:val="004023D1"/>
    <w:rsid w:val="00403249"/>
    <w:rsid w:val="00403390"/>
    <w:rsid w:val="00404261"/>
    <w:rsid w:val="00404D82"/>
    <w:rsid w:val="0040638D"/>
    <w:rsid w:val="00406FA2"/>
    <w:rsid w:val="004079A1"/>
    <w:rsid w:val="00410648"/>
    <w:rsid w:val="00412AD9"/>
    <w:rsid w:val="004131EE"/>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5135"/>
    <w:rsid w:val="00445751"/>
    <w:rsid w:val="00447B65"/>
    <w:rsid w:val="004526BC"/>
    <w:rsid w:val="0045343E"/>
    <w:rsid w:val="00453CA7"/>
    <w:rsid w:val="00457EE9"/>
    <w:rsid w:val="0046015F"/>
    <w:rsid w:val="00460EAB"/>
    <w:rsid w:val="00462878"/>
    <w:rsid w:val="004632E0"/>
    <w:rsid w:val="00465D2C"/>
    <w:rsid w:val="00467C1D"/>
    <w:rsid w:val="00470BC1"/>
    <w:rsid w:val="004718E7"/>
    <w:rsid w:val="00472492"/>
    <w:rsid w:val="004727E9"/>
    <w:rsid w:val="00475FFE"/>
    <w:rsid w:val="00476A99"/>
    <w:rsid w:val="00476B52"/>
    <w:rsid w:val="00477945"/>
    <w:rsid w:val="00477F49"/>
    <w:rsid w:val="00480102"/>
    <w:rsid w:val="004809A5"/>
    <w:rsid w:val="004821BA"/>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4BC8"/>
    <w:rsid w:val="004C4C15"/>
    <w:rsid w:val="004C700C"/>
    <w:rsid w:val="004D01F1"/>
    <w:rsid w:val="004D1059"/>
    <w:rsid w:val="004D1C17"/>
    <w:rsid w:val="004D3AAC"/>
    <w:rsid w:val="004D3AEC"/>
    <w:rsid w:val="004D5C82"/>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73C"/>
    <w:rsid w:val="005277EF"/>
    <w:rsid w:val="00527C29"/>
    <w:rsid w:val="0053428F"/>
    <w:rsid w:val="0053442A"/>
    <w:rsid w:val="005362D7"/>
    <w:rsid w:val="00536A0D"/>
    <w:rsid w:val="005403EC"/>
    <w:rsid w:val="00540642"/>
    <w:rsid w:val="00540A1D"/>
    <w:rsid w:val="00540FC4"/>
    <w:rsid w:val="005433BC"/>
    <w:rsid w:val="0054478E"/>
    <w:rsid w:val="0054535A"/>
    <w:rsid w:val="005460B2"/>
    <w:rsid w:val="00551144"/>
    <w:rsid w:val="00554D88"/>
    <w:rsid w:val="00555C0B"/>
    <w:rsid w:val="00557F10"/>
    <w:rsid w:val="005621B9"/>
    <w:rsid w:val="005635E4"/>
    <w:rsid w:val="00563C85"/>
    <w:rsid w:val="00563D94"/>
    <w:rsid w:val="00563ED5"/>
    <w:rsid w:val="005649DC"/>
    <w:rsid w:val="005674C3"/>
    <w:rsid w:val="00570131"/>
    <w:rsid w:val="005708CF"/>
    <w:rsid w:val="0057203B"/>
    <w:rsid w:val="00572621"/>
    <w:rsid w:val="0057328B"/>
    <w:rsid w:val="00574E71"/>
    <w:rsid w:val="0057654C"/>
    <w:rsid w:val="005769D0"/>
    <w:rsid w:val="00577E1C"/>
    <w:rsid w:val="00580D8C"/>
    <w:rsid w:val="00582191"/>
    <w:rsid w:val="0058224E"/>
    <w:rsid w:val="00583BBC"/>
    <w:rsid w:val="00587A01"/>
    <w:rsid w:val="005919A7"/>
    <w:rsid w:val="00591D2D"/>
    <w:rsid w:val="0059226A"/>
    <w:rsid w:val="005922A9"/>
    <w:rsid w:val="00595025"/>
    <w:rsid w:val="0059587A"/>
    <w:rsid w:val="00597451"/>
    <w:rsid w:val="005A197D"/>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EA"/>
    <w:rsid w:val="00624E49"/>
    <w:rsid w:val="0062577E"/>
    <w:rsid w:val="00625ACC"/>
    <w:rsid w:val="006274E0"/>
    <w:rsid w:val="00627586"/>
    <w:rsid w:val="00627FF9"/>
    <w:rsid w:val="00631225"/>
    <w:rsid w:val="00631F3A"/>
    <w:rsid w:val="00632987"/>
    <w:rsid w:val="00634C0A"/>
    <w:rsid w:val="00635509"/>
    <w:rsid w:val="00636B33"/>
    <w:rsid w:val="00640711"/>
    <w:rsid w:val="0064101C"/>
    <w:rsid w:val="00641161"/>
    <w:rsid w:val="0064172F"/>
    <w:rsid w:val="006423FF"/>
    <w:rsid w:val="00643113"/>
    <w:rsid w:val="006503B7"/>
    <w:rsid w:val="006548DC"/>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A0720"/>
    <w:rsid w:val="006A1190"/>
    <w:rsid w:val="006A2A7D"/>
    <w:rsid w:val="006A2EA3"/>
    <w:rsid w:val="006A474F"/>
    <w:rsid w:val="006A4AA6"/>
    <w:rsid w:val="006A7935"/>
    <w:rsid w:val="006B043D"/>
    <w:rsid w:val="006B08B0"/>
    <w:rsid w:val="006B1D17"/>
    <w:rsid w:val="006B2894"/>
    <w:rsid w:val="006B3615"/>
    <w:rsid w:val="006B657A"/>
    <w:rsid w:val="006B74E2"/>
    <w:rsid w:val="006C00FE"/>
    <w:rsid w:val="006C4574"/>
    <w:rsid w:val="006C5021"/>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391A"/>
    <w:rsid w:val="00724B51"/>
    <w:rsid w:val="00724C35"/>
    <w:rsid w:val="007258E8"/>
    <w:rsid w:val="0072626A"/>
    <w:rsid w:val="007274A6"/>
    <w:rsid w:val="00731CAC"/>
    <w:rsid w:val="0073246A"/>
    <w:rsid w:val="00736896"/>
    <w:rsid w:val="00736B4A"/>
    <w:rsid w:val="00742259"/>
    <w:rsid w:val="00743146"/>
    <w:rsid w:val="00745A49"/>
    <w:rsid w:val="007462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1591"/>
    <w:rsid w:val="007C1FBA"/>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06B61"/>
    <w:rsid w:val="00810BD5"/>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508F"/>
    <w:rsid w:val="00855ECA"/>
    <w:rsid w:val="0085671A"/>
    <w:rsid w:val="00856ABA"/>
    <w:rsid w:val="00856EB4"/>
    <w:rsid w:val="00857D84"/>
    <w:rsid w:val="00860236"/>
    <w:rsid w:val="008605DF"/>
    <w:rsid w:val="00860780"/>
    <w:rsid w:val="00860ABD"/>
    <w:rsid w:val="00861582"/>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1F4"/>
    <w:rsid w:val="00883501"/>
    <w:rsid w:val="00883E09"/>
    <w:rsid w:val="00884522"/>
    <w:rsid w:val="00886BB4"/>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B72"/>
    <w:rsid w:val="008C4CB2"/>
    <w:rsid w:val="008C60E0"/>
    <w:rsid w:val="008D193B"/>
    <w:rsid w:val="008D638C"/>
    <w:rsid w:val="008D699C"/>
    <w:rsid w:val="008E14ED"/>
    <w:rsid w:val="008E18D0"/>
    <w:rsid w:val="008E206C"/>
    <w:rsid w:val="008E2417"/>
    <w:rsid w:val="008E4541"/>
    <w:rsid w:val="008E47E3"/>
    <w:rsid w:val="008E7A3B"/>
    <w:rsid w:val="008F027F"/>
    <w:rsid w:val="008F0A96"/>
    <w:rsid w:val="008F119A"/>
    <w:rsid w:val="008F27F0"/>
    <w:rsid w:val="008F281F"/>
    <w:rsid w:val="008F3258"/>
    <w:rsid w:val="008F49AB"/>
    <w:rsid w:val="008F4EF8"/>
    <w:rsid w:val="008F509F"/>
    <w:rsid w:val="008F5224"/>
    <w:rsid w:val="008F5999"/>
    <w:rsid w:val="008F5F7C"/>
    <w:rsid w:val="008F61BD"/>
    <w:rsid w:val="008F6E42"/>
    <w:rsid w:val="00901150"/>
    <w:rsid w:val="00901DE8"/>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7AD6"/>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AD8"/>
    <w:rsid w:val="009C62E6"/>
    <w:rsid w:val="009C7415"/>
    <w:rsid w:val="009C78ED"/>
    <w:rsid w:val="009C7D4E"/>
    <w:rsid w:val="009D219B"/>
    <w:rsid w:val="009D4082"/>
    <w:rsid w:val="009D4431"/>
    <w:rsid w:val="009D4677"/>
    <w:rsid w:val="009D4694"/>
    <w:rsid w:val="009D4A51"/>
    <w:rsid w:val="009D619B"/>
    <w:rsid w:val="009D6363"/>
    <w:rsid w:val="009D652B"/>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16A"/>
    <w:rsid w:val="00A16CDA"/>
    <w:rsid w:val="00A20A54"/>
    <w:rsid w:val="00A20CD1"/>
    <w:rsid w:val="00A22C7D"/>
    <w:rsid w:val="00A23D5E"/>
    <w:rsid w:val="00A24476"/>
    <w:rsid w:val="00A2496F"/>
    <w:rsid w:val="00A25CAE"/>
    <w:rsid w:val="00A2737B"/>
    <w:rsid w:val="00A30A68"/>
    <w:rsid w:val="00A30DE9"/>
    <w:rsid w:val="00A3340B"/>
    <w:rsid w:val="00A335BF"/>
    <w:rsid w:val="00A33D17"/>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2F03"/>
    <w:rsid w:val="00A53FE3"/>
    <w:rsid w:val="00A54D43"/>
    <w:rsid w:val="00A55797"/>
    <w:rsid w:val="00A60DF6"/>
    <w:rsid w:val="00A616C4"/>
    <w:rsid w:val="00A6183D"/>
    <w:rsid w:val="00A6369F"/>
    <w:rsid w:val="00A6459C"/>
    <w:rsid w:val="00A65805"/>
    <w:rsid w:val="00A66E09"/>
    <w:rsid w:val="00A6794A"/>
    <w:rsid w:val="00A71756"/>
    <w:rsid w:val="00A73042"/>
    <w:rsid w:val="00A73AC4"/>
    <w:rsid w:val="00A74EF2"/>
    <w:rsid w:val="00A74F0C"/>
    <w:rsid w:val="00A751D0"/>
    <w:rsid w:val="00A75C2D"/>
    <w:rsid w:val="00A7751B"/>
    <w:rsid w:val="00A77893"/>
    <w:rsid w:val="00A80130"/>
    <w:rsid w:val="00A80790"/>
    <w:rsid w:val="00A80B8F"/>
    <w:rsid w:val="00A8106F"/>
    <w:rsid w:val="00A84165"/>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7AB1"/>
    <w:rsid w:val="00B07BDE"/>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4B95"/>
    <w:rsid w:val="00B35371"/>
    <w:rsid w:val="00B353BE"/>
    <w:rsid w:val="00B35CF9"/>
    <w:rsid w:val="00B36394"/>
    <w:rsid w:val="00B364E1"/>
    <w:rsid w:val="00B36B48"/>
    <w:rsid w:val="00B36E14"/>
    <w:rsid w:val="00B371C6"/>
    <w:rsid w:val="00B3785C"/>
    <w:rsid w:val="00B40BBE"/>
    <w:rsid w:val="00B41F98"/>
    <w:rsid w:val="00B42005"/>
    <w:rsid w:val="00B42129"/>
    <w:rsid w:val="00B518F6"/>
    <w:rsid w:val="00B51FFE"/>
    <w:rsid w:val="00B52B21"/>
    <w:rsid w:val="00B531FA"/>
    <w:rsid w:val="00B5444D"/>
    <w:rsid w:val="00B60107"/>
    <w:rsid w:val="00B612B1"/>
    <w:rsid w:val="00B61400"/>
    <w:rsid w:val="00B619C5"/>
    <w:rsid w:val="00B7045D"/>
    <w:rsid w:val="00B708D8"/>
    <w:rsid w:val="00B719B9"/>
    <w:rsid w:val="00B7203F"/>
    <w:rsid w:val="00B7262D"/>
    <w:rsid w:val="00B75168"/>
    <w:rsid w:val="00B753D5"/>
    <w:rsid w:val="00B75583"/>
    <w:rsid w:val="00B75712"/>
    <w:rsid w:val="00B75A7C"/>
    <w:rsid w:val="00B75CE8"/>
    <w:rsid w:val="00B76258"/>
    <w:rsid w:val="00B80B25"/>
    <w:rsid w:val="00B81202"/>
    <w:rsid w:val="00B81AEA"/>
    <w:rsid w:val="00B823AE"/>
    <w:rsid w:val="00B83E0B"/>
    <w:rsid w:val="00B83F85"/>
    <w:rsid w:val="00B847B7"/>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BCB"/>
    <w:rsid w:val="00C23344"/>
    <w:rsid w:val="00C2396C"/>
    <w:rsid w:val="00C24F01"/>
    <w:rsid w:val="00C253B8"/>
    <w:rsid w:val="00C2564B"/>
    <w:rsid w:val="00C26986"/>
    <w:rsid w:val="00C27611"/>
    <w:rsid w:val="00C2764A"/>
    <w:rsid w:val="00C30684"/>
    <w:rsid w:val="00C3268F"/>
    <w:rsid w:val="00C336B9"/>
    <w:rsid w:val="00C338F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D49"/>
    <w:rsid w:val="00C742F7"/>
    <w:rsid w:val="00C757A5"/>
    <w:rsid w:val="00C767BB"/>
    <w:rsid w:val="00C76EAD"/>
    <w:rsid w:val="00C77B43"/>
    <w:rsid w:val="00C77BE8"/>
    <w:rsid w:val="00C81D35"/>
    <w:rsid w:val="00C828AB"/>
    <w:rsid w:val="00C83B8E"/>
    <w:rsid w:val="00C8444E"/>
    <w:rsid w:val="00C87E64"/>
    <w:rsid w:val="00C9019A"/>
    <w:rsid w:val="00C9622F"/>
    <w:rsid w:val="00C964AD"/>
    <w:rsid w:val="00CA0838"/>
    <w:rsid w:val="00CA1D68"/>
    <w:rsid w:val="00CA2515"/>
    <w:rsid w:val="00CA25BD"/>
    <w:rsid w:val="00CA2F5D"/>
    <w:rsid w:val="00CA4B60"/>
    <w:rsid w:val="00CA623E"/>
    <w:rsid w:val="00CB0532"/>
    <w:rsid w:val="00CB0578"/>
    <w:rsid w:val="00CB32C3"/>
    <w:rsid w:val="00CB37EB"/>
    <w:rsid w:val="00CB3E80"/>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5332"/>
    <w:rsid w:val="00CE065D"/>
    <w:rsid w:val="00CE12B2"/>
    <w:rsid w:val="00CE2F46"/>
    <w:rsid w:val="00CE40A4"/>
    <w:rsid w:val="00CE6503"/>
    <w:rsid w:val="00CE69F2"/>
    <w:rsid w:val="00CE6B57"/>
    <w:rsid w:val="00CE7883"/>
    <w:rsid w:val="00CF0AB4"/>
    <w:rsid w:val="00CF1336"/>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333D7"/>
    <w:rsid w:val="00D33BE9"/>
    <w:rsid w:val="00D34579"/>
    <w:rsid w:val="00D36241"/>
    <w:rsid w:val="00D36878"/>
    <w:rsid w:val="00D40AD4"/>
    <w:rsid w:val="00D41042"/>
    <w:rsid w:val="00D42A9D"/>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CB3"/>
    <w:rsid w:val="00D72DE6"/>
    <w:rsid w:val="00D74250"/>
    <w:rsid w:val="00D759D6"/>
    <w:rsid w:val="00D802DB"/>
    <w:rsid w:val="00D814F0"/>
    <w:rsid w:val="00D81B2E"/>
    <w:rsid w:val="00D86323"/>
    <w:rsid w:val="00D87BAD"/>
    <w:rsid w:val="00D91E8B"/>
    <w:rsid w:val="00D92091"/>
    <w:rsid w:val="00D92856"/>
    <w:rsid w:val="00D92B9C"/>
    <w:rsid w:val="00D93AC3"/>
    <w:rsid w:val="00D96DF7"/>
    <w:rsid w:val="00D976B7"/>
    <w:rsid w:val="00DA16F7"/>
    <w:rsid w:val="00DA1C8E"/>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C481B"/>
    <w:rsid w:val="00DD07D3"/>
    <w:rsid w:val="00DD132E"/>
    <w:rsid w:val="00DD2436"/>
    <w:rsid w:val="00DD30A1"/>
    <w:rsid w:val="00DD3601"/>
    <w:rsid w:val="00DD469B"/>
    <w:rsid w:val="00DD46A5"/>
    <w:rsid w:val="00DD5165"/>
    <w:rsid w:val="00DD6423"/>
    <w:rsid w:val="00DD7BBF"/>
    <w:rsid w:val="00DE1469"/>
    <w:rsid w:val="00DE3614"/>
    <w:rsid w:val="00DE4376"/>
    <w:rsid w:val="00DF03CD"/>
    <w:rsid w:val="00DF1B72"/>
    <w:rsid w:val="00DF1EED"/>
    <w:rsid w:val="00DF22D2"/>
    <w:rsid w:val="00DF30CB"/>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3667"/>
    <w:rsid w:val="00E4496B"/>
    <w:rsid w:val="00E45286"/>
    <w:rsid w:val="00E46CA6"/>
    <w:rsid w:val="00E47EC9"/>
    <w:rsid w:val="00E51581"/>
    <w:rsid w:val="00E51BAE"/>
    <w:rsid w:val="00E51FCC"/>
    <w:rsid w:val="00E543D3"/>
    <w:rsid w:val="00E54C6B"/>
    <w:rsid w:val="00E550F0"/>
    <w:rsid w:val="00E565E7"/>
    <w:rsid w:val="00E567C1"/>
    <w:rsid w:val="00E62071"/>
    <w:rsid w:val="00E62A2A"/>
    <w:rsid w:val="00E64A41"/>
    <w:rsid w:val="00E64DD7"/>
    <w:rsid w:val="00E65A9D"/>
    <w:rsid w:val="00E66DF5"/>
    <w:rsid w:val="00E67061"/>
    <w:rsid w:val="00E67EFA"/>
    <w:rsid w:val="00E7024C"/>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6E6"/>
    <w:rsid w:val="00EB1CD9"/>
    <w:rsid w:val="00EB2EFC"/>
    <w:rsid w:val="00EB3307"/>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D57"/>
    <w:rsid w:val="00EE2C0E"/>
    <w:rsid w:val="00EE5491"/>
    <w:rsid w:val="00EE6152"/>
    <w:rsid w:val="00EE6D9A"/>
    <w:rsid w:val="00EE7259"/>
    <w:rsid w:val="00EF0BFF"/>
    <w:rsid w:val="00EF4716"/>
    <w:rsid w:val="00EF4C59"/>
    <w:rsid w:val="00EF6850"/>
    <w:rsid w:val="00F00C9A"/>
    <w:rsid w:val="00F012DA"/>
    <w:rsid w:val="00F017EA"/>
    <w:rsid w:val="00F01941"/>
    <w:rsid w:val="00F01FE2"/>
    <w:rsid w:val="00F02EA6"/>
    <w:rsid w:val="00F076AA"/>
    <w:rsid w:val="00F109F6"/>
    <w:rsid w:val="00F129E3"/>
    <w:rsid w:val="00F12DEB"/>
    <w:rsid w:val="00F13045"/>
    <w:rsid w:val="00F1324E"/>
    <w:rsid w:val="00F144BB"/>
    <w:rsid w:val="00F151F8"/>
    <w:rsid w:val="00F158F2"/>
    <w:rsid w:val="00F15A57"/>
    <w:rsid w:val="00F15DF5"/>
    <w:rsid w:val="00F174FD"/>
    <w:rsid w:val="00F20B1C"/>
    <w:rsid w:val="00F23868"/>
    <w:rsid w:val="00F24BE3"/>
    <w:rsid w:val="00F24BF3"/>
    <w:rsid w:val="00F25F05"/>
    <w:rsid w:val="00F26D3A"/>
    <w:rsid w:val="00F26FF8"/>
    <w:rsid w:val="00F30EEC"/>
    <w:rsid w:val="00F30F57"/>
    <w:rsid w:val="00F32FF3"/>
    <w:rsid w:val="00F33B84"/>
    <w:rsid w:val="00F41058"/>
    <w:rsid w:val="00F416DD"/>
    <w:rsid w:val="00F4180E"/>
    <w:rsid w:val="00F41861"/>
    <w:rsid w:val="00F42C7D"/>
    <w:rsid w:val="00F45115"/>
    <w:rsid w:val="00F45852"/>
    <w:rsid w:val="00F50BDC"/>
    <w:rsid w:val="00F52740"/>
    <w:rsid w:val="00F53957"/>
    <w:rsid w:val="00F546A8"/>
    <w:rsid w:val="00F55032"/>
    <w:rsid w:val="00F6064C"/>
    <w:rsid w:val="00F64D47"/>
    <w:rsid w:val="00F65191"/>
    <w:rsid w:val="00F65A3D"/>
    <w:rsid w:val="00F67594"/>
    <w:rsid w:val="00F71867"/>
    <w:rsid w:val="00F74E4D"/>
    <w:rsid w:val="00F757F3"/>
    <w:rsid w:val="00F75B8B"/>
    <w:rsid w:val="00F800AA"/>
    <w:rsid w:val="00F804CF"/>
    <w:rsid w:val="00F80DE5"/>
    <w:rsid w:val="00F81C71"/>
    <w:rsid w:val="00F825B8"/>
    <w:rsid w:val="00F82FE6"/>
    <w:rsid w:val="00F831F2"/>
    <w:rsid w:val="00F83B12"/>
    <w:rsid w:val="00F84B01"/>
    <w:rsid w:val="00F84F3E"/>
    <w:rsid w:val="00F857EC"/>
    <w:rsid w:val="00F85D8A"/>
    <w:rsid w:val="00F91590"/>
    <w:rsid w:val="00F91C40"/>
    <w:rsid w:val="00F923BA"/>
    <w:rsid w:val="00F93690"/>
    <w:rsid w:val="00F94A3D"/>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456"/>
    <w:rsid w:val="00FB2ED5"/>
    <w:rsid w:val="00FB46DE"/>
    <w:rsid w:val="00FB5E42"/>
    <w:rsid w:val="00FB69C6"/>
    <w:rsid w:val="00FC2368"/>
    <w:rsid w:val="00FC32C8"/>
    <w:rsid w:val="00FC3A9D"/>
    <w:rsid w:val="00FC5276"/>
    <w:rsid w:val="00FC6296"/>
    <w:rsid w:val="00FC66F7"/>
    <w:rsid w:val="00FD08E8"/>
    <w:rsid w:val="00FD1BB0"/>
    <w:rsid w:val="00FD2789"/>
    <w:rsid w:val="00FD2F36"/>
    <w:rsid w:val="00FE1506"/>
    <w:rsid w:val="00FE317B"/>
    <w:rsid w:val="00FE3342"/>
    <w:rsid w:val="00FE3E4A"/>
    <w:rsid w:val="00FE475A"/>
    <w:rsid w:val="00FE765C"/>
    <w:rsid w:val="00FF0654"/>
    <w:rsid w:val="00FF35B6"/>
    <w:rsid w:val="00FF43B3"/>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7E24"/>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8265</Words>
  <Characters>50086</Characters>
  <Application>Microsoft Office Word</Application>
  <DocSecurity>0</DocSecurity>
  <Lines>1431</Lines>
  <Paragraphs>858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57493</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89</cp:revision>
  <dcterms:created xsi:type="dcterms:W3CDTF">2025-02-13T14:45:00Z</dcterms:created>
  <dcterms:modified xsi:type="dcterms:W3CDTF">2025-02-14T17:07:00Z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