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A5E8585"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 xml:space="preserve">room Management Measures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3CC8E9F3" w:rsidR="005F4B4F" w:rsidRPr="005F4B4F" w:rsidRDefault="005F4B4F" w:rsidP="000E6FB3">
      <w:pPr>
        <w:rPr>
          <w:rFonts w:ascii="Times New Roman" w:hAnsi="Times New Roman" w:cs="Times New Roman"/>
          <w:sz w:val="24"/>
          <w:szCs w:val="22"/>
        </w:rPr>
      </w:pPr>
      <w:commentRangeStart w:id="0"/>
      <w:r w:rsidRPr="005F4B4F">
        <w:rPr>
          <w:rFonts w:ascii="Times New Roman" w:hAnsi="Times New Roman" w:cs="Times New Roman"/>
          <w:sz w:val="24"/>
          <w:szCs w:val="22"/>
        </w:rPr>
        <w:t xml:space="preserve">Classroom disruptions </w:t>
      </w:r>
      <w:commentRangeEnd w:id="0"/>
      <w:r w:rsidR="00F84B92">
        <w:rPr>
          <w:rStyle w:val="Kommentarzeichen"/>
        </w:rPr>
        <w:commentReference w:id="0"/>
      </w:r>
      <w:r w:rsidR="00AD2C7D">
        <w:rPr>
          <w:rFonts w:ascii="Times New Roman" w:hAnsi="Times New Roman" w:cs="Times New Roman"/>
          <w:sz w:val="24"/>
          <w:szCs w:val="22"/>
        </w:rPr>
        <w:t xml:space="preserve">such as chatting with the neighbor or </w:t>
      </w:r>
      <w:r w:rsidRPr="005F4B4F">
        <w:rPr>
          <w:rFonts w:ascii="Times New Roman" w:hAnsi="Times New Roman" w:cs="Times New Roman"/>
          <w:sz w:val="24"/>
          <w:szCs w:val="22"/>
        </w:rPr>
        <w:t>significantly impact education by consuming instructional time and hindering student learning (Keller, 2014). Managing these disruptions is a core competence for teachers and essential for effective classroom management (Helmke, 2022)</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 xml:space="preserve">but novice teachers often struggle </w:t>
      </w:r>
      <w:commentRangeStart w:id="1"/>
      <w:r w:rsidRPr="005F4B4F">
        <w:rPr>
          <w:rFonts w:ascii="Times New Roman" w:hAnsi="Times New Roman" w:cs="Times New Roman"/>
          <w:sz w:val="24"/>
          <w:szCs w:val="22"/>
        </w:rPr>
        <w:t xml:space="preserve">to balance diverse student needs </w:t>
      </w:r>
      <w:commentRangeEnd w:id="1"/>
      <w:r w:rsidR="00F84B92">
        <w:rPr>
          <w:rStyle w:val="Kommentarzeichen"/>
        </w:rPr>
        <w:commentReference w:id="1"/>
      </w:r>
      <w:r w:rsidRPr="005F4B4F">
        <w:rPr>
          <w:rFonts w:ascii="Times New Roman" w:hAnsi="Times New Roman" w:cs="Times New Roman"/>
          <w:sz w:val="24"/>
          <w:szCs w:val="22"/>
        </w:rPr>
        <w:t>while minimizing disruptions (Wolff et al., 2017).</w:t>
      </w:r>
      <w:r w:rsidR="000E6FB3">
        <w:rPr>
          <w:rFonts w:ascii="Times New Roman" w:hAnsi="Times New Roman" w:cs="Times New Roman"/>
          <w:sz w:val="24"/>
          <w:szCs w:val="22"/>
        </w:rPr>
        <w:t xml:space="preserve"> </w:t>
      </w:r>
      <w:commentRangeStart w:id="2"/>
      <w:r w:rsidRPr="005F4B4F">
        <w:rPr>
          <w:rFonts w:ascii="Times New Roman" w:hAnsi="Times New Roman" w:cs="Times New Roman"/>
          <w:sz w:val="24"/>
          <w:szCs w:val="22"/>
        </w:rPr>
        <w:t xml:space="preserve">Research highlights a strong correlation between effective classroom management and positive student outcomes (Hattie, 2012; </w:t>
      </w:r>
      <w:proofErr w:type="spellStart"/>
      <w:r w:rsidRPr="005F4B4F">
        <w:rPr>
          <w:rFonts w:ascii="Times New Roman" w:hAnsi="Times New Roman" w:cs="Times New Roman"/>
          <w:sz w:val="24"/>
          <w:szCs w:val="22"/>
        </w:rPr>
        <w:t>Stronge</w:t>
      </w:r>
      <w:proofErr w:type="spellEnd"/>
      <w:r w:rsidRPr="005F4B4F">
        <w:rPr>
          <w:rFonts w:ascii="Times New Roman" w:hAnsi="Times New Roman" w:cs="Times New Roman"/>
          <w:sz w:val="24"/>
          <w:szCs w:val="22"/>
        </w:rPr>
        <w:t xml:space="preserve"> et al., 2011). Key principles include withitness, overlapping, smoothness and momentum, and group alerting (</w:t>
      </w:r>
      <w:proofErr w:type="spellStart"/>
      <w:r w:rsidRPr="005F4B4F">
        <w:rPr>
          <w:rFonts w:ascii="Times New Roman" w:hAnsi="Times New Roman" w:cs="Times New Roman"/>
          <w:sz w:val="24"/>
          <w:szCs w:val="22"/>
        </w:rPr>
        <w:t>Evertson</w:t>
      </w:r>
      <w:proofErr w:type="spellEnd"/>
      <w:r w:rsidRPr="005F4B4F">
        <w:rPr>
          <w:rFonts w:ascii="Times New Roman" w:hAnsi="Times New Roman" w:cs="Times New Roman"/>
          <w:sz w:val="24"/>
          <w:szCs w:val="22"/>
        </w:rPr>
        <w:t xml:space="preserve"> &amp; Harris, 1992</w:t>
      </w:r>
      <w:r w:rsidR="000E6FB3">
        <w:rPr>
          <w:rFonts w:ascii="Times New Roman" w:hAnsi="Times New Roman" w:cs="Times New Roman"/>
          <w:sz w:val="24"/>
          <w:szCs w:val="22"/>
        </w:rPr>
        <w:t xml:space="preserve">, </w:t>
      </w:r>
      <w:proofErr w:type="spellStart"/>
      <w:r w:rsidR="000E6FB3">
        <w:rPr>
          <w:rFonts w:ascii="Times New Roman" w:hAnsi="Times New Roman" w:cs="Times New Roman"/>
          <w:sz w:val="24"/>
          <w:szCs w:val="22"/>
        </w:rPr>
        <w:t>Kounin</w:t>
      </w:r>
      <w:proofErr w:type="spellEnd"/>
      <w:r w:rsidR="000E6FB3">
        <w:rPr>
          <w:rFonts w:ascii="Times New Roman" w:hAnsi="Times New Roman" w:cs="Times New Roman"/>
          <w:sz w:val="24"/>
          <w:szCs w:val="22"/>
        </w:rPr>
        <w:t>,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w:t>
      </w:r>
      <w:proofErr w:type="spellStart"/>
      <w:r w:rsidRPr="005F4B4F">
        <w:rPr>
          <w:rFonts w:ascii="Times New Roman" w:hAnsi="Times New Roman" w:cs="Times New Roman"/>
          <w:sz w:val="24"/>
          <w:szCs w:val="22"/>
        </w:rPr>
        <w:t>Kounin</w:t>
      </w:r>
      <w:proofErr w:type="spellEnd"/>
      <w:r w:rsidRPr="005F4B4F">
        <w:rPr>
          <w:rFonts w:ascii="Times New Roman" w:hAnsi="Times New Roman" w:cs="Times New Roman"/>
          <w:sz w:val="24"/>
          <w:szCs w:val="22"/>
        </w:rPr>
        <w:t>, 2006). This skill relies on visual attention, which is crucial for monitoring classroom dynamics and managing disruptions effectively (</w:t>
      </w:r>
      <w:proofErr w:type="spellStart"/>
      <w:r w:rsidRPr="005F4B4F">
        <w:rPr>
          <w:rFonts w:ascii="Times New Roman" w:hAnsi="Times New Roman" w:cs="Times New Roman"/>
          <w:sz w:val="24"/>
          <w:szCs w:val="22"/>
        </w:rPr>
        <w:t>Nolting</w:t>
      </w:r>
      <w:proofErr w:type="spellEnd"/>
      <w:r w:rsidRPr="005F4B4F">
        <w:rPr>
          <w:rFonts w:ascii="Times New Roman" w:hAnsi="Times New Roman" w:cs="Times New Roman"/>
          <w:sz w:val="24"/>
          <w:szCs w:val="22"/>
        </w:rPr>
        <w:t>, 2012; Marcum, 2017).</w:t>
      </w:r>
      <w:commentRangeEnd w:id="2"/>
      <w:r w:rsidR="00F84B92">
        <w:rPr>
          <w:rStyle w:val="Kommentarzeichen"/>
        </w:rPr>
        <w:commentReference w:id="2"/>
      </w:r>
    </w:p>
    <w:p w14:paraId="5D29B393" w14:textId="2927A16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w:t>
      </w:r>
      <w:r w:rsidR="00E730D0">
        <w:rPr>
          <w:rFonts w:ascii="Times New Roman" w:hAnsi="Times New Roman" w:cs="Times New Roman"/>
          <w:sz w:val="24"/>
          <w:szCs w:val="22"/>
        </w:rPr>
        <w:t xml:space="preserve">during teaching </w:t>
      </w:r>
      <w:r w:rsidRPr="005F4B4F">
        <w:rPr>
          <w:rFonts w:ascii="Times New Roman" w:hAnsi="Times New Roman" w:cs="Times New Roman"/>
          <w:sz w:val="24"/>
          <w:szCs w:val="22"/>
        </w:rPr>
        <w:t>(Dessus</w:t>
      </w:r>
      <w:r w:rsidR="006D3197">
        <w:rPr>
          <w:rFonts w:ascii="Times New Roman" w:hAnsi="Times New Roman" w:cs="Times New Roman"/>
          <w:sz w:val="24"/>
          <w:szCs w:val="22"/>
        </w:rPr>
        <w:t xml:space="preserve"> et al.</w:t>
      </w:r>
      <w:r w:rsidRPr="005F4B4F">
        <w:rPr>
          <w:rFonts w:ascii="Times New Roman" w:hAnsi="Times New Roman" w:cs="Times New Roman"/>
          <w:sz w:val="24"/>
          <w:szCs w:val="22"/>
        </w:rPr>
        <w:t xml:space="preserve">, 2016; van den </w:t>
      </w:r>
      <w:proofErr w:type="spellStart"/>
      <w:r w:rsidRPr="005F4B4F">
        <w:rPr>
          <w:rFonts w:ascii="Times New Roman" w:hAnsi="Times New Roman" w:cs="Times New Roman"/>
          <w:sz w:val="24"/>
          <w:szCs w:val="22"/>
        </w:rPr>
        <w:t>Bogert</w:t>
      </w:r>
      <w:proofErr w:type="spellEnd"/>
      <w:r w:rsidRPr="005F4B4F">
        <w:rPr>
          <w:rFonts w:ascii="Times New Roman" w:hAnsi="Times New Roman" w:cs="Times New Roman"/>
          <w:sz w:val="24"/>
          <w:szCs w:val="22"/>
        </w:rPr>
        <w:t>, 2016). Studies indicate that expert teachers exhibit more efficient gaze patterns, allowing them to notice and address disruptions swiftly (</w:t>
      </w:r>
      <w:proofErr w:type="spellStart"/>
      <w:r w:rsidRPr="005F4B4F">
        <w:rPr>
          <w:rFonts w:ascii="Times New Roman" w:hAnsi="Times New Roman" w:cs="Times New Roman"/>
          <w:sz w:val="24"/>
          <w:szCs w:val="22"/>
        </w:rPr>
        <w:t>Gegenfurtner</w:t>
      </w:r>
      <w:proofErr w:type="spellEnd"/>
      <w:r w:rsidRPr="005F4B4F">
        <w:rPr>
          <w:rFonts w:ascii="Times New Roman" w:hAnsi="Times New Roman" w:cs="Times New Roman"/>
          <w:sz w:val="24"/>
          <w:szCs w:val="22"/>
        </w:rPr>
        <w:t xml:space="preserve">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commentRangeStart w:id="3"/>
      <w:r w:rsidRPr="005F4B4F">
        <w:rPr>
          <w:rFonts w:ascii="Times New Roman" w:hAnsi="Times New Roman" w:cs="Times New Roman"/>
          <w:sz w:val="24"/>
          <w:szCs w:val="22"/>
        </w:rPr>
        <w:t xml:space="preserve">This study </w:t>
      </w:r>
      <w:commentRangeEnd w:id="3"/>
      <w:r w:rsidR="00F84B92">
        <w:rPr>
          <w:rStyle w:val="Kommentarzeichen"/>
        </w:rPr>
        <w:commentReference w:id="3"/>
      </w:r>
      <w:r w:rsidRPr="005F4B4F">
        <w:rPr>
          <w:rFonts w:ascii="Times New Roman" w:hAnsi="Times New Roman" w:cs="Times New Roman"/>
          <w:sz w:val="24"/>
          <w:szCs w:val="22"/>
        </w:rPr>
        <w:t xml:space="preserve">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commentRangeStart w:id="4"/>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commentRangeEnd w:id="4"/>
      <w:r w:rsidR="00F84B92">
        <w:rPr>
          <w:rStyle w:val="Kommentarzeichen"/>
          <w:rFonts w:ascii="Calibri" w:hAnsi="Calibri" w:cs="Arial"/>
          <w:b w:val="0"/>
        </w:rPr>
        <w:commentReference w:id="4"/>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F84B92">
        <w:rPr>
          <w:rFonts w:ascii="Times New Roman" w:hAnsi="Times New Roman" w:cs="Times New Roman"/>
          <w:sz w:val="24"/>
          <w:szCs w:val="22"/>
          <w:highlight w:val="yellow"/>
        </w:rPr>
        <w:t>Managing classroom disruptions is one essential 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commentRangeStart w:id="5"/>
      <w:r w:rsidR="00013C2F" w:rsidRPr="00F84B92">
        <w:rPr>
          <w:rFonts w:ascii="Times New Roman" w:hAnsi="Times New Roman" w:cs="Times New Roman"/>
          <w:sz w:val="24"/>
          <w:szCs w:val="22"/>
          <w:highlight w:val="yellow"/>
        </w:rPr>
        <w:t>it</w:t>
      </w:r>
      <w:commentRangeEnd w:id="5"/>
      <w:r w:rsidR="00F84B92">
        <w:rPr>
          <w:rStyle w:val="Kommentarzeichen"/>
        </w:rPr>
        <w:commentReference w:id="5"/>
      </w:r>
      <w:r w:rsidR="00013C2F" w:rsidRPr="00013C2F">
        <w:rPr>
          <w:rFonts w:ascii="Times New Roman" w:hAnsi="Times New Roman" w:cs="Times New Roman"/>
          <w:sz w:val="24"/>
          <w:szCs w:val="22"/>
        </w:rPr>
        <w:t xml:space="preserve">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Gold &amp; Holodynski</w:t>
      </w:r>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6567D617"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lastRenderedPageBreak/>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del w:id="6" w:author="Deiglmayr, Anne" w:date="2025-03-17T08:55:00Z">
        <w:r w:rsidR="00F63E2A" w:rsidRPr="00F63E2A" w:rsidDel="00F84B92">
          <w:rPr>
            <w:rFonts w:ascii="Times New Roman" w:hAnsi="Times New Roman" w:cs="Times New Roman"/>
            <w:sz w:val="24"/>
            <w:szCs w:val="22"/>
          </w:rPr>
          <w:delText xml:space="preserve">as such </w:delText>
        </w:r>
        <w:r w:rsidR="00ED779B" w:rsidDel="00F84B92">
          <w:rPr>
            <w:rFonts w:ascii="Times New Roman" w:hAnsi="Times New Roman" w:cs="Times New Roman"/>
            <w:sz w:val="24"/>
            <w:szCs w:val="22"/>
          </w:rPr>
          <w:delText>disruption</w:delText>
        </w:r>
      </w:del>
      <w:ins w:id="7" w:author="Deiglmayr, Anne" w:date="2025-03-17T08:55:00Z">
        <w:r w:rsidR="00F84B92">
          <w:rPr>
            <w:rFonts w:ascii="Times New Roman" w:hAnsi="Times New Roman" w:cs="Times New Roman"/>
            <w:sz w:val="24"/>
            <w:szCs w:val="22"/>
          </w:rPr>
          <w:t>which</w:t>
        </w:r>
      </w:ins>
      <w:del w:id="8" w:author="Deiglmayr, Anne" w:date="2025-03-17T08:55:00Z">
        <w:r w:rsidR="00ED779B" w:rsidDel="00F84B92">
          <w:rPr>
            <w:rFonts w:ascii="Times New Roman" w:hAnsi="Times New Roman" w:cs="Times New Roman"/>
            <w:sz w:val="24"/>
            <w:szCs w:val="22"/>
          </w:rPr>
          <w:delText>s</w:delText>
        </w:r>
      </w:del>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w:t>
      </w:r>
      <w:r w:rsidR="00484338" w:rsidRPr="00F84B92">
        <w:rPr>
          <w:rFonts w:ascii="Times New Roman" w:hAnsi="Times New Roman" w:cs="Times New Roman"/>
          <w:sz w:val="24"/>
          <w:szCs w:val="22"/>
          <w:highlight w:val="yellow"/>
        </w:rPr>
        <w:t>four primary types</w:t>
      </w:r>
      <w:r w:rsidR="00484338" w:rsidRPr="00484338">
        <w:rPr>
          <w:rFonts w:ascii="Times New Roman" w:hAnsi="Times New Roman" w:cs="Times New Roman"/>
          <w:sz w:val="24"/>
          <w:szCs w:val="22"/>
        </w:rPr>
        <w:t xml:space="preserve">,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 xml:space="preserve">A crucial concept </w:t>
      </w:r>
      <w:commentRangeStart w:id="9"/>
      <w:r w:rsidRPr="00727CD7">
        <w:rPr>
          <w:rFonts w:ascii="Times New Roman" w:hAnsi="Times New Roman" w:cs="Times New Roman"/>
          <w:sz w:val="24"/>
          <w:szCs w:val="22"/>
        </w:rPr>
        <w:t xml:space="preserve">in understanding these disruptions </w:t>
      </w:r>
      <w:commentRangeEnd w:id="9"/>
      <w:r w:rsidR="00F84B92">
        <w:rPr>
          <w:rStyle w:val="Kommentarzeichen"/>
        </w:rPr>
        <w:commentReference w:id="9"/>
      </w:r>
      <w:r w:rsidRPr="00727CD7">
        <w:rPr>
          <w:rFonts w:ascii="Times New Roman" w:hAnsi="Times New Roman" w:cs="Times New Roman"/>
          <w:sz w:val="24"/>
          <w:szCs w:val="22"/>
        </w:rPr>
        <w:t xml:space="preserve">is </w:t>
      </w:r>
      <w:r w:rsidRPr="00F84B92">
        <w:rPr>
          <w:rFonts w:ascii="Times New Roman" w:hAnsi="Times New Roman" w:cs="Times New Roman"/>
          <w:sz w:val="24"/>
          <w:szCs w:val="22"/>
          <w:highlight w:val="yellow"/>
        </w:rPr>
        <w:t>salience</w:t>
      </w:r>
      <w:r w:rsidRPr="00727CD7">
        <w:rPr>
          <w:rFonts w:ascii="Times New Roman" w:hAnsi="Times New Roman" w:cs="Times New Roman"/>
          <w:sz w:val="24"/>
          <w:szCs w:val="22"/>
        </w:rPr>
        <w:t>,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lastRenderedPageBreak/>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commentRangeStart w:id="10"/>
      <w:r w:rsidRPr="004C17B9">
        <w:rPr>
          <w:rFonts w:ascii="Times New Roman" w:hAnsi="Times New Roman" w:cs="Times New Roman"/>
          <w:sz w:val="24"/>
          <w:szCs w:val="24"/>
          <w:shd w:val="clear" w:color="auto" w:fill="auto"/>
          <w:lang w:eastAsia="de-DE"/>
        </w:rPr>
        <w:t>Theoretical Framework for Understanding Classroom Management Expertise</w:t>
      </w:r>
      <w:commentRangeEnd w:id="10"/>
      <w:r w:rsidR="00167BAE">
        <w:rPr>
          <w:rStyle w:val="Kommentarzeichen"/>
          <w:rFonts w:ascii="Calibri" w:hAnsi="Calibri" w:cs="Arial"/>
          <w:b w:val="0"/>
        </w:rPr>
        <w:commentReference w:id="10"/>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commentRangeStart w:id="11"/>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w:t>
      </w:r>
      <w:commentRangeEnd w:id="11"/>
      <w:r w:rsidR="00CD6AAD">
        <w:rPr>
          <w:rStyle w:val="Kommentarzeichen"/>
        </w:rPr>
        <w:commentReference w:id="11"/>
      </w:r>
      <w:r w:rsidR="00E837B9">
        <w:rPr>
          <w:rFonts w:ascii="Times New Roman" w:hAnsi="Times New Roman" w:cs="Times New Roman"/>
          <w:sz w:val="24"/>
          <w:szCs w:val="22"/>
        </w:rPr>
        <w:t xml:space="preserve">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77777777" w:rsidR="005343E9" w:rsidRPr="005343E9" w:rsidRDefault="005343E9" w:rsidP="005343E9">
      <w:pPr>
        <w:rPr>
          <w:rFonts w:ascii="Times New Roman" w:hAnsi="Times New Roman" w:cs="Times New Roman"/>
          <w:i/>
          <w:iCs/>
          <w:sz w:val="24"/>
          <w:szCs w:val="22"/>
        </w:rPr>
      </w:pPr>
      <w:commentRangeStart w:id="12"/>
      <w:commentRangeStart w:id="13"/>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commentRangeEnd w:id="12"/>
      <w:r w:rsidR="00167BAE">
        <w:rPr>
          <w:rStyle w:val="Kommentarzeichen"/>
        </w:rPr>
        <w:commentReference w:id="12"/>
      </w:r>
      <w:commentRangeEnd w:id="13"/>
      <w:r w:rsidR="00CD6AAD">
        <w:rPr>
          <w:rStyle w:val="Kommentarzeichen"/>
        </w:rPr>
        <w:commentReference w:id="13"/>
      </w:r>
    </w:p>
    <w:p w14:paraId="2FD639A0" w14:textId="486781F9" w:rsidR="005343E9" w:rsidRDefault="005343E9" w:rsidP="005343E9">
      <w:pPr>
        <w:rPr>
          <w:rFonts w:ascii="Times New Roman" w:hAnsi="Times New Roman" w:cs="Times New Roman"/>
          <w:sz w:val="24"/>
          <w:szCs w:val="22"/>
        </w:rPr>
      </w:pPr>
      <w:r w:rsidRPr="005343E9">
        <w:rPr>
          <w:rFonts w:ascii="Times New Roman" w:hAnsi="Times New Roman" w:cs="Times New Roman"/>
          <w:noProof/>
          <w:sz w:val="24"/>
          <w:szCs w:val="22"/>
        </w:rPr>
        <w:drawing>
          <wp:inline distT="0" distB="0" distL="0" distR="0" wp14:anchorId="45F1F743" wp14:editId="6EA79BF4">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070"/>
                    </a:xfrm>
                    <a:prstGeom prst="rect">
                      <a:avLst/>
                    </a:prstGeom>
                  </pic:spPr>
                </pic:pic>
              </a:graphicData>
            </a:graphic>
          </wp:inline>
        </w:drawing>
      </w:r>
      <w:r w:rsidRPr="005343E9">
        <w:rPr>
          <w:rFonts w:ascii="Times New Roman" w:hAnsi="Times New Roman" w:cs="Times New Roman"/>
          <w:sz w:val="24"/>
          <w:szCs w:val="22"/>
        </w:rPr>
        <w:t xml:space="preserve"> </w:t>
      </w: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 xml:space="preserve">eachers require </w:t>
      </w:r>
      <w:commentRangeStart w:id="14"/>
      <w:r w:rsidR="004E76A8" w:rsidRPr="004E76A8">
        <w:rPr>
          <w:rFonts w:ascii="Times New Roman" w:hAnsi="Times New Roman" w:cs="Times New Roman"/>
          <w:sz w:val="24"/>
          <w:szCs w:val="22"/>
        </w:rPr>
        <w:t>professional competencies</w:t>
      </w:r>
      <w:commentRangeEnd w:id="14"/>
      <w:r w:rsidR="00167BAE">
        <w:rPr>
          <w:rStyle w:val="Kommentarzeichen"/>
        </w:rPr>
        <w:commentReference w:id="14"/>
      </w:r>
      <w:r w:rsidR="004E76A8" w:rsidRPr="004E76A8">
        <w:rPr>
          <w:rFonts w:ascii="Times New Roman" w:hAnsi="Times New Roman" w:cs="Times New Roman"/>
          <w:sz w:val="24"/>
          <w:szCs w:val="22"/>
        </w:rPr>
        <w:t>.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(Blömeke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(Kunter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w:t>
      </w:r>
      <w:r w:rsidR="004E76A8" w:rsidRPr="004E76A8">
        <w:rPr>
          <w:rFonts w:ascii="Times New Roman" w:hAnsi="Times New Roman" w:cs="Times New Roman"/>
          <w:sz w:val="24"/>
          <w:szCs w:val="22"/>
        </w:rPr>
        <w:lastRenderedPageBreak/>
        <w:t xml:space="preserve">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commentRangeStart w:id="15"/>
      <w:r w:rsidR="00AA72CF" w:rsidRPr="00AA72CF">
        <w:rPr>
          <w:rFonts w:ascii="Times New Roman" w:hAnsi="Times New Roman" w:cs="Times New Roman"/>
          <w:sz w:val="24"/>
          <w:szCs w:val="22"/>
        </w:rPr>
        <w:t>.</w:t>
      </w:r>
      <w:commentRangeEnd w:id="15"/>
      <w:r w:rsidR="00CD6AAD">
        <w:rPr>
          <w:rStyle w:val="Kommentarzeichen"/>
        </w:rPr>
        <w:commentReference w:id="15"/>
      </w:r>
    </w:p>
    <w:p w14:paraId="61F39631" w14:textId="2A3A21D9" w:rsidR="00043932" w:rsidRDefault="004E76A8" w:rsidP="00B21F81">
      <w:pPr>
        <w:rPr>
          <w:rFonts w:ascii="Times New Roman" w:hAnsi="Times New Roman" w:cs="Times New Roman"/>
          <w:sz w:val="24"/>
          <w:szCs w:val="22"/>
        </w:rPr>
      </w:pPr>
      <w:commentRangeStart w:id="16"/>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w:t>
      </w:r>
      <w:commentRangeEnd w:id="16"/>
      <w:r w:rsidR="00CD6AAD">
        <w:rPr>
          <w:rStyle w:val="Kommentarzeichen"/>
        </w:rPr>
        <w:commentReference w:id="16"/>
      </w:r>
      <w:r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Noticing involves identifying classroom events that are crucial for instructional success </w:t>
      </w:r>
      <w:r w:rsidR="00345BD7" w:rsidRPr="00345BD7">
        <w:rPr>
          <w:rFonts w:ascii="Times New Roman" w:hAnsi="Times New Roman" w:cs="Times New Roman"/>
          <w:sz w:val="24"/>
          <w:szCs w:val="22"/>
        </w:rPr>
        <w:lastRenderedPageBreak/>
        <w:t>(Seidel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commentRangeStart w:id="17"/>
      <w:r w:rsidR="00345BD7" w:rsidRPr="00345BD7">
        <w:rPr>
          <w:rFonts w:ascii="Times New Roman" w:hAnsi="Times New Roman" w:cs="Times New Roman"/>
          <w:sz w:val="24"/>
          <w:szCs w:val="22"/>
        </w:rPr>
        <w:t>.</w:t>
      </w:r>
      <w:commentRangeEnd w:id="17"/>
      <w:r w:rsidR="00CD6AAD">
        <w:rPr>
          <w:rStyle w:val="Kommentarzeichen"/>
        </w:rPr>
        <w:commentReference w:id="17"/>
      </w:r>
    </w:p>
    <w:p w14:paraId="799F9A54" w14:textId="43FE006D" w:rsidR="00A65C17" w:rsidRDefault="00A65C17" w:rsidP="006B67A9">
      <w:pPr>
        <w:pStyle w:val="berschrift2"/>
        <w:rPr>
          <w:rFonts w:ascii="Times New Roman" w:hAnsi="Times New Roman" w:cs="Times New Roman"/>
          <w:sz w:val="24"/>
          <w:szCs w:val="24"/>
        </w:rPr>
      </w:pPr>
      <w:commentRangeStart w:id="18"/>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8"/>
      <w:r w:rsidR="008A0AF7">
        <w:rPr>
          <w:rStyle w:val="Kommentarzeichen"/>
          <w:rFonts w:ascii="Calibri" w:hAnsi="Calibri" w:cs="Arial"/>
          <w:b w:val="0"/>
        </w:rPr>
        <w:commentReference w:id="18"/>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AD2C7D">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xml:space="preserve">. In contrast, novices lack these structured knowledge networks, leading to fragmented perceptions and less effective </w:t>
      </w:r>
      <w:r w:rsidRPr="001740A1">
        <w:rPr>
          <w:rFonts w:ascii="Times New Roman" w:hAnsi="Times New Roman" w:cs="Times New Roman"/>
          <w:sz w:val="24"/>
          <w:szCs w:val="22"/>
        </w:rPr>
        <w:lastRenderedPageBreak/>
        <w:t>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5F26591C"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del w:id="19" w:author="Deiglmayr, Anne" w:date="2025-03-17T09:07:00Z">
        <w:r w:rsidRPr="001740A1" w:rsidDel="008A0AF7">
          <w:rPr>
            <w:rFonts w:ascii="Times New Roman" w:hAnsi="Times New Roman" w:cs="Times New Roman"/>
            <w:sz w:val="24"/>
            <w:szCs w:val="22"/>
          </w:rPr>
          <w:delText>approaches</w:delText>
        </w:r>
      </w:del>
      <w:ins w:id="20" w:author="Deiglmayr, Anne" w:date="2025-03-17T09:07:00Z">
        <w:r w:rsidR="008A0AF7">
          <w:rPr>
            <w:rFonts w:ascii="Times New Roman" w:hAnsi="Times New Roman" w:cs="Times New Roman"/>
            <w:sz w:val="24"/>
            <w:szCs w:val="22"/>
          </w:rPr>
          <w:t>strategies</w:t>
        </w:r>
      </w:ins>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w:t>
      </w:r>
      <w:r w:rsidRPr="001740A1">
        <w:rPr>
          <w:rFonts w:ascii="Times New Roman" w:hAnsi="Times New Roman" w:cs="Times New Roman"/>
          <w:sz w:val="24"/>
          <w:szCs w:val="22"/>
        </w:rPr>
        <w:lastRenderedPageBreak/>
        <w:t xml:space="preserve">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6A57F634" w:rsidR="00234A36" w:rsidRDefault="00234A36" w:rsidP="00234A36">
      <w:pPr>
        <w:pStyle w:val="berschrift2"/>
        <w:rPr>
          <w:rFonts w:ascii="Times New Roman" w:hAnsi="Times New Roman" w:cs="Times New Roman"/>
          <w:sz w:val="24"/>
          <w:szCs w:val="24"/>
        </w:rPr>
      </w:pPr>
      <w:del w:id="21" w:author="Deiglmayr, Anne" w:date="2025-03-17T09:09:00Z">
        <w:r w:rsidDel="008A0AF7">
          <w:rPr>
            <w:rFonts w:ascii="Times New Roman" w:hAnsi="Times New Roman" w:cs="Times New Roman"/>
            <w:sz w:val="24"/>
            <w:szCs w:val="24"/>
          </w:rPr>
          <w:delText xml:space="preserve">Eye-Tracking to </w:delText>
        </w:r>
      </w:del>
      <w:commentRangeStart w:id="22"/>
      <w:commentRangeStart w:id="23"/>
      <w:r>
        <w:rPr>
          <w:rFonts w:ascii="Times New Roman" w:hAnsi="Times New Roman" w:cs="Times New Roman"/>
          <w:sz w:val="24"/>
          <w:szCs w:val="24"/>
        </w:rPr>
        <w:t>Assess</w:t>
      </w:r>
      <w:ins w:id="24" w:author="Deiglmayr, Anne" w:date="2025-03-17T09:09:00Z">
        <w:r w:rsidR="008A0AF7">
          <w:rPr>
            <w:rFonts w:ascii="Times New Roman" w:hAnsi="Times New Roman" w:cs="Times New Roman"/>
            <w:sz w:val="24"/>
            <w:szCs w:val="24"/>
          </w:rPr>
          <w:t>ing</w:t>
        </w:r>
      </w:ins>
      <w:r w:rsidRPr="00234A36">
        <w:rPr>
          <w:rFonts w:ascii="Times New Roman" w:hAnsi="Times New Roman" w:cs="Times New Roman"/>
          <w:sz w:val="24"/>
          <w:szCs w:val="24"/>
        </w:rPr>
        <w:t xml:space="preserve"> Teachers’ Professional Vision </w:t>
      </w:r>
      <w:ins w:id="25" w:author="Deiglmayr, Anne" w:date="2025-03-17T09:09:00Z">
        <w:r w:rsidR="008A0AF7">
          <w:rPr>
            <w:rFonts w:ascii="Times New Roman" w:hAnsi="Times New Roman" w:cs="Times New Roman"/>
            <w:sz w:val="24"/>
            <w:szCs w:val="24"/>
          </w:rPr>
          <w:t>with Eye-Tracking</w:t>
        </w:r>
      </w:ins>
      <w:commentRangeEnd w:id="22"/>
      <w:ins w:id="26" w:author="Deiglmayr, Anne" w:date="2025-03-17T09:10:00Z">
        <w:r w:rsidR="008A0AF7">
          <w:rPr>
            <w:rStyle w:val="Kommentarzeichen"/>
            <w:rFonts w:ascii="Calibri" w:hAnsi="Calibri" w:cs="Arial"/>
            <w:b w:val="0"/>
          </w:rPr>
          <w:commentReference w:id="22"/>
        </w:r>
      </w:ins>
      <w:commentRangeEnd w:id="23"/>
      <w:ins w:id="27" w:author="Deiglmayr, Anne" w:date="2025-03-17T09:11:00Z">
        <w:r w:rsidR="008A0AF7">
          <w:rPr>
            <w:rStyle w:val="Kommentarzeichen"/>
            <w:rFonts w:ascii="Calibri" w:hAnsi="Calibri" w:cs="Arial"/>
            <w:b w:val="0"/>
          </w:rPr>
          <w:commentReference w:id="23"/>
        </w:r>
      </w:ins>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28"/>
      <w:r w:rsidRPr="00384E9D">
        <w:rPr>
          <w:rFonts w:ascii="Times New Roman" w:hAnsi="Times New Roman" w:cs="Times New Roman"/>
          <w:bCs/>
          <w:sz w:val="24"/>
          <w:szCs w:val="24"/>
        </w:rPr>
        <w:t>Research on Teachers’ Professional Vision Using Eye-Tracking</w:t>
      </w:r>
      <w:commentRangeEnd w:id="28"/>
      <w:r w:rsidR="008A0AF7">
        <w:rPr>
          <w:rStyle w:val="Kommentarzeichen"/>
          <w:rFonts w:ascii="Calibri" w:hAnsi="Calibri" w:cs="Arial"/>
          <w:b w:val="0"/>
        </w:rPr>
        <w:commentReference w:id="28"/>
      </w:r>
    </w:p>
    <w:p w14:paraId="5B90B254" w14:textId="3F2FC774"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t>
      </w:r>
      <w:r w:rsidR="004727E5" w:rsidRPr="004727E5">
        <w:rPr>
          <w:rFonts w:ascii="Times New Roman" w:hAnsi="Times New Roman" w:cs="Times New Roman"/>
          <w:sz w:val="24"/>
          <w:szCs w:val="22"/>
        </w:rPr>
        <w:lastRenderedPageBreak/>
        <w:t xml:space="preserve">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w:t>
      </w:r>
      <w:r w:rsidRPr="00441050">
        <w:rPr>
          <w:rFonts w:ascii="Times New Roman" w:hAnsi="Times New Roman" w:cs="Times New Roman"/>
          <w:sz w:val="24"/>
          <w:szCs w:val="22"/>
        </w:rPr>
        <w:lastRenderedPageBreak/>
        <w:t>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ins w:id="29"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30"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31"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32"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33"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34"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w:t>
      </w:r>
      <w:r w:rsidRPr="00732EC0">
        <w:rPr>
          <w:rFonts w:ascii="Times New Roman" w:eastAsia="Times New Roman" w:hAnsi="Times New Roman" w:cs="Times New Roman"/>
          <w:color w:val="000000" w:themeColor="text1"/>
          <w:sz w:val="24"/>
          <w:szCs w:val="24"/>
          <w:lang w:eastAsia="de-DE"/>
        </w:rPr>
        <w:lastRenderedPageBreak/>
        <w:t>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35"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36"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37"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38"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39"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40"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41"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w:t>
      </w:r>
      <w:r w:rsidRPr="00FC10CA">
        <w:rPr>
          <w:rFonts w:ascii="Times New Roman" w:eastAsia="Times New Roman" w:hAnsi="Times New Roman" w:cs="Times New Roman"/>
          <w:color w:val="000000" w:themeColor="text1"/>
          <w:sz w:val="24"/>
          <w:szCs w:val="24"/>
          <w:lang w:eastAsia="de-DE"/>
        </w:rPr>
        <w:lastRenderedPageBreak/>
        <w:t xml:space="preserve">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42"/>
      <w:commentRangeStart w:id="43"/>
      <w:r w:rsidR="005D351A">
        <w:rPr>
          <w:rStyle w:val="Funotenzeichen"/>
          <w:rFonts w:ascii="Times New Roman" w:eastAsia="Times New Roman" w:hAnsi="Times New Roman" w:cs="Times New Roman"/>
          <w:color w:val="000000" w:themeColor="text1"/>
          <w:sz w:val="24"/>
          <w:szCs w:val="24"/>
          <w:lang w:eastAsia="de-DE"/>
        </w:rPr>
        <w:footnoteReference w:id="2"/>
      </w:r>
      <w:commentRangeEnd w:id="42"/>
      <w:r w:rsidR="005D351A">
        <w:rPr>
          <w:rStyle w:val="Kommentarzeichen"/>
        </w:rPr>
        <w:commentReference w:id="42"/>
      </w:r>
      <w:commentRangeEnd w:id="43"/>
      <w:r w:rsidR="003A4EEE">
        <w:rPr>
          <w:rStyle w:val="Kommentarzeichen"/>
        </w:rPr>
        <w:commentReference w:id="43"/>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the </w:t>
      </w:r>
      <w:r w:rsidR="00750FCF" w:rsidRPr="00750FCF">
        <w:rPr>
          <w:rFonts w:ascii="Times New Roman" w:eastAsia="Times New Roman" w:hAnsi="Times New Roman" w:cs="Times New Roman"/>
          <w:color w:val="000000" w:themeColor="text1"/>
          <w:sz w:val="24"/>
          <w:szCs w:val="24"/>
          <w:lang w:eastAsia="de-DE"/>
        </w:rPr>
        <w:lastRenderedPageBreak/>
        <w:t>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44"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45" w:name="_Hlk189575193"/>
            <w:bookmarkEnd w:id="44"/>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45"/>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46"/>
            <w:commentRangeStart w:id="47"/>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46"/>
            <w:r w:rsidR="00EF7C70">
              <w:rPr>
                <w:rStyle w:val="Kommentarzeichen"/>
              </w:rPr>
              <w:commentReference w:id="46"/>
            </w:r>
            <w:commentRangeEnd w:id="47"/>
            <w:r w:rsidR="003A4EEE">
              <w:rPr>
                <w:rStyle w:val="Kommentarzeichen"/>
              </w:rPr>
              <w:commentReference w:id="47"/>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8"/>
      <w:commentRangeStart w:id="49"/>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8"/>
      <w:r w:rsidR="00A84761">
        <w:rPr>
          <w:rStyle w:val="Kommentarzeichen"/>
        </w:rPr>
        <w:commentReference w:id="48"/>
      </w:r>
      <w:commentRangeEnd w:id="49"/>
      <w:r w:rsidR="003A4EEE">
        <w:rPr>
          <w:rStyle w:val="Kommentarzeichen"/>
        </w:rPr>
        <w:commentReference w:id="49"/>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0"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0"/>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r w:rsidRPr="006A6A5C">
        <w:rPr>
          <w:lang w:val="de-DE"/>
        </w:rPr>
        <w:t xml:space="preserve">Beaty-O’Ferrall,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r>
        <w:t xml:space="preserve">Blömeke,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r>
        <w:t xml:space="preserve">Borko,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Kingsbery,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lastRenderedPageBreak/>
        <w:t xml:space="preserve">Cohen, J. (1988). Statistical power for the behavioural sciences. Hilsdale.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VanWinkle,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r>
        <w:t xml:space="preserve">Djigic, G., &amp; Stojiljkovic,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Reusser,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(1), Article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r w:rsidRPr="006A6A5C">
        <w:rPr>
          <w:lang w:val="de-DE"/>
        </w:rPr>
        <w:t xml:space="preserve">Evertson,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r>
        <w:t xml:space="preserve">Fenstermacher,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Holodynski,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lastRenderedPageBreak/>
        <w:t xml:space="preserve">Grub, A.-S. (2023). </w:t>
      </w:r>
      <w:r>
        <w:rPr>
          <w:i/>
          <w:iCs/>
        </w:rPr>
        <w:t>PRONOEA - Professional vision of novice and expert teachers</w:t>
      </w:r>
      <w:r>
        <w:t xml:space="preserve"> [doctoralThesis, Saarländische Universitäts- und Landesbibliothek]. https://doi.org/10.22028/D291-39788</w:t>
      </w:r>
    </w:p>
    <w:p w14:paraId="76488A02" w14:textId="77777777" w:rsidR="006A6A5C" w:rsidRDefault="006A6A5C" w:rsidP="006A6A5C">
      <w:pPr>
        <w:pStyle w:val="Literaturverzeichnis"/>
      </w:pPr>
      <w:r>
        <w:t xml:space="preserve">Grub, A.-S., Biermann, A., &amp; Brünken,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Lenske,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Weiß,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r>
        <w:t xml:space="preserve">Kilbury, M., Böhnke, A., Haase,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lastRenderedPageBreak/>
        <w:t xml:space="preserve">Kraft, M. A., &amp; Monti-Nussbaum, M. (2021). </w:t>
      </w:r>
      <w:r>
        <w:t xml:space="preserve">The Big Problem With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r>
        <w:t xml:space="preserve">Kunter,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Jarodzka, H., &amp; Nückles, M. (2016). What makes an expert teacher?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Borko,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Cornelsen-Scriptor.</w:t>
      </w:r>
    </w:p>
    <w:p w14:paraId="7C91B32D" w14:textId="77777777" w:rsidR="006A6A5C" w:rsidRDefault="006A6A5C" w:rsidP="006A6A5C">
      <w:pPr>
        <w:pStyle w:val="Literaturverzeichnis"/>
      </w:pPr>
      <w:r>
        <w:t xml:space="preserve">Marder, J., Thiel, F., &amp; Göllner,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r>
        <w:t xml:space="preserve">Onkhar, V., Dodou, D., &amp; de Winter, J. C. F. (2024). Evaluating the Tobii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r>
        <w:lastRenderedPageBreak/>
        <w:t xml:space="preserve">Ophardt,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r w:rsidRPr="006A6A5C">
        <w:rPr>
          <w:lang w:val="de-DE"/>
        </w:rPr>
        <w:t xml:space="preserve">RStudio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Teaching:Foundations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r>
        <w:t xml:space="preserve">Tobii AB. (2024). </w:t>
      </w:r>
      <w:r>
        <w:rPr>
          <w:i/>
          <w:iCs/>
        </w:rPr>
        <w:t>Tobii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Bogert, N., Van Bruggen, J., Kostons,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Hoehne, V., &amp; Baumert, J. (2014). Die Bedeutung des pädagogisch-psychologischen Wissens von angehenden Lehrkräften für die Unterrichtsqualität. </w:t>
      </w:r>
      <w:r>
        <w:rPr>
          <w:i/>
          <w:iCs/>
        </w:rPr>
        <w:t>Zeitschrift für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lastRenderedPageBreak/>
        <w:t xml:space="preserve">Wolff, C. E., Jarodzka, H., &amp; Boshuizen,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Jarodzka, H., &amp; Boshuizen, H. P. A. (2021). Classroom management scripts: A theoretical model contrasting expert and novice teachers’ knowledge and awareness of classroom events. </w:t>
      </w:r>
      <w:r w:rsidRPr="006A6A5C">
        <w:rPr>
          <w:i/>
          <w:iCs/>
          <w:lang w:val="de-DE"/>
        </w:rPr>
        <w:t>Educational Psychology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wbv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3-17T08:47:00Z" w:initials="DA">
    <w:p w14:paraId="568D8458" w14:textId="49F63E4D" w:rsidR="00F84B92" w:rsidRPr="00F84B92" w:rsidRDefault="00F84B92">
      <w:pPr>
        <w:pStyle w:val="Kommentartext"/>
      </w:pPr>
      <w:r>
        <w:rPr>
          <w:rStyle w:val="Kommentarzeichen"/>
        </w:rPr>
        <w:annotationRef/>
      </w:r>
      <w:r w:rsidRPr="00F84B92">
        <w:rPr>
          <w:lang w:val="de-DE"/>
        </w:rPr>
        <w:t>Bei der ersten Erwähnung w</w:t>
      </w:r>
      <w:r>
        <w:rPr>
          <w:lang w:val="de-DE"/>
        </w:rPr>
        <w:t xml:space="preserve">ürde ich ein paar kurze Beispiele geben, was gemeint ist. </w:t>
      </w:r>
      <w:r w:rsidRPr="00F84B92">
        <w:t>Classroom disruptions, such</w:t>
      </w:r>
      <w:r>
        <w:t xml:space="preserve"> </w:t>
      </w:r>
      <w:r w:rsidRPr="00F84B92">
        <w:t xml:space="preserve">as students chatting with their </w:t>
      </w:r>
      <w:proofErr w:type="gramStart"/>
      <w:r w:rsidRPr="00F84B92">
        <w:t>neighbor,…</w:t>
      </w:r>
      <w:proofErr w:type="gramEnd"/>
      <w:r w:rsidRPr="00F84B92">
        <w:t xml:space="preserve"> </w:t>
      </w:r>
      <w:proofErr w:type="spellStart"/>
      <w:r w:rsidRPr="00F84B92">
        <w:t>o.ä</w:t>
      </w:r>
      <w:proofErr w:type="spellEnd"/>
      <w:r>
        <w:t>.</w:t>
      </w:r>
    </w:p>
  </w:comment>
  <w:comment w:id="1" w:author="Deiglmayr, Anne" w:date="2025-03-17T08:49:00Z" w:initials="DA">
    <w:p w14:paraId="06C0FC06" w14:textId="4CB0EC19" w:rsidR="00F84B92" w:rsidRPr="00F84B92" w:rsidRDefault="00F84B92">
      <w:pPr>
        <w:pStyle w:val="Kommentartext"/>
        <w:rPr>
          <w:lang w:val="de-DE"/>
        </w:rPr>
      </w:pPr>
      <w:r>
        <w:rPr>
          <w:rStyle w:val="Kommentarzeichen"/>
        </w:rPr>
        <w:annotationRef/>
      </w:r>
      <w:r w:rsidRPr="00F84B92">
        <w:rPr>
          <w:lang w:val="de-DE"/>
        </w:rPr>
        <w:t>Das finde ich zu</w:t>
      </w:r>
      <w:r>
        <w:rPr>
          <w:lang w:val="de-DE"/>
        </w:rPr>
        <w:t xml:space="preserve"> </w:t>
      </w:r>
      <w:r w:rsidRPr="00F84B92">
        <w:rPr>
          <w:lang w:val="de-DE"/>
        </w:rPr>
        <w:t>weit w</w:t>
      </w:r>
      <w:r>
        <w:rPr>
          <w:lang w:val="de-DE"/>
        </w:rPr>
        <w:t xml:space="preserve">eg von </w:t>
      </w:r>
      <w:proofErr w:type="spellStart"/>
      <w:r>
        <w:rPr>
          <w:lang w:val="de-DE"/>
        </w:rPr>
        <w:t>classroom</w:t>
      </w:r>
      <w:proofErr w:type="spellEnd"/>
      <w:r>
        <w:rPr>
          <w:lang w:val="de-DE"/>
        </w:rPr>
        <w:t xml:space="preserve"> </w:t>
      </w:r>
      <w:proofErr w:type="spellStart"/>
      <w:r>
        <w:rPr>
          <w:lang w:val="de-DE"/>
        </w:rPr>
        <w:t>disruptions</w:t>
      </w:r>
      <w:proofErr w:type="spellEnd"/>
    </w:p>
  </w:comment>
  <w:comment w:id="2" w:author="Deiglmayr, Anne" w:date="2025-03-17T08:50:00Z" w:initials="DA">
    <w:p w14:paraId="3A5E493C" w14:textId="09EBFB7D" w:rsidR="00F84B92" w:rsidRPr="00F84B92" w:rsidRDefault="00F84B92">
      <w:pPr>
        <w:pStyle w:val="Kommentartext"/>
        <w:rPr>
          <w:lang w:val="de-DE"/>
        </w:rPr>
      </w:pPr>
      <w:r>
        <w:rPr>
          <w:rStyle w:val="Kommentarzeichen"/>
        </w:rPr>
        <w:annotationRef/>
      </w:r>
      <w:r w:rsidRPr="00F84B92">
        <w:rPr>
          <w:lang w:val="de-DE"/>
        </w:rPr>
        <w:t xml:space="preserve">Vorsicht, hier wird </w:t>
      </w:r>
      <w:proofErr w:type="spellStart"/>
      <w:r w:rsidRPr="00F84B92">
        <w:rPr>
          <w:lang w:val="de-DE"/>
        </w:rPr>
        <w:t>managing</w:t>
      </w:r>
      <w:proofErr w:type="spellEnd"/>
      <w:r w:rsidRPr="00F84B92">
        <w:rPr>
          <w:lang w:val="de-DE"/>
        </w:rPr>
        <w:t xml:space="preserve"> </w:t>
      </w:r>
      <w:proofErr w:type="spellStart"/>
      <w:r w:rsidRPr="00F84B92">
        <w:rPr>
          <w:lang w:val="de-DE"/>
        </w:rPr>
        <w:t>D</w:t>
      </w:r>
      <w:r>
        <w:rPr>
          <w:lang w:val="de-DE"/>
        </w:rPr>
        <w:t>isruptions</w:t>
      </w:r>
      <w:proofErr w:type="spellEnd"/>
      <w:r>
        <w:rPr>
          <w:lang w:val="de-DE"/>
        </w:rPr>
        <w:t xml:space="preserve"> mit </w:t>
      </w:r>
      <w:proofErr w:type="spellStart"/>
      <w:r>
        <w:rPr>
          <w:lang w:val="de-DE"/>
        </w:rPr>
        <w:t>classroom</w:t>
      </w:r>
      <w:proofErr w:type="spellEnd"/>
      <w:r>
        <w:rPr>
          <w:lang w:val="de-DE"/>
        </w:rPr>
        <w:t xml:space="preserve"> Management gleichgesetzt; es ist aber nur eine Facette davon. Lass das </w:t>
      </w:r>
      <w:proofErr w:type="gramStart"/>
      <w:r>
        <w:rPr>
          <w:lang w:val="de-DE"/>
        </w:rPr>
        <w:t>in der Intro</w:t>
      </w:r>
      <w:proofErr w:type="gramEnd"/>
      <w:r>
        <w:rPr>
          <w:lang w:val="de-DE"/>
        </w:rPr>
        <w:t xml:space="preserve"> eher weg; später solltest du dann die Beziehung der beiden Konstrukte explizieren…</w:t>
      </w:r>
    </w:p>
  </w:comment>
  <w:comment w:id="3" w:author="Deiglmayr, Anne" w:date="2025-03-17T08:52:00Z" w:initials="DA">
    <w:p w14:paraId="3D1BAEAC" w14:textId="19E7C71E" w:rsidR="00F84B92" w:rsidRPr="00F84B92" w:rsidRDefault="00F84B92">
      <w:pPr>
        <w:pStyle w:val="Kommentartext"/>
        <w:rPr>
          <w:lang w:val="de-DE"/>
        </w:rPr>
      </w:pPr>
      <w:r>
        <w:rPr>
          <w:rStyle w:val="Kommentarzeichen"/>
        </w:rPr>
        <w:annotationRef/>
      </w:r>
      <w:r w:rsidRPr="00F84B92">
        <w:rPr>
          <w:lang w:val="de-DE"/>
        </w:rPr>
        <w:t>Hier fehlt mir der F</w:t>
      </w:r>
      <w:r>
        <w:rPr>
          <w:lang w:val="de-DE"/>
        </w:rPr>
        <w:t xml:space="preserve">okus auf </w:t>
      </w:r>
      <w:proofErr w:type="spellStart"/>
      <w:r>
        <w:rPr>
          <w:lang w:val="de-DE"/>
        </w:rPr>
        <w:t>Disruptions</w:t>
      </w:r>
      <w:proofErr w:type="spellEnd"/>
    </w:p>
  </w:comment>
  <w:comment w:id="4" w:author="Deiglmayr, Anne" w:date="2025-03-17T08:52:00Z" w:initials="DA">
    <w:p w14:paraId="6BCE7787" w14:textId="6334A3F9" w:rsidR="00F84B92" w:rsidRPr="00F84B92" w:rsidRDefault="00F84B92">
      <w:pPr>
        <w:pStyle w:val="Kommentartext"/>
        <w:rPr>
          <w:lang w:val="de-DE"/>
        </w:rPr>
      </w:pPr>
      <w:r>
        <w:rPr>
          <w:rStyle w:val="Kommentarzeichen"/>
        </w:rPr>
        <w:annotationRef/>
      </w:r>
      <w:r w:rsidRPr="00F84B92">
        <w:rPr>
          <w:lang w:val="de-DE"/>
        </w:rPr>
        <w:t xml:space="preserve">Gliederung </w:t>
      </w:r>
      <w:r>
        <w:rPr>
          <w:lang w:val="de-DE"/>
        </w:rPr>
        <w:t>Intro</w:t>
      </w:r>
      <w:r w:rsidRPr="00F84B92">
        <w:rPr>
          <w:lang w:val="de-DE"/>
        </w:rPr>
        <w:t xml:space="preserve"> und Gliederung T</w:t>
      </w:r>
      <w:r>
        <w:rPr>
          <w:lang w:val="de-DE"/>
        </w:rPr>
        <w:t xml:space="preserve">heorieteil sollten ähnlich sein – Einstieg über </w:t>
      </w:r>
      <w:proofErr w:type="spellStart"/>
      <w:r>
        <w:rPr>
          <w:lang w:val="de-DE"/>
        </w:rPr>
        <w:t>disruptions</w:t>
      </w:r>
      <w:proofErr w:type="spellEnd"/>
      <w:r>
        <w:rPr>
          <w:lang w:val="de-DE"/>
        </w:rPr>
        <w:t>, oder Einstieg über CM? Beides möglich, aber einheitlich verwenden. Außerdem: Beziehung der beiden Konstrukte klarstellen</w:t>
      </w:r>
    </w:p>
  </w:comment>
  <w:comment w:id="5" w:author="Deiglmayr, Anne" w:date="2025-03-17T08:54:00Z" w:initials="DA">
    <w:p w14:paraId="74148699" w14:textId="6620049E" w:rsidR="00F84B92" w:rsidRPr="00F84B92" w:rsidRDefault="00F84B92">
      <w:pPr>
        <w:pStyle w:val="Kommentartext"/>
        <w:rPr>
          <w:lang w:val="de-DE"/>
        </w:rPr>
      </w:pPr>
      <w:r>
        <w:rPr>
          <w:rStyle w:val="Kommentarzeichen"/>
        </w:rPr>
        <w:annotationRef/>
      </w:r>
      <w:r w:rsidRPr="00F84B92">
        <w:rPr>
          <w:lang w:val="de-DE"/>
        </w:rPr>
        <w:t>Referent?</w:t>
      </w:r>
    </w:p>
  </w:comment>
  <w:comment w:id="9" w:author="Deiglmayr, Anne" w:date="2025-03-17T08:56:00Z" w:initials="DA">
    <w:p w14:paraId="61F29F7F" w14:textId="4D5AAE50" w:rsidR="00F84B92" w:rsidRPr="00F84B92" w:rsidRDefault="00F84B92">
      <w:pPr>
        <w:pStyle w:val="Kommentartext"/>
        <w:rPr>
          <w:lang w:val="de-DE"/>
        </w:rPr>
      </w:pPr>
      <w:r>
        <w:rPr>
          <w:rStyle w:val="Kommentarzeichen"/>
        </w:rPr>
        <w:annotationRef/>
      </w:r>
      <w:r w:rsidRPr="00F84B92">
        <w:rPr>
          <w:lang w:val="de-DE"/>
        </w:rPr>
        <w:t xml:space="preserve">Hier schon Bezug zu </w:t>
      </w:r>
      <w:proofErr w:type="spellStart"/>
      <w:r w:rsidRPr="00F84B92">
        <w:rPr>
          <w:lang w:val="de-DE"/>
        </w:rPr>
        <w:t>n</w:t>
      </w:r>
      <w:r>
        <w:rPr>
          <w:lang w:val="de-DE"/>
        </w:rPr>
        <w:t>oticing</w:t>
      </w:r>
      <w:proofErr w:type="spellEnd"/>
      <w:r>
        <w:rPr>
          <w:lang w:val="de-DE"/>
        </w:rPr>
        <w:t xml:space="preserve"> als</w:t>
      </w:r>
      <w:r w:rsidR="00167BAE">
        <w:rPr>
          <w:lang w:val="de-DE"/>
        </w:rPr>
        <w:t xml:space="preserve"> einem Aspekt von effektivem </w:t>
      </w:r>
      <w:proofErr w:type="spellStart"/>
      <w:r w:rsidR="00167BAE">
        <w:rPr>
          <w:lang w:val="de-DE"/>
        </w:rPr>
        <w:t>disruption</w:t>
      </w:r>
      <w:proofErr w:type="spellEnd"/>
      <w:r w:rsidR="00167BAE">
        <w:rPr>
          <w:lang w:val="de-DE"/>
        </w:rPr>
        <w:t xml:space="preserve"> </w:t>
      </w:r>
      <w:proofErr w:type="spellStart"/>
      <w:r w:rsidR="00167BAE">
        <w:rPr>
          <w:lang w:val="de-DE"/>
        </w:rPr>
        <w:t>management</w:t>
      </w:r>
      <w:proofErr w:type="spellEnd"/>
    </w:p>
  </w:comment>
  <w:comment w:id="10" w:author="Deiglmayr, Anne" w:date="2025-03-17T08:56:00Z" w:initials="DA">
    <w:p w14:paraId="768E79BF" w14:textId="73CAF2EB" w:rsidR="00167BAE" w:rsidRPr="00167BAE" w:rsidRDefault="00167BAE">
      <w:pPr>
        <w:pStyle w:val="Kommentartext"/>
        <w:rPr>
          <w:lang w:val="de-DE"/>
        </w:rPr>
      </w:pPr>
      <w:r>
        <w:rPr>
          <w:rStyle w:val="Kommentarzeichen"/>
        </w:rPr>
        <w:annotationRef/>
      </w:r>
      <w:r w:rsidRPr="00167BAE">
        <w:rPr>
          <w:lang w:val="de-DE"/>
        </w:rPr>
        <w:t xml:space="preserve">Hier “springt” </w:t>
      </w:r>
      <w:r>
        <w:rPr>
          <w:lang w:val="de-DE"/>
        </w:rPr>
        <w:t>der Text</w:t>
      </w:r>
      <w:r w:rsidRPr="00167BAE">
        <w:rPr>
          <w:lang w:val="de-DE"/>
        </w:rPr>
        <w:t xml:space="preserve"> wieder z</w:t>
      </w:r>
      <w:r>
        <w:rPr>
          <w:lang w:val="de-DE"/>
        </w:rPr>
        <w:t>urück zu CM…</w:t>
      </w:r>
    </w:p>
  </w:comment>
  <w:comment w:id="11" w:author="Deiglmayr, Anne" w:date="2025-03-17T09:03:00Z" w:initials="DA">
    <w:p w14:paraId="4848E65C" w14:textId="4B132F6C" w:rsidR="00CD6AAD" w:rsidRPr="00CD6AAD" w:rsidRDefault="00CD6AAD">
      <w:pPr>
        <w:pStyle w:val="Kommentartext"/>
        <w:rPr>
          <w:lang w:val="de-DE"/>
        </w:rPr>
      </w:pPr>
      <w:r>
        <w:rPr>
          <w:rStyle w:val="Kommentarzeichen"/>
        </w:rPr>
        <w:annotationRef/>
      </w:r>
      <w:r w:rsidRPr="00CD6AAD">
        <w:rPr>
          <w:lang w:val="de-DE"/>
        </w:rPr>
        <w:t>Von i</w:t>
      </w:r>
      <w:r>
        <w:rPr>
          <w:lang w:val="de-DE"/>
        </w:rPr>
        <w:t>hr ist „nur“ die Grafik, die Theorie ist von Blömeke – diese Referenz (Blömeke) ist daher wichtiger</w:t>
      </w:r>
    </w:p>
  </w:comment>
  <w:comment w:id="12" w:author="Deiglmayr, Anne" w:date="2025-03-17T08:58:00Z" w:initials="DA">
    <w:p w14:paraId="4BD6179C" w14:textId="4DF22473" w:rsidR="00167BAE" w:rsidRPr="00167BAE" w:rsidRDefault="00167BAE">
      <w:pPr>
        <w:pStyle w:val="Kommentartext"/>
        <w:rPr>
          <w:lang w:val="de-DE"/>
        </w:rPr>
      </w:pPr>
      <w:r>
        <w:rPr>
          <w:rStyle w:val="Kommentarzeichen"/>
        </w:rPr>
        <w:annotationRef/>
      </w:r>
      <w:r w:rsidRPr="00167BAE">
        <w:rPr>
          <w:lang w:val="de-DE"/>
        </w:rPr>
        <w:t>Bitte inhaltlich aussagekräftigen Titel</w:t>
      </w:r>
    </w:p>
  </w:comment>
  <w:comment w:id="13" w:author="Deiglmayr, Anne" w:date="2025-03-17T09:04:00Z" w:initials="DA">
    <w:p w14:paraId="3A0F1EFF" w14:textId="33E0BA5E" w:rsidR="00CD6AAD" w:rsidRPr="00CD6AAD" w:rsidRDefault="00CD6AAD">
      <w:pPr>
        <w:pStyle w:val="Kommentartext"/>
        <w:rPr>
          <w:lang w:val="de-DE"/>
        </w:rPr>
      </w:pPr>
      <w:r>
        <w:rPr>
          <w:rStyle w:val="Kommentarzeichen"/>
        </w:rPr>
        <w:annotationRef/>
      </w:r>
      <w:r w:rsidRPr="00CD6AAD">
        <w:rPr>
          <w:lang w:val="de-DE"/>
        </w:rPr>
        <w:t>Die Bedeutung der verschieden f</w:t>
      </w:r>
      <w:r>
        <w:rPr>
          <w:lang w:val="de-DE"/>
        </w:rPr>
        <w:t>arbigen Kästchen erschließt sich mir nicht, v.a. nicht das „weiße“ Kästchen – warum ist das weiß und nicht grau?</w:t>
      </w:r>
    </w:p>
  </w:comment>
  <w:comment w:id="14" w:author="Deiglmayr, Anne" w:date="2025-03-17T08:59:00Z" w:initials="DA">
    <w:p w14:paraId="5D6D32C2" w14:textId="69F24836" w:rsidR="00167BAE" w:rsidRPr="00167BAE" w:rsidRDefault="00167BAE">
      <w:pPr>
        <w:pStyle w:val="Kommentartext"/>
        <w:rPr>
          <w:lang w:val="de-DE"/>
        </w:rPr>
      </w:pPr>
      <w:r>
        <w:rPr>
          <w:rStyle w:val="Kommentarzeichen"/>
        </w:rPr>
        <w:annotationRef/>
      </w:r>
      <w:r w:rsidRPr="00167BAE">
        <w:rPr>
          <w:lang w:val="de-DE"/>
        </w:rPr>
        <w:t>Zu w</w:t>
      </w:r>
      <w:r>
        <w:rPr>
          <w:lang w:val="de-DE"/>
        </w:rPr>
        <w:t>eiter Bogen</w:t>
      </w:r>
      <w:r w:rsidR="00CD6AAD">
        <w:rPr>
          <w:lang w:val="de-DE"/>
        </w:rPr>
        <w:t xml:space="preserve"> bzw. zu hohes Abstraktionsniveau</w:t>
      </w:r>
      <w:r>
        <w:rPr>
          <w:lang w:val="de-DE"/>
        </w:rPr>
        <w:t xml:space="preserve">, auch in der Abb. bitte durch ein spezifischeres Konstrukt ersetzen (z.B. </w:t>
      </w:r>
      <w:proofErr w:type="spellStart"/>
      <w:r>
        <w:rPr>
          <w:lang w:val="de-DE"/>
        </w:rPr>
        <w:t>managing</w:t>
      </w:r>
      <w:proofErr w:type="spellEnd"/>
      <w:r>
        <w:rPr>
          <w:lang w:val="de-DE"/>
        </w:rPr>
        <w:t xml:space="preserve"> / </w:t>
      </w:r>
      <w:proofErr w:type="spellStart"/>
      <w:r>
        <w:rPr>
          <w:lang w:val="de-DE"/>
        </w:rPr>
        <w:t>monitoring</w:t>
      </w:r>
      <w:proofErr w:type="spellEnd"/>
      <w:r>
        <w:rPr>
          <w:lang w:val="de-DE"/>
        </w:rPr>
        <w:t xml:space="preserve"> </w:t>
      </w:r>
      <w:proofErr w:type="spellStart"/>
      <w:r>
        <w:rPr>
          <w:lang w:val="de-DE"/>
        </w:rPr>
        <w:t>classroom</w:t>
      </w:r>
      <w:proofErr w:type="spellEnd"/>
      <w:r>
        <w:rPr>
          <w:lang w:val="de-DE"/>
        </w:rPr>
        <w:t xml:space="preserve"> </w:t>
      </w:r>
      <w:proofErr w:type="spellStart"/>
      <w:r>
        <w:rPr>
          <w:lang w:val="de-DE"/>
        </w:rPr>
        <w:t>disruptions</w:t>
      </w:r>
      <w:proofErr w:type="spellEnd"/>
      <w:r>
        <w:rPr>
          <w:lang w:val="de-DE"/>
        </w:rPr>
        <w:t>)</w:t>
      </w:r>
    </w:p>
  </w:comment>
  <w:comment w:id="15" w:author="Deiglmayr, Anne" w:date="2025-03-17T09:02:00Z" w:initials="DA">
    <w:p w14:paraId="6B01321B" w14:textId="6E18CBA2" w:rsidR="00CD6AAD" w:rsidRPr="00CD6AAD" w:rsidRDefault="00CD6AAD">
      <w:pPr>
        <w:pStyle w:val="Kommentartext"/>
        <w:rPr>
          <w:lang w:val="de-DE"/>
        </w:rPr>
      </w:pPr>
      <w:r>
        <w:rPr>
          <w:rStyle w:val="Kommentarzeichen"/>
        </w:rPr>
        <w:annotationRef/>
      </w:r>
      <w:r w:rsidRPr="00CD6AAD">
        <w:rPr>
          <w:lang w:val="de-DE"/>
        </w:rPr>
        <w:t>Im Folgenden solltest du d</w:t>
      </w:r>
      <w:r>
        <w:rPr>
          <w:lang w:val="de-DE"/>
        </w:rPr>
        <w:t xml:space="preserve">as Modell Schritt für </w:t>
      </w:r>
      <w:proofErr w:type="spellStart"/>
      <w:r>
        <w:rPr>
          <w:lang w:val="de-DE"/>
        </w:rPr>
        <w:t>Schitt</w:t>
      </w:r>
      <w:proofErr w:type="spellEnd"/>
      <w:r>
        <w:rPr>
          <w:lang w:val="de-DE"/>
        </w:rPr>
        <w:t xml:space="preserve"> durchgehen und den </w:t>
      </w:r>
      <w:proofErr w:type="spellStart"/>
      <w:r>
        <w:rPr>
          <w:lang w:val="de-DE"/>
        </w:rPr>
        <w:t>bezug</w:t>
      </w:r>
      <w:proofErr w:type="spellEnd"/>
      <w:r>
        <w:rPr>
          <w:lang w:val="de-DE"/>
        </w:rPr>
        <w:t xml:space="preserve"> zur Abb. auch im </w:t>
      </w:r>
      <w:proofErr w:type="spellStart"/>
      <w:r>
        <w:rPr>
          <w:lang w:val="de-DE"/>
        </w:rPr>
        <w:t>text</w:t>
      </w:r>
      <w:proofErr w:type="spellEnd"/>
      <w:r>
        <w:rPr>
          <w:lang w:val="de-DE"/>
        </w:rPr>
        <w:t xml:space="preserve"> deutlich machen, z.B. </w:t>
      </w:r>
      <w:proofErr w:type="spellStart"/>
      <w:r>
        <w:rPr>
          <w:lang w:val="de-DE"/>
        </w:rPr>
        <w:t>According</w:t>
      </w:r>
      <w:proofErr w:type="spellEnd"/>
      <w:r>
        <w:rPr>
          <w:lang w:val="de-DE"/>
        </w:rPr>
        <w:t xml:space="preserve"> tot he </w:t>
      </w:r>
      <w:proofErr w:type="spellStart"/>
      <w:r>
        <w:rPr>
          <w:lang w:val="de-DE"/>
        </w:rPr>
        <w:t>model</w:t>
      </w:r>
      <w:proofErr w:type="spellEnd"/>
      <w:r>
        <w:rPr>
          <w:lang w:val="de-DE"/>
        </w:rPr>
        <w:t xml:space="preserve"> </w:t>
      </w:r>
      <w:proofErr w:type="spellStart"/>
      <w:r>
        <w:rPr>
          <w:lang w:val="de-DE"/>
        </w:rPr>
        <w:t>of</w:t>
      </w:r>
      <w:proofErr w:type="spellEnd"/>
      <w:r>
        <w:rPr>
          <w:lang w:val="de-DE"/>
        </w:rPr>
        <w:t xml:space="preserve"> Blömeke (Fig. 1), ….</w:t>
      </w:r>
    </w:p>
  </w:comment>
  <w:comment w:id="16" w:author="Deiglmayr, Anne" w:date="2025-03-17T09:01:00Z" w:initials="DA">
    <w:p w14:paraId="0EC9375B" w14:textId="3640B233" w:rsidR="00CD6AAD" w:rsidRPr="00CD6AAD" w:rsidRDefault="00CD6AAD">
      <w:pPr>
        <w:pStyle w:val="Kommentartext"/>
        <w:rPr>
          <w:lang w:val="de-DE"/>
        </w:rPr>
      </w:pPr>
      <w:r>
        <w:rPr>
          <w:rStyle w:val="Kommentarzeichen"/>
        </w:rPr>
        <w:annotationRef/>
      </w:r>
      <w:r w:rsidRPr="00CD6AAD">
        <w:rPr>
          <w:lang w:val="de-DE"/>
        </w:rPr>
        <w:t>Würde ich nicht sagen; d</w:t>
      </w:r>
      <w:r>
        <w:rPr>
          <w:lang w:val="de-DE"/>
        </w:rPr>
        <w:t>u untersuchst doch alle Teilprozesse!</w:t>
      </w:r>
    </w:p>
  </w:comment>
  <w:comment w:id="17" w:author="Deiglmayr, Anne" w:date="2025-03-17T09:06:00Z" w:initials="DA">
    <w:p w14:paraId="4F5A776C" w14:textId="2B107898" w:rsidR="00CD6AAD" w:rsidRPr="00CD6AAD" w:rsidRDefault="00CD6AAD">
      <w:pPr>
        <w:pStyle w:val="Kommentartext"/>
        <w:rPr>
          <w:lang w:val="de-DE"/>
        </w:rPr>
      </w:pPr>
      <w:r>
        <w:rPr>
          <w:rStyle w:val="Kommentarzeichen"/>
        </w:rPr>
        <w:annotationRef/>
      </w:r>
      <w:r w:rsidRPr="00CD6AAD">
        <w:rPr>
          <w:lang w:val="de-DE"/>
        </w:rPr>
        <w:t>Du solltest auch noch, z</w:t>
      </w:r>
      <w:r>
        <w:rPr>
          <w:lang w:val="de-DE"/>
        </w:rPr>
        <w:t xml:space="preserve">umindest kurz, auf „observable </w:t>
      </w:r>
      <w:proofErr w:type="spellStart"/>
      <w:r>
        <w:rPr>
          <w:lang w:val="de-DE"/>
        </w:rPr>
        <w:t>behaviour</w:t>
      </w:r>
      <w:proofErr w:type="spellEnd"/>
      <w:r>
        <w:rPr>
          <w:lang w:val="de-DE"/>
        </w:rPr>
        <w:t>“ eingehen, die dritte Säule in Fig. 1</w:t>
      </w:r>
    </w:p>
  </w:comment>
  <w:comment w:id="18"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2"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23"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28"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42"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43"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46"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7"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48"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 w:id="49"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D8458" w15:done="0"/>
  <w15:commentEx w15:paraId="06C0FC06" w15:done="0"/>
  <w15:commentEx w15:paraId="3A5E493C" w15:done="0"/>
  <w15:commentEx w15:paraId="3D1BAEAC" w15:done="0"/>
  <w15:commentEx w15:paraId="6BCE7787" w15:done="0"/>
  <w15:commentEx w15:paraId="74148699" w15:done="0"/>
  <w15:commentEx w15:paraId="61F29F7F" w15:done="0"/>
  <w15:commentEx w15:paraId="768E79BF" w15:done="0"/>
  <w15:commentEx w15:paraId="4848E65C" w15:done="0"/>
  <w15:commentEx w15:paraId="4BD6179C" w15:done="0"/>
  <w15:commentEx w15:paraId="3A0F1EFF" w15:paraIdParent="4BD6179C" w15:done="0"/>
  <w15:commentEx w15:paraId="5D6D32C2" w15:done="0"/>
  <w15:commentEx w15:paraId="6B01321B" w15:done="0"/>
  <w15:commentEx w15:paraId="0EC9375B" w15:done="0"/>
  <w15:commentEx w15:paraId="4F5A776C"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26028" w16cex:dateUtc="2025-03-17T07:47:00Z"/>
  <w16cex:commentExtensible w16cex:durableId="2B826091" w16cex:dateUtc="2025-03-17T07:49:00Z"/>
  <w16cex:commentExtensible w16cex:durableId="2B8260BD" w16cex:dateUtc="2025-03-17T07:50:00Z"/>
  <w16cex:commentExtensible w16cex:durableId="2B826133" w16cex:dateUtc="2025-03-17T07:52:00Z"/>
  <w16cex:commentExtensible w16cex:durableId="2B826158" w16cex:dateUtc="2025-03-17T07:52:00Z"/>
  <w16cex:commentExtensible w16cex:durableId="2B8261B4" w16cex:dateUtc="2025-03-17T07:54:00Z"/>
  <w16cex:commentExtensible w16cex:durableId="2B82622E" w16cex:dateUtc="2025-03-17T07:56:00Z"/>
  <w16cex:commentExtensible w16cex:durableId="2B826257" w16cex:dateUtc="2025-03-17T07:56:00Z"/>
  <w16cex:commentExtensible w16cex:durableId="2B8263E6" w16cex:dateUtc="2025-03-17T08:03:00Z"/>
  <w16cex:commentExtensible w16cex:durableId="2B8262A1" w16cex:dateUtc="2025-03-17T07:58:00Z"/>
  <w16cex:commentExtensible w16cex:durableId="2B82642A" w16cex:dateUtc="2025-03-17T08:04:00Z"/>
  <w16cex:commentExtensible w16cex:durableId="2B8262E6" w16cex:dateUtc="2025-03-17T07:59:00Z"/>
  <w16cex:commentExtensible w16cex:durableId="2B8263A6" w16cex:dateUtc="2025-03-17T08:02:00Z"/>
  <w16cex:commentExtensible w16cex:durableId="2B826379" w16cex:dateUtc="2025-03-17T08:01:00Z"/>
  <w16cex:commentExtensible w16cex:durableId="2B826493" w16cex:dateUtc="2025-03-17T08:06: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D8458" w16cid:durableId="2B826028"/>
  <w16cid:commentId w16cid:paraId="06C0FC06" w16cid:durableId="2B826091"/>
  <w16cid:commentId w16cid:paraId="3A5E493C" w16cid:durableId="2B8260BD"/>
  <w16cid:commentId w16cid:paraId="3D1BAEAC" w16cid:durableId="2B826133"/>
  <w16cid:commentId w16cid:paraId="6BCE7787" w16cid:durableId="2B826158"/>
  <w16cid:commentId w16cid:paraId="74148699" w16cid:durableId="2B8261B4"/>
  <w16cid:commentId w16cid:paraId="61F29F7F" w16cid:durableId="2B82622E"/>
  <w16cid:commentId w16cid:paraId="768E79BF" w16cid:durableId="2B826257"/>
  <w16cid:commentId w16cid:paraId="4848E65C" w16cid:durableId="2B8263E6"/>
  <w16cid:commentId w16cid:paraId="4BD6179C" w16cid:durableId="2B8262A1"/>
  <w16cid:commentId w16cid:paraId="3A0F1EFF" w16cid:durableId="2B82642A"/>
  <w16cid:commentId w16cid:paraId="5D6D32C2" w16cid:durableId="2B8262E6"/>
  <w16cid:commentId w16cid:paraId="6B01321B" w16cid:durableId="2B8263A6"/>
  <w16cid:commentId w16cid:paraId="0EC9375B" w16cid:durableId="2B826379"/>
  <w16cid:commentId w16cid:paraId="4F5A776C" w16cid:durableId="2B826493"/>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1C68" w14:textId="77777777" w:rsidR="00D73DD9" w:rsidRDefault="00D73DD9" w:rsidP="00E102C3">
      <w:r>
        <w:separator/>
      </w:r>
    </w:p>
    <w:p w14:paraId="5423AFB3" w14:textId="77777777" w:rsidR="00D73DD9" w:rsidRDefault="00D73DD9" w:rsidP="00E102C3"/>
  </w:endnote>
  <w:endnote w:type="continuationSeparator" w:id="0">
    <w:p w14:paraId="5808DA48" w14:textId="77777777" w:rsidR="00D73DD9" w:rsidRDefault="00D73DD9" w:rsidP="00E102C3">
      <w:r>
        <w:continuationSeparator/>
      </w:r>
    </w:p>
    <w:p w14:paraId="66AADE16" w14:textId="77777777" w:rsidR="00D73DD9" w:rsidRDefault="00D73DD9" w:rsidP="00E102C3"/>
  </w:endnote>
  <w:endnote w:type="continuationNotice" w:id="1">
    <w:p w14:paraId="3BE98148" w14:textId="77777777" w:rsidR="00D73DD9" w:rsidRDefault="00D73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0C70" w14:textId="77777777" w:rsidR="00D73DD9" w:rsidRDefault="00D73DD9" w:rsidP="00E102C3">
      <w:r>
        <w:separator/>
      </w:r>
    </w:p>
    <w:p w14:paraId="68A90D36" w14:textId="77777777" w:rsidR="00D73DD9" w:rsidRDefault="00D73DD9" w:rsidP="00E102C3"/>
  </w:footnote>
  <w:footnote w:type="continuationSeparator" w:id="0">
    <w:p w14:paraId="3E102271" w14:textId="77777777" w:rsidR="00D73DD9" w:rsidRDefault="00D73DD9" w:rsidP="00E102C3">
      <w:r>
        <w:continuationSeparator/>
      </w:r>
    </w:p>
    <w:p w14:paraId="0C0613FC" w14:textId="77777777" w:rsidR="00D73DD9" w:rsidRDefault="00D73DD9" w:rsidP="00E102C3"/>
  </w:footnote>
  <w:footnote w:type="continuationNotice" w:id="1">
    <w:p w14:paraId="11C7F5A7" w14:textId="77777777" w:rsidR="00D73DD9" w:rsidRDefault="00D73DD9">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BB8"/>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154C"/>
    <w:rsid w:val="00171FB6"/>
    <w:rsid w:val="001740A1"/>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4B5"/>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D6AAD"/>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B92"/>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7877</Words>
  <Characters>164664</Characters>
  <Application>Microsoft Office Word</Application>
  <DocSecurity>4</DocSecurity>
  <Lines>1372</Lines>
  <Paragraphs>344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172197</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2025-03-18T13:52:00Z</dcterms:created>
  <dcterms:modified xsi:type="dcterms:W3CDTF">2025-03-18T13:52:00Z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