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F7D9467" w14:textId="4BC003AB" w:rsidR="003C62E3" w:rsidRDefault="009C65F9" w:rsidP="003C62E3">
      <w:pPr>
        <w:rPr>
          <w:rFonts w:ascii="Times New Roman" w:hAnsi="Times New Roman" w:cs="Times New Roman"/>
          <w:sz w:val="24"/>
          <w:szCs w:val="22"/>
        </w:rPr>
      </w:pPr>
      <w:r w:rsidRPr="009C65F9">
        <w:rPr>
          <w:rFonts w:ascii="Times New Roman" w:hAnsi="Times New Roman" w:cs="Times New Roman"/>
          <w:sz w:val="24"/>
          <w:szCs w:val="22"/>
        </w:rPr>
        <w:t>Classroom disruptions, such as students chatting with neighbors or nervously clicking their pens, significantly hinder learning processes by consuming instructional time</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 xml:space="preserve">(Keller, 2014). Managing these disruptions effectively is essential to successful classroom management (Helmke, 2022). </w:t>
      </w:r>
      <w:r w:rsidR="00891762">
        <w:rPr>
          <w:rFonts w:ascii="Times New Roman" w:hAnsi="Times New Roman" w:cs="Times New Roman"/>
          <w:sz w:val="24"/>
          <w:szCs w:val="22"/>
        </w:rPr>
        <w:t xml:space="preserve">Teachers’ professional vision is central to effective classroom management </w:t>
      </w:r>
      <w:r>
        <w:rPr>
          <w:rFonts w:ascii="Times New Roman" w:hAnsi="Times New Roman" w:cs="Times New Roman"/>
          <w:sz w:val="24"/>
          <w:szCs w:val="22"/>
        </w:rPr>
        <w:t>– th</w:t>
      </w:r>
      <w:r w:rsidRPr="009C65F9">
        <w:rPr>
          <w:rFonts w:ascii="Times New Roman" w:hAnsi="Times New Roman" w:cs="Times New Roman"/>
          <w:sz w:val="24"/>
          <w:szCs w:val="22"/>
        </w:rPr>
        <w:t xml:space="preserve">e capacity to selectively </w:t>
      </w:r>
      <w:r w:rsidR="003C62E3">
        <w:rPr>
          <w:rFonts w:ascii="Times New Roman" w:hAnsi="Times New Roman" w:cs="Times New Roman"/>
          <w:sz w:val="24"/>
          <w:szCs w:val="22"/>
        </w:rPr>
        <w:t>notice</w:t>
      </w:r>
      <w:r w:rsidRPr="009C65F9">
        <w:rPr>
          <w:rFonts w:ascii="Times New Roman" w:hAnsi="Times New Roman" w:cs="Times New Roman"/>
          <w:sz w:val="24"/>
          <w:szCs w:val="22"/>
        </w:rPr>
        <w:t xml:space="preserve">, interpret, and respond to critical classroom events based on their knowledge (Goodwin, 1994; </w:t>
      </w:r>
      <w:proofErr w:type="spellStart"/>
      <w:r w:rsidRPr="009C65F9">
        <w:rPr>
          <w:rFonts w:ascii="Times New Roman" w:hAnsi="Times New Roman" w:cs="Times New Roman"/>
          <w:sz w:val="24"/>
          <w:szCs w:val="22"/>
        </w:rPr>
        <w:t>Sherin</w:t>
      </w:r>
      <w:proofErr w:type="spellEnd"/>
      <w:r w:rsidRPr="009C65F9">
        <w:rPr>
          <w:rFonts w:ascii="Times New Roman" w:hAnsi="Times New Roman" w:cs="Times New Roman"/>
          <w:sz w:val="24"/>
          <w:szCs w:val="22"/>
        </w:rPr>
        <w:t xml:space="preserve"> &amp; van Es, 2009). Professional vision thus connects </w:t>
      </w:r>
      <w:r w:rsidR="0051720B">
        <w:rPr>
          <w:rFonts w:ascii="Times New Roman" w:hAnsi="Times New Roman" w:cs="Times New Roman"/>
          <w:sz w:val="24"/>
          <w:szCs w:val="22"/>
        </w:rPr>
        <w:t xml:space="preserve">(strategic) </w:t>
      </w:r>
      <w:r w:rsidRPr="009C65F9">
        <w:rPr>
          <w:rFonts w:ascii="Times New Roman" w:hAnsi="Times New Roman" w:cs="Times New Roman"/>
          <w:sz w:val="24"/>
          <w:szCs w:val="22"/>
        </w:rPr>
        <w:t>knowledge with action, enabling teachers to</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anticipate and address potential disruptions</w:t>
      </w:r>
      <w:r w:rsidR="0051720B">
        <w:rPr>
          <w:rFonts w:ascii="Times New Roman" w:hAnsi="Times New Roman" w:cs="Times New Roman"/>
          <w:sz w:val="24"/>
          <w:szCs w:val="22"/>
        </w:rPr>
        <w:t xml:space="preserve"> – </w:t>
      </w:r>
      <w:r w:rsidRPr="009C65F9">
        <w:rPr>
          <w:rFonts w:ascii="Times New Roman" w:hAnsi="Times New Roman" w:cs="Times New Roman"/>
          <w:sz w:val="24"/>
          <w:szCs w:val="22"/>
        </w:rPr>
        <w:t xml:space="preserve">a skill known as </w:t>
      </w:r>
      <w:r w:rsidR="003C62E3">
        <w:rPr>
          <w:rFonts w:ascii="Times New Roman" w:hAnsi="Times New Roman" w:cs="Times New Roman"/>
          <w:sz w:val="24"/>
          <w:szCs w:val="22"/>
        </w:rPr>
        <w:t>“</w:t>
      </w:r>
      <w:r w:rsidRPr="009C65F9">
        <w:rPr>
          <w:rFonts w:ascii="Times New Roman" w:hAnsi="Times New Roman" w:cs="Times New Roman"/>
          <w:sz w:val="24"/>
          <w:szCs w:val="22"/>
        </w:rPr>
        <w:t>monitoring</w:t>
      </w:r>
      <w:r w:rsidR="003C62E3">
        <w:rPr>
          <w:rFonts w:ascii="Times New Roman" w:hAnsi="Times New Roman" w:cs="Times New Roman"/>
          <w:sz w:val="24"/>
          <w:szCs w:val="22"/>
        </w:rPr>
        <w:t>”</w:t>
      </w:r>
      <w:r w:rsidRPr="009C65F9">
        <w:rPr>
          <w:rFonts w:ascii="Times New Roman" w:hAnsi="Times New Roman" w:cs="Times New Roman"/>
          <w:sz w:val="24"/>
          <w:szCs w:val="22"/>
        </w:rPr>
        <w:t xml:space="preserve"> (Gold et al., 2016).</w:t>
      </w:r>
      <w:r w:rsidR="003C62E3">
        <w:rPr>
          <w:rFonts w:ascii="Times New Roman" w:hAnsi="Times New Roman" w:cs="Times New Roman"/>
          <w:sz w:val="24"/>
          <w:szCs w:val="22"/>
        </w:rPr>
        <w:t xml:space="preserve"> </w:t>
      </w:r>
    </w:p>
    <w:p w14:paraId="5462E421" w14:textId="35DF999D" w:rsidR="009C65F9" w:rsidRPr="009C65F9" w:rsidRDefault="009C65F9" w:rsidP="00F97D45">
      <w:pPr>
        <w:rPr>
          <w:rFonts w:ascii="Times New Roman" w:hAnsi="Times New Roman" w:cs="Times New Roman"/>
          <w:sz w:val="24"/>
          <w:szCs w:val="22"/>
        </w:rPr>
      </w:pPr>
      <w:r w:rsidRPr="009C65F9">
        <w:rPr>
          <w:rFonts w:ascii="Times New Roman" w:hAnsi="Times New Roman" w:cs="Times New Roman"/>
          <w:sz w:val="24"/>
          <w:szCs w:val="22"/>
        </w:rPr>
        <w:t xml:space="preserve">Expert teachers differ from novices particularly in their refined ability to filter relevant cues within complex classroom interactions (Barth, 2017; Berliner, 2001). Novices often struggle precisely because their professional vision is less developed (Berliner, 2004; Emmer &amp; </w:t>
      </w:r>
      <w:proofErr w:type="spellStart"/>
      <w:r w:rsidRPr="009C65F9">
        <w:rPr>
          <w:rFonts w:ascii="Times New Roman" w:hAnsi="Times New Roman" w:cs="Times New Roman"/>
          <w:sz w:val="24"/>
          <w:szCs w:val="22"/>
        </w:rPr>
        <w:t>Gerwels</w:t>
      </w:r>
      <w:proofErr w:type="spellEnd"/>
      <w:r w:rsidRPr="009C65F9">
        <w:rPr>
          <w:rFonts w:ascii="Times New Roman" w:hAnsi="Times New Roman" w:cs="Times New Roman"/>
          <w:sz w:val="24"/>
          <w:szCs w:val="22"/>
        </w:rPr>
        <w:t>, 2006)</w:t>
      </w:r>
      <w:r w:rsidR="003C62E3">
        <w:rPr>
          <w:rFonts w:ascii="Times New Roman" w:hAnsi="Times New Roman" w:cs="Times New Roman"/>
          <w:sz w:val="24"/>
          <w:szCs w:val="22"/>
        </w:rPr>
        <w:t xml:space="preserve">. </w:t>
      </w:r>
      <w:r w:rsidRPr="009C65F9">
        <w:rPr>
          <w:rFonts w:ascii="Times New Roman" w:hAnsi="Times New Roman" w:cs="Times New Roman"/>
          <w:sz w:val="24"/>
          <w:szCs w:val="22"/>
        </w:rPr>
        <w:t>Process-based research methods, such as eye-tracking, offer deeper insights into teachers</w:t>
      </w:r>
      <w:r w:rsidR="00B11696">
        <w:rPr>
          <w:rFonts w:ascii="Times New Roman" w:hAnsi="Times New Roman" w:cs="Times New Roman"/>
          <w:sz w:val="24"/>
          <w:szCs w:val="22"/>
        </w:rPr>
        <w:t xml:space="preserve">’ </w:t>
      </w:r>
      <w:r w:rsidRPr="009C65F9">
        <w:rPr>
          <w:rFonts w:ascii="Times New Roman" w:hAnsi="Times New Roman" w:cs="Times New Roman"/>
          <w:sz w:val="24"/>
          <w:szCs w:val="22"/>
        </w:rPr>
        <w:t xml:space="preserve">cognitive processing and visual attention during </w:t>
      </w:r>
      <w:r w:rsidR="0051720B">
        <w:rPr>
          <w:rFonts w:ascii="Times New Roman" w:hAnsi="Times New Roman" w:cs="Times New Roman"/>
          <w:sz w:val="24"/>
          <w:szCs w:val="22"/>
        </w:rPr>
        <w:t xml:space="preserve">teaching </w:t>
      </w:r>
      <w:r w:rsidRPr="009C65F9">
        <w:rPr>
          <w:rFonts w:ascii="Times New Roman" w:hAnsi="Times New Roman" w:cs="Times New Roman"/>
          <w:sz w:val="24"/>
          <w:szCs w:val="22"/>
        </w:rPr>
        <w:t xml:space="preserve">(Dessus et al., 2016; van den </w:t>
      </w:r>
      <w:proofErr w:type="spellStart"/>
      <w:r w:rsidRPr="009C65F9">
        <w:rPr>
          <w:rFonts w:ascii="Times New Roman" w:hAnsi="Times New Roman" w:cs="Times New Roman"/>
          <w:sz w:val="24"/>
          <w:szCs w:val="22"/>
        </w:rPr>
        <w:t>Bogert</w:t>
      </w:r>
      <w:proofErr w:type="spellEnd"/>
      <w:r w:rsidRPr="009C65F9">
        <w:rPr>
          <w:rFonts w:ascii="Times New Roman" w:hAnsi="Times New Roman" w:cs="Times New Roman"/>
          <w:sz w:val="24"/>
          <w:szCs w:val="22"/>
        </w:rPr>
        <w:t>, 2016). Studies demonstrate that expert teachers exhibit more efficient gaze patterns (</w:t>
      </w:r>
      <w:proofErr w:type="spellStart"/>
      <w:r w:rsidRPr="009C65F9">
        <w:rPr>
          <w:rFonts w:ascii="Times New Roman" w:hAnsi="Times New Roman" w:cs="Times New Roman"/>
          <w:sz w:val="24"/>
          <w:szCs w:val="22"/>
        </w:rPr>
        <w:t>Gegenfurtner</w:t>
      </w:r>
      <w:proofErr w:type="spellEnd"/>
      <w:r w:rsidRPr="009C65F9">
        <w:rPr>
          <w:rFonts w:ascii="Times New Roman" w:hAnsi="Times New Roman" w:cs="Times New Roman"/>
          <w:sz w:val="24"/>
          <w:szCs w:val="22"/>
        </w:rPr>
        <w:t xml:space="preserve"> et al., 2020; Wolff et al., 2016). Understanding how visual attention relates to effective classroom management thus holds significant potential for improving teacher education by enhancing professional vision and associated response strategies (Grub, 2023).</w:t>
      </w:r>
    </w:p>
    <w:p w14:paraId="0D1CD57D" w14:textId="1449BED4" w:rsidR="00B96F1C" w:rsidRPr="005F4B4F" w:rsidRDefault="005F4B4F" w:rsidP="008F7EA6">
      <w:pPr>
        <w:rPr>
          <w:rFonts w:ascii="Times New Roman" w:hAnsi="Times New Roman" w:cs="Times New Roman"/>
          <w:sz w:val="24"/>
          <w:szCs w:val="22"/>
        </w:rPr>
      </w:pPr>
      <w:r w:rsidRPr="005F4B4F">
        <w:rPr>
          <w:rFonts w:ascii="Times New Roman" w:hAnsi="Times New Roman" w:cs="Times New Roman"/>
          <w:sz w:val="24"/>
          <w:szCs w:val="22"/>
        </w:rPr>
        <w:t>This study examines differences in gaze behavior, self-reported classroom management, and strategic knowledge between experienced and inexperienced teachers in a controlled micro-teaching unit</w:t>
      </w:r>
      <w:r w:rsidR="00E27EC0">
        <w:rPr>
          <w:rFonts w:ascii="Times New Roman" w:hAnsi="Times New Roman" w:cs="Times New Roman"/>
          <w:sz w:val="24"/>
          <w:szCs w:val="22"/>
        </w:rPr>
        <w:t xml:space="preserve"> </w:t>
      </w:r>
      <w:r w:rsidR="00E27EC0" w:rsidRPr="00E27EC0">
        <w:rPr>
          <w:rFonts w:ascii="Times New Roman" w:hAnsi="Times New Roman" w:cs="Times New Roman"/>
          <w:sz w:val="24"/>
          <w:szCs w:val="22"/>
        </w:rPr>
        <w:t>involving classroom disruptions</w:t>
      </w:r>
      <w:r w:rsidRPr="005F4B4F">
        <w:rPr>
          <w:rFonts w:ascii="Times New Roman" w:hAnsi="Times New Roman" w:cs="Times New Roman"/>
          <w:sz w:val="24"/>
          <w:szCs w:val="22"/>
        </w:rPr>
        <w:t>. Using eye-tracking technology and self-report measures, it explores how expertise influences visual attention, disruption noticing, and management strategies</w:t>
      </w:r>
      <w:r w:rsidR="00DB4895">
        <w:rPr>
          <w:rFonts w:ascii="Times New Roman" w:hAnsi="Times New Roman" w:cs="Times New Roman"/>
          <w:sz w:val="24"/>
          <w:szCs w:val="22"/>
        </w:rPr>
        <w:t xml:space="preserve"> </w:t>
      </w:r>
      <w:r w:rsidR="00DB4895" w:rsidRPr="00DB4895">
        <w:rPr>
          <w:rFonts w:ascii="Times New Roman" w:hAnsi="Times New Roman" w:cs="Times New Roman"/>
          <w:sz w:val="24"/>
          <w:szCs w:val="22"/>
        </w:rPr>
        <w:t>toward classroom disruptions</w:t>
      </w:r>
      <w:r w:rsidR="00DB4895">
        <w:rPr>
          <w:rFonts w:ascii="Times New Roman" w:hAnsi="Times New Roman" w:cs="Times New Roman"/>
          <w:sz w:val="24"/>
          <w:szCs w:val="22"/>
        </w:rPr>
        <w:t>.</w:t>
      </w:r>
    </w:p>
    <w:p w14:paraId="1388B6CF" w14:textId="77777777" w:rsidR="0093630C" w:rsidRPr="0093630C" w:rsidRDefault="0093630C" w:rsidP="0093630C">
      <w:pPr>
        <w:tabs>
          <w:tab w:val="clear" w:pos="3068"/>
        </w:tabs>
        <w:ind w:firstLine="0"/>
        <w:outlineLvl w:val="1"/>
        <w:rPr>
          <w:rFonts w:ascii="Times New Roman" w:hAnsi="Times New Roman" w:cs="Times New Roman"/>
          <w:b/>
          <w:sz w:val="24"/>
          <w:szCs w:val="24"/>
        </w:rPr>
      </w:pPr>
      <w:r w:rsidRPr="0093630C">
        <w:rPr>
          <w:rFonts w:ascii="Times New Roman" w:hAnsi="Times New Roman" w:cs="Times New Roman"/>
          <w:b/>
          <w:sz w:val="24"/>
          <w:szCs w:val="24"/>
        </w:rPr>
        <w:lastRenderedPageBreak/>
        <w:t xml:space="preserve">Classroom Disruptions </w:t>
      </w:r>
    </w:p>
    <w:p w14:paraId="7ED9E7E8" w14:textId="68E34F03" w:rsidR="0093630C" w:rsidRPr="0093630C" w:rsidRDefault="0093630C" w:rsidP="0093630C">
      <w:pPr>
        <w:rPr>
          <w:rFonts w:ascii="Times New Roman" w:hAnsi="Times New Roman" w:cs="Times New Roman"/>
          <w:sz w:val="24"/>
          <w:szCs w:val="22"/>
        </w:rPr>
      </w:pPr>
      <w:r w:rsidRPr="0093630C">
        <w:rPr>
          <w:rFonts w:ascii="Times New Roman" w:hAnsi="Times New Roman" w:cs="Times New Roman"/>
          <w:sz w:val="24"/>
          <w:szCs w:val="22"/>
        </w:rPr>
        <w:t xml:space="preserve">The ability to anticipate and respond effectively is particularly vital when addressing one of the most persistent challenges in educational settings: classroom disruptions, which can impair instructional time, weaken student engagement, and hinder academic achievement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(Chow et al., 2024; Kraft &amp; Monti-Nussbaum, 2021; Marder et al., 2023)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w:t>
      </w:r>
    </w:p>
    <w:p w14:paraId="08A29EC7" w14:textId="6355AF8B" w:rsidR="0093630C" w:rsidRPr="0093630C" w:rsidRDefault="0093630C" w:rsidP="0093630C">
      <w:pPr>
        <w:rPr>
          <w:rFonts w:ascii="Times New Roman" w:hAnsi="Times New Roman" w:cs="Times New Roman"/>
          <w:sz w:val="24"/>
          <w:szCs w:val="22"/>
        </w:rPr>
      </w:pPr>
      <w:r w:rsidRPr="0093630C">
        <w:rPr>
          <w:rFonts w:ascii="Times New Roman" w:hAnsi="Times New Roman" w:cs="Times New Roman"/>
          <w:sz w:val="24"/>
          <w:szCs w:val="22"/>
        </w:rPr>
        <w:t xml:space="preserve">Disruptions, as described by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Lohmann &amp; Meyer (2003)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xml:space="preserve">, are events that interfere with the essential conditions necessary for effective instruction and student participation. These behaviors can generally be categorized into four primary types, based on their nature and impact on classroom dynamics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(Lohmann &amp; Meyer, 2003)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xml:space="preserve">. </w:t>
      </w:r>
      <w:r w:rsidRPr="0093630C">
        <w:rPr>
          <w:rFonts w:ascii="Times New Roman" w:hAnsi="Times New Roman" w:cs="Times New Roman"/>
          <w:i/>
          <w:iCs/>
          <w:sz w:val="24"/>
          <w:szCs w:val="22"/>
        </w:rPr>
        <w:t>Verbal disruptions</w:t>
      </w:r>
      <w:r w:rsidRPr="0093630C">
        <w:rPr>
          <w:rFonts w:ascii="Times New Roman" w:hAnsi="Times New Roman" w:cs="Times New Roman"/>
          <w:sz w:val="24"/>
          <w:szCs w:val="22"/>
        </w:rPr>
        <w:t xml:space="preserve"> include spoken interruptions such as chatting, whispering, or heckling, which can disturb lesson flow and diminish focus. </w:t>
      </w:r>
      <w:r w:rsidRPr="0093630C">
        <w:rPr>
          <w:rFonts w:ascii="Times New Roman" w:hAnsi="Times New Roman" w:cs="Times New Roman"/>
          <w:i/>
          <w:iCs/>
          <w:sz w:val="24"/>
          <w:szCs w:val="22"/>
        </w:rPr>
        <w:t>Physical disruptions</w:t>
      </w:r>
      <w:r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Pr="0093630C">
        <w:rPr>
          <w:rFonts w:ascii="Times New Roman" w:hAnsi="Times New Roman" w:cs="Times New Roman"/>
          <w:sz w:val="24"/>
          <w:szCs w:val="22"/>
        </w:rPr>
        <w:t xml:space="preserve">pping fingers, or clicking pens, which distract both teachers and students. Indicators of </w:t>
      </w:r>
      <w:r w:rsidR="00BE352C">
        <w:rPr>
          <w:rFonts w:ascii="Times New Roman" w:hAnsi="Times New Roman" w:cs="Times New Roman"/>
          <w:sz w:val="24"/>
          <w:szCs w:val="22"/>
        </w:rPr>
        <w:t xml:space="preserve">a </w:t>
      </w:r>
      <w:r w:rsidRPr="0093630C">
        <w:rPr>
          <w:rFonts w:ascii="Times New Roman" w:hAnsi="Times New Roman" w:cs="Times New Roman"/>
          <w:i/>
          <w:iCs/>
          <w:sz w:val="24"/>
          <w:szCs w:val="22"/>
        </w:rPr>
        <w:t>lack of eagerness to learn</w:t>
      </w:r>
      <w:r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Pr="0093630C">
        <w:rPr>
          <w:rFonts w:ascii="Times New Roman" w:hAnsi="Times New Roman" w:cs="Times New Roman"/>
          <w:sz w:val="24"/>
          <w:szCs w:val="22"/>
        </w:rPr>
        <w:t xml:space="preserve"> actions that reduce participation and hinder comprehension. Finally, </w:t>
      </w:r>
      <w:r w:rsidRPr="0093630C">
        <w:rPr>
          <w:rFonts w:ascii="Times New Roman" w:hAnsi="Times New Roman" w:cs="Times New Roman"/>
          <w:i/>
          <w:iCs/>
          <w:sz w:val="24"/>
          <w:szCs w:val="22"/>
        </w:rPr>
        <w:t>aggressive behavior</w:t>
      </w:r>
      <w:r w:rsidRPr="0093630C">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r w:rsidR="001007D7">
        <w:rPr>
          <w:rStyle w:val="Funotenzeichen"/>
          <w:rFonts w:ascii="Times New Roman" w:hAnsi="Times New Roman" w:cs="Times New Roman"/>
          <w:sz w:val="24"/>
          <w:szCs w:val="22"/>
        </w:rPr>
        <w:footnoteReference w:id="2"/>
      </w:r>
    </w:p>
    <w:p w14:paraId="61B1F68F" w14:textId="6F4CC5F2" w:rsidR="0093630C" w:rsidRPr="0093630C" w:rsidRDefault="00B11696" w:rsidP="0093630C">
      <w:pPr>
        <w:rPr>
          <w:rFonts w:ascii="Times New Roman" w:hAnsi="Times New Roman" w:cs="Times New Roman"/>
          <w:sz w:val="24"/>
          <w:szCs w:val="22"/>
        </w:rPr>
      </w:pPr>
      <w:r w:rsidRPr="00B11696">
        <w:rPr>
          <w:rFonts w:ascii="Times New Roman" w:hAnsi="Times New Roman" w:cs="Times New Roman"/>
          <w:sz w:val="24"/>
          <w:szCs w:val="22"/>
        </w:rPr>
        <w:t xml:space="preserve">A crucial concept in understanding these disruptions is salience, which refers to how noticeable a behavior is within the classroom context </w:t>
      </w:r>
      <w:r w:rsidR="00541124" w:rsidRPr="0093630C">
        <w:rPr>
          <w:rFonts w:ascii="Times New Roman" w:hAnsi="Times New Roman" w:cs="Times New Roman"/>
          <w:sz w:val="24"/>
          <w:szCs w:val="22"/>
        </w:rPr>
        <w:fldChar w:fldCharType="begin"/>
      </w:r>
      <w:r w:rsidR="00541124" w:rsidRPr="0093630C">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541124" w:rsidRPr="0093630C">
        <w:rPr>
          <w:rFonts w:ascii="Times New Roman" w:hAnsi="Times New Roman" w:cs="Times New Roman"/>
          <w:sz w:val="24"/>
          <w:szCs w:val="22"/>
        </w:rPr>
        <w:fldChar w:fldCharType="separate"/>
      </w:r>
      <w:r w:rsidR="00541124" w:rsidRPr="0093630C">
        <w:rPr>
          <w:rFonts w:ascii="Times New Roman" w:hAnsi="Times New Roman" w:cs="Times New Roman"/>
          <w:sz w:val="24"/>
        </w:rPr>
        <w:t>(</w:t>
      </w:r>
      <w:proofErr w:type="spellStart"/>
      <w:r w:rsidR="00541124" w:rsidRPr="0093630C">
        <w:rPr>
          <w:rFonts w:ascii="Times New Roman" w:hAnsi="Times New Roman" w:cs="Times New Roman"/>
          <w:sz w:val="24"/>
        </w:rPr>
        <w:t>Kilbury</w:t>
      </w:r>
      <w:proofErr w:type="spellEnd"/>
      <w:r w:rsidR="00541124" w:rsidRPr="0093630C">
        <w:rPr>
          <w:rFonts w:ascii="Times New Roman" w:hAnsi="Times New Roman" w:cs="Times New Roman"/>
          <w:sz w:val="24"/>
        </w:rPr>
        <w:t xml:space="preserve"> et al., 2024)</w:t>
      </w:r>
      <w:r w:rsidR="00541124" w:rsidRPr="0093630C">
        <w:rPr>
          <w:rFonts w:ascii="Times New Roman" w:hAnsi="Times New Roman" w:cs="Times New Roman"/>
          <w:sz w:val="24"/>
          <w:szCs w:val="22"/>
        </w:rPr>
        <w:fldChar w:fldCharType="end"/>
      </w:r>
      <w:r w:rsidR="00541124">
        <w:rPr>
          <w:rFonts w:ascii="Times New Roman" w:hAnsi="Times New Roman" w:cs="Times New Roman"/>
          <w:sz w:val="24"/>
          <w:szCs w:val="22"/>
        </w:rPr>
        <w:t xml:space="preserve"> </w:t>
      </w:r>
      <w:r w:rsidRPr="00B11696">
        <w:rPr>
          <w:rFonts w:ascii="Times New Roman" w:hAnsi="Times New Roman" w:cs="Times New Roman"/>
          <w:sz w:val="24"/>
          <w:szCs w:val="22"/>
        </w:rPr>
        <w:t>and thus directly influences teachers</w:t>
      </w:r>
      <w:r>
        <w:rPr>
          <w:rFonts w:ascii="Times New Roman" w:hAnsi="Times New Roman" w:cs="Times New Roman"/>
          <w:sz w:val="24"/>
          <w:szCs w:val="22"/>
        </w:rPr>
        <w:t xml:space="preserve">’ </w:t>
      </w:r>
      <w:r w:rsidRPr="00B11696">
        <w:rPr>
          <w:rFonts w:ascii="Times New Roman" w:hAnsi="Times New Roman" w:cs="Times New Roman"/>
          <w:sz w:val="24"/>
          <w:szCs w:val="22"/>
        </w:rPr>
        <w:t>noticing as a critical aspect of effective disruption management</w:t>
      </w:r>
      <w:r w:rsidR="00541124">
        <w:rPr>
          <w:rFonts w:ascii="Times New Roman" w:hAnsi="Times New Roman" w:cs="Times New Roman"/>
          <w:sz w:val="24"/>
          <w:szCs w:val="22"/>
        </w:rPr>
        <w:t>.</w:t>
      </w:r>
      <w:r w:rsidR="0093630C" w:rsidRPr="0093630C">
        <w:rPr>
          <w:rFonts w:ascii="Times New Roman" w:hAnsi="Times New Roman" w:cs="Times New Roman"/>
          <w:sz w:val="24"/>
          <w:szCs w:val="22"/>
        </w:rPr>
        <w:t xml:space="preserve"> Highly </w:t>
      </w:r>
      <w:r w:rsidR="0093630C" w:rsidRPr="0093630C">
        <w:rPr>
          <w:rFonts w:ascii="Times New Roman" w:hAnsi="Times New Roman" w:cs="Times New Roman"/>
          <w:sz w:val="24"/>
          <w:szCs w:val="22"/>
        </w:rPr>
        <w:lastRenderedPageBreak/>
        <w:t xml:space="preserve">salient behaviors, such as loud outbursts, naturally draw immediate attention, whereas subtle, non-salient behaviors can be equally detrimental over time if left unaddressed. </w:t>
      </w:r>
    </w:p>
    <w:p w14:paraId="034CA39F" w14:textId="77777777" w:rsidR="0093630C" w:rsidRPr="0093630C" w:rsidRDefault="0093630C" w:rsidP="0093630C">
      <w:pPr>
        <w:rPr>
          <w:rFonts w:ascii="Times New Roman" w:hAnsi="Times New Roman" w:cs="Times New Roman"/>
          <w:sz w:val="24"/>
          <w:szCs w:val="22"/>
        </w:rPr>
      </w:pPr>
      <w:commentRangeStart w:id="0"/>
      <w:r w:rsidRPr="0093630C">
        <w:rPr>
          <w:rFonts w:ascii="Times New Roman" w:hAnsi="Times New Roman" w:cs="Times New Roman"/>
          <w:sz w:val="24"/>
          <w:szCs w:val="22"/>
        </w:rPr>
        <w:t xml:space="preserve">The complexity of managing disruptive behavior is further intensified by its subjective interpretation, influenced by both the behavior and the perceptions of teachers and students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(Eckstein et al., 2016)</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This dual perspective requires educators to develop an acute awareness of both conspicuous and subtle indicators of disruption.</w:t>
      </w:r>
      <w:commentRangeEnd w:id="0"/>
      <w:r w:rsidR="00F909D3">
        <w:rPr>
          <w:rStyle w:val="Kommentarzeichen"/>
        </w:rPr>
        <w:commentReference w:id="0"/>
      </w:r>
    </w:p>
    <w:p w14:paraId="4B16C401" w14:textId="5005CFDE" w:rsidR="00B56731" w:rsidRPr="00C60A09" w:rsidRDefault="00EA404B" w:rsidP="00C60A09">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0E6594">
        <w:rPr>
          <w:rFonts w:ascii="Times New Roman" w:hAnsi="Times New Roman" w:cs="Times New Roman"/>
          <w:sz w:val="24"/>
          <w:szCs w:val="24"/>
        </w:rPr>
        <w:t xml:space="preserve">Disruption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7068ADCB" w14:textId="68E8DF2D" w:rsidR="00042C3A" w:rsidRDefault="00EA032D" w:rsidP="00033CFF">
      <w:pPr>
        <w:rPr>
          <w:rFonts w:ascii="Times New Roman" w:hAnsi="Times New Roman" w:cs="Times New Roman"/>
          <w:sz w:val="24"/>
          <w:szCs w:val="22"/>
        </w:rPr>
      </w:pPr>
      <w:r w:rsidRPr="00EA032D">
        <w:rPr>
          <w:rFonts w:ascii="Times New Roman" w:hAnsi="Times New Roman" w:cs="Times New Roman"/>
          <w:sz w:val="24"/>
          <w:szCs w:val="22"/>
        </w:rPr>
        <w:t xml:space="preserve">Effective classroom management </w:t>
      </w:r>
      <w:r w:rsidR="00C33D6B">
        <w:rPr>
          <w:rFonts w:ascii="Times New Roman" w:hAnsi="Times New Roman" w:cs="Times New Roman"/>
          <w:sz w:val="24"/>
          <w:szCs w:val="22"/>
        </w:rPr>
        <w:t xml:space="preserve">is a core competence for teachers to </w:t>
      </w:r>
      <w:r w:rsidR="00C33D6B" w:rsidRPr="00EA032D">
        <w:rPr>
          <w:rFonts w:ascii="Times New Roman" w:hAnsi="Times New Roman" w:cs="Times New Roman"/>
          <w:sz w:val="24"/>
          <w:szCs w:val="22"/>
        </w:rPr>
        <w:t xml:space="preserve">contribute to </w:t>
      </w:r>
      <w:r w:rsidR="00C33D6B">
        <w:rPr>
          <w:rFonts w:ascii="Times New Roman" w:hAnsi="Times New Roman" w:cs="Times New Roman"/>
          <w:sz w:val="24"/>
          <w:szCs w:val="22"/>
        </w:rPr>
        <w:t>reducing</w:t>
      </w:r>
      <w:r w:rsidR="00C33D6B" w:rsidRPr="00EA032D">
        <w:rPr>
          <w:rFonts w:ascii="Times New Roman" w:hAnsi="Times New Roman" w:cs="Times New Roman"/>
          <w:sz w:val="24"/>
          <w:szCs w:val="22"/>
        </w:rPr>
        <w:t xml:space="preserve"> the frequency of disruptions, as lessons that are stimulating, individualized, and cognitively engaging are associated with fewer interruptions (</w:t>
      </w:r>
      <w:proofErr w:type="spellStart"/>
      <w:r w:rsidR="00C33D6B" w:rsidRPr="00EA032D">
        <w:rPr>
          <w:rFonts w:ascii="Times New Roman" w:hAnsi="Times New Roman" w:cs="Times New Roman"/>
          <w:sz w:val="24"/>
          <w:szCs w:val="22"/>
        </w:rPr>
        <w:t>Wettstein</w:t>
      </w:r>
      <w:proofErr w:type="spellEnd"/>
      <w:r w:rsidR="00C33D6B" w:rsidRPr="00EA032D">
        <w:rPr>
          <w:rFonts w:ascii="Times New Roman" w:hAnsi="Times New Roman" w:cs="Times New Roman"/>
          <w:sz w:val="24"/>
          <w:szCs w:val="22"/>
        </w:rPr>
        <w:t xml:space="preserve"> et al., 2010).</w:t>
      </w:r>
      <w:r w:rsidR="00C33D6B">
        <w:rPr>
          <w:rFonts w:ascii="Times New Roman" w:hAnsi="Times New Roman" w:cs="Times New Roman"/>
          <w:sz w:val="24"/>
          <w:szCs w:val="22"/>
        </w:rPr>
        <w:t xml:space="preserve"> </w:t>
      </w:r>
      <w:r w:rsidR="009B1774" w:rsidRPr="009B1774">
        <w:rPr>
          <w:rFonts w:ascii="Times New Roman" w:hAnsi="Times New Roman" w:cs="Times New Roman"/>
          <w:sz w:val="24"/>
          <w:szCs w:val="22"/>
        </w:rPr>
        <w:t>Thus, classroom management encompasses creating a positive learning environment, promoting student engagement, and establishing clear rules and routines (</w:t>
      </w:r>
      <w:proofErr w:type="spellStart"/>
      <w:r w:rsidR="009B1774" w:rsidRPr="009B1774">
        <w:rPr>
          <w:rFonts w:ascii="Times New Roman" w:hAnsi="Times New Roman" w:cs="Times New Roman"/>
          <w:sz w:val="24"/>
          <w:szCs w:val="22"/>
        </w:rPr>
        <w:t>Evertson</w:t>
      </w:r>
      <w:proofErr w:type="spellEnd"/>
      <w:r w:rsidR="009B1774" w:rsidRPr="009B1774">
        <w:rPr>
          <w:rFonts w:ascii="Times New Roman" w:hAnsi="Times New Roman" w:cs="Times New Roman"/>
          <w:sz w:val="24"/>
          <w:szCs w:val="22"/>
        </w:rPr>
        <w:t xml:space="preserve"> &amp; Weinstein, 2011). It also supports the development of a constructive classroom atmosphere and enhances student learning outcomes (</w:t>
      </w:r>
      <w:proofErr w:type="spellStart"/>
      <w:r w:rsidR="009B1774" w:rsidRPr="009B1774">
        <w:rPr>
          <w:rFonts w:ascii="Times New Roman" w:hAnsi="Times New Roman" w:cs="Times New Roman"/>
          <w:sz w:val="24"/>
          <w:szCs w:val="22"/>
        </w:rPr>
        <w:t>Djigic</w:t>
      </w:r>
      <w:proofErr w:type="spellEnd"/>
      <w:r w:rsidR="009B1774" w:rsidRPr="009B1774">
        <w:rPr>
          <w:rFonts w:ascii="Times New Roman" w:hAnsi="Times New Roman" w:cs="Times New Roman"/>
          <w:sz w:val="24"/>
          <w:szCs w:val="22"/>
        </w:rPr>
        <w:t xml:space="preserve"> &amp; </w:t>
      </w:r>
      <w:proofErr w:type="spellStart"/>
      <w:r w:rsidR="009B1774" w:rsidRPr="009B1774">
        <w:rPr>
          <w:rFonts w:ascii="Times New Roman" w:hAnsi="Times New Roman" w:cs="Times New Roman"/>
          <w:sz w:val="24"/>
          <w:szCs w:val="22"/>
        </w:rPr>
        <w:t>Stojiljkovic</w:t>
      </w:r>
      <w:proofErr w:type="spellEnd"/>
      <w:r w:rsidR="009B1774" w:rsidRPr="009B1774">
        <w:rPr>
          <w:rFonts w:ascii="Times New Roman" w:hAnsi="Times New Roman" w:cs="Times New Roman"/>
          <w:sz w:val="24"/>
          <w:szCs w:val="22"/>
        </w:rPr>
        <w:t>, 2011; Mitchell &amp; Bradshaw, 2013).</w:t>
      </w:r>
    </w:p>
    <w:p w14:paraId="612C5984" w14:textId="4930D28E" w:rsidR="00F6210D" w:rsidRDefault="00CD1837" w:rsidP="00B81559">
      <w:pPr>
        <w:rPr>
          <w:rFonts w:ascii="Times New Roman" w:hAnsi="Times New Roman" w:cs="Times New Roman"/>
          <w:sz w:val="24"/>
          <w:szCs w:val="22"/>
        </w:rPr>
      </w:pPr>
      <w:r>
        <w:rPr>
          <w:rFonts w:ascii="Times New Roman" w:hAnsi="Times New Roman" w:cs="Times New Roman"/>
          <w:sz w:val="24"/>
          <w:szCs w:val="22"/>
        </w:rPr>
        <w:t>T</w:t>
      </w:r>
      <w:r w:rsidR="00B81559" w:rsidRPr="00B81559">
        <w:rPr>
          <w:rFonts w:ascii="Times New Roman" w:hAnsi="Times New Roman" w:cs="Times New Roman"/>
          <w:sz w:val="24"/>
          <w:szCs w:val="22"/>
        </w:rPr>
        <w:t>he management of classroom disruptions is one essential aspect of effective classroom management</w:t>
      </w:r>
      <w:r w:rsidR="006D44BF">
        <w:rPr>
          <w:rFonts w:ascii="Times New Roman" w:hAnsi="Times New Roman" w:cs="Times New Roman"/>
          <w:sz w:val="24"/>
          <w:szCs w:val="22"/>
        </w:rPr>
        <w:t>,</w:t>
      </w:r>
      <w:r w:rsidR="00B81559" w:rsidRPr="00B81559">
        <w:rPr>
          <w:rFonts w:ascii="Times New Roman" w:hAnsi="Times New Roman" w:cs="Times New Roman"/>
          <w:sz w:val="24"/>
          <w:szCs w:val="22"/>
        </w:rPr>
        <w:t xml:space="preserve"> making it </w:t>
      </w:r>
      <w:r w:rsidR="00D10DF8">
        <w:rPr>
          <w:rFonts w:ascii="Times New Roman" w:hAnsi="Times New Roman" w:cs="Times New Roman"/>
          <w:sz w:val="24"/>
          <w:szCs w:val="22"/>
        </w:rPr>
        <w:t>important</w:t>
      </w:r>
      <w:r w:rsidR="00B81559" w:rsidRPr="00B81559">
        <w:rPr>
          <w:rFonts w:ascii="Times New Roman" w:hAnsi="Times New Roman" w:cs="Times New Roman"/>
          <w:sz w:val="24"/>
          <w:szCs w:val="22"/>
        </w:rPr>
        <w:t xml:space="preserve"> for teachers to develop appropriate strategies </w:t>
      </w:r>
      <w:r w:rsidR="00AF4C48">
        <w:rPr>
          <w:rFonts w:ascii="Times New Roman" w:hAnsi="Times New Roman" w:cs="Times New Roman"/>
          <w:sz w:val="24"/>
          <w:szCs w:val="22"/>
        </w:rPr>
        <w:t xml:space="preserve">in disruptive situations </w:t>
      </w:r>
      <w:r w:rsidR="00B81559" w:rsidRPr="00B81559">
        <w:rPr>
          <w:rFonts w:ascii="Times New Roman" w:hAnsi="Times New Roman" w:cs="Times New Roman"/>
          <w:sz w:val="24"/>
          <w:szCs w:val="22"/>
        </w:rPr>
        <w:fldChar w:fldCharType="begin"/>
      </w:r>
      <w:r w:rsidR="00B81559" w:rsidRPr="00B81559">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B81559" w:rsidRPr="00B81559">
        <w:rPr>
          <w:rFonts w:ascii="Times New Roman" w:hAnsi="Times New Roman" w:cs="Times New Roman"/>
          <w:sz w:val="24"/>
          <w:szCs w:val="22"/>
        </w:rPr>
        <w:fldChar w:fldCharType="separate"/>
      </w:r>
      <w:r w:rsidR="00B81559" w:rsidRPr="00B81559">
        <w:rPr>
          <w:rFonts w:ascii="Times New Roman" w:hAnsi="Times New Roman" w:cs="Times New Roman"/>
          <w:sz w:val="24"/>
          <w:szCs w:val="22"/>
        </w:rPr>
        <w:t>(Helmke, 2022)</w:t>
      </w:r>
      <w:r w:rsidR="00B81559" w:rsidRPr="00B81559">
        <w:rPr>
          <w:rFonts w:ascii="Times New Roman" w:hAnsi="Times New Roman" w:cs="Times New Roman"/>
          <w:sz w:val="24"/>
          <w:szCs w:val="22"/>
        </w:rPr>
        <w:fldChar w:fldCharType="end"/>
      </w:r>
      <w:r w:rsidR="00B81559" w:rsidRPr="00B81559">
        <w:rPr>
          <w:rFonts w:ascii="Times New Roman" w:hAnsi="Times New Roman" w:cs="Times New Roman"/>
          <w:sz w:val="24"/>
          <w:szCs w:val="22"/>
        </w:rPr>
        <w:t xml:space="preserve">. </w:t>
      </w:r>
      <w:r w:rsidR="00E4270A" w:rsidRPr="00E4270A">
        <w:rPr>
          <w:rFonts w:ascii="Times New Roman" w:hAnsi="Times New Roman" w:cs="Times New Roman"/>
          <w:sz w:val="24"/>
          <w:szCs w:val="22"/>
        </w:rPr>
        <w:t xml:space="preserve">Achieving effective management </w:t>
      </w:r>
      <w:r w:rsidR="00B81559">
        <w:rPr>
          <w:rFonts w:ascii="Times New Roman" w:hAnsi="Times New Roman" w:cs="Times New Roman"/>
          <w:sz w:val="24"/>
          <w:szCs w:val="22"/>
        </w:rPr>
        <w:t xml:space="preserve">of disruptions </w:t>
      </w:r>
      <w:r w:rsidR="00E4270A" w:rsidRPr="00E4270A">
        <w:rPr>
          <w:rFonts w:ascii="Times New Roman" w:hAnsi="Times New Roman" w:cs="Times New Roman"/>
          <w:sz w:val="24"/>
          <w:szCs w:val="22"/>
        </w:rPr>
        <w:t xml:space="preserve">requires teachers to handle the simultaneity and complexity of classroom interactions (Doyle, 1980) by developing skills like </w:t>
      </w:r>
      <w:r w:rsidR="00E4270A" w:rsidRPr="00E4270A">
        <w:rPr>
          <w:rFonts w:ascii="Times New Roman" w:hAnsi="Times New Roman" w:cs="Times New Roman"/>
          <w:i/>
          <w:iCs/>
          <w:sz w:val="24"/>
          <w:szCs w:val="22"/>
        </w:rPr>
        <w:t>withitness</w:t>
      </w:r>
      <w:r w:rsidR="00E4270A" w:rsidRPr="00E4270A">
        <w:rPr>
          <w:rFonts w:ascii="Times New Roman" w:hAnsi="Times New Roman" w:cs="Times New Roman"/>
          <w:sz w:val="24"/>
          <w:szCs w:val="22"/>
        </w:rPr>
        <w:t xml:space="preserve"> and </w:t>
      </w:r>
      <w:r w:rsidR="00E4270A" w:rsidRPr="00E4270A">
        <w:rPr>
          <w:rFonts w:ascii="Times New Roman" w:hAnsi="Times New Roman" w:cs="Times New Roman"/>
          <w:i/>
          <w:iCs/>
          <w:sz w:val="24"/>
          <w:szCs w:val="22"/>
        </w:rPr>
        <w:t>overlapping</w:t>
      </w:r>
      <w:r w:rsidR="00E4270A" w:rsidRPr="00E4270A">
        <w:rPr>
          <w:rFonts w:ascii="Times New Roman" w:hAnsi="Times New Roman" w:cs="Times New Roman"/>
          <w:sz w:val="24"/>
          <w:szCs w:val="22"/>
        </w:rPr>
        <w:t xml:space="preserve">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xml:space="preserve">, 2006). Withitness refers to a teacher’s awareness of classroom dynamics, while overlapping involves managing multiple tasks without disrupting instructional flow. Gold and </w:t>
      </w:r>
      <w:proofErr w:type="spellStart"/>
      <w:r w:rsidR="00E4270A" w:rsidRPr="00E4270A">
        <w:rPr>
          <w:rFonts w:ascii="Times New Roman" w:hAnsi="Times New Roman" w:cs="Times New Roman"/>
          <w:sz w:val="24"/>
          <w:szCs w:val="22"/>
        </w:rPr>
        <w:t>Holodynski</w:t>
      </w:r>
      <w:proofErr w:type="spellEnd"/>
      <w:r w:rsidR="00E4270A" w:rsidRPr="00E4270A">
        <w:rPr>
          <w:rFonts w:ascii="Times New Roman" w:hAnsi="Times New Roman" w:cs="Times New Roman"/>
          <w:sz w:val="24"/>
          <w:szCs w:val="22"/>
        </w:rPr>
        <w:t xml:space="preserve"> (2015) group these under </w:t>
      </w:r>
      <w:r w:rsidR="00E4270A" w:rsidRPr="00E4270A">
        <w:rPr>
          <w:rFonts w:ascii="Times New Roman" w:hAnsi="Times New Roman" w:cs="Times New Roman"/>
          <w:i/>
          <w:iCs/>
          <w:sz w:val="24"/>
          <w:szCs w:val="22"/>
        </w:rPr>
        <w:t>monitoring</w:t>
      </w:r>
      <w:r w:rsidR="00E4270A" w:rsidRPr="00E4270A">
        <w:rPr>
          <w:rFonts w:ascii="Times New Roman" w:hAnsi="Times New Roman" w:cs="Times New Roman"/>
          <w:sz w:val="24"/>
          <w:szCs w:val="22"/>
        </w:rPr>
        <w:t>, which includes proactive strategies</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such as maintaining perceptible presence (Kiel et al., 2013)</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 xml:space="preserve">and reactive </w:t>
      </w:r>
      <w:r w:rsidR="00E4270A" w:rsidRPr="00E4270A">
        <w:rPr>
          <w:rFonts w:ascii="Times New Roman" w:hAnsi="Times New Roman" w:cs="Times New Roman"/>
          <w:sz w:val="24"/>
          <w:szCs w:val="22"/>
        </w:rPr>
        <w:lastRenderedPageBreak/>
        <w:t>strategies tailored to the context and severity of disruptions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2006).</w:t>
      </w:r>
      <w:r w:rsidR="00877D19">
        <w:rPr>
          <w:rStyle w:val="Funotenzeichen"/>
          <w:rFonts w:ascii="Times New Roman" w:hAnsi="Times New Roman" w:cs="Times New Roman"/>
          <w:sz w:val="24"/>
          <w:szCs w:val="22"/>
        </w:rPr>
        <w:footnoteReference w:id="3"/>
      </w:r>
      <w:r w:rsidR="00B81559">
        <w:rPr>
          <w:rFonts w:ascii="Times New Roman" w:hAnsi="Times New Roman" w:cs="Times New Roman"/>
          <w:sz w:val="24"/>
          <w:szCs w:val="22"/>
        </w:rPr>
        <w:t xml:space="preserve"> </w:t>
      </w:r>
      <w:r w:rsidR="00051BD9">
        <w:rPr>
          <w:rFonts w:ascii="Times New Roman" w:hAnsi="Times New Roman" w:cs="Times New Roman"/>
          <w:sz w:val="24"/>
          <w:szCs w:val="22"/>
        </w:rPr>
        <w:t>R</w:t>
      </w:r>
      <w:r w:rsidR="00051BD9" w:rsidRPr="00051BD9">
        <w:rPr>
          <w:rFonts w:ascii="Times New Roman" w:hAnsi="Times New Roman" w:cs="Times New Roman"/>
          <w:sz w:val="24"/>
          <w:szCs w:val="22"/>
        </w:rPr>
        <w:t xml:space="preserve">eactive strategies should be timely, subtle, and escalate gradually (Borich, 2015; Keller, 2014; Lohmann, 2014; </w:t>
      </w:r>
      <w:proofErr w:type="spellStart"/>
      <w:r w:rsidR="00051BD9" w:rsidRPr="00051BD9">
        <w:rPr>
          <w:rFonts w:ascii="Times New Roman" w:hAnsi="Times New Roman" w:cs="Times New Roman"/>
          <w:sz w:val="24"/>
          <w:szCs w:val="22"/>
        </w:rPr>
        <w:t>Nolting</w:t>
      </w:r>
      <w:proofErr w:type="spellEnd"/>
      <w:r w:rsidR="00051BD9" w:rsidRPr="00051BD9">
        <w:rPr>
          <w:rFonts w:ascii="Times New Roman" w:hAnsi="Times New Roman" w:cs="Times New Roman"/>
          <w:sz w:val="24"/>
          <w:szCs w:val="22"/>
        </w:rPr>
        <w:t>, 2017). A low-profile approach</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such as responding early with minimal interruption</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has proven effective in managing minor disruptions without diverting attention from the learning process (Rinne, 1982; Borich, 2015; Helmke, 2021). Subtle verbal or nonverbal cues help preserve instructional flow and classroom climate, especially when addressing seemingly harmless behaviors like daydreaming or mobile phone use (</w:t>
      </w:r>
      <w:proofErr w:type="spellStart"/>
      <w:r w:rsidR="00051BD9" w:rsidRPr="00051BD9">
        <w:rPr>
          <w:rFonts w:ascii="Times New Roman" w:hAnsi="Times New Roman" w:cs="Times New Roman"/>
          <w:sz w:val="24"/>
          <w:szCs w:val="22"/>
        </w:rPr>
        <w:t>Grewe</w:t>
      </w:r>
      <w:proofErr w:type="spellEnd"/>
      <w:r w:rsidR="00051BD9" w:rsidRPr="00051BD9">
        <w:rPr>
          <w:rFonts w:ascii="Times New Roman" w:hAnsi="Times New Roman" w:cs="Times New Roman"/>
          <w:sz w:val="24"/>
          <w:szCs w:val="22"/>
        </w:rPr>
        <w:t xml:space="preserve">, 2002; Helmke, 2021). </w:t>
      </w:r>
    </w:p>
    <w:p w14:paraId="5010C01A" w14:textId="77777777" w:rsidR="00630FC4" w:rsidRPr="00630FC4" w:rsidRDefault="00630FC4" w:rsidP="00630FC4">
      <w:pPr>
        <w:pStyle w:val="berschrift2"/>
        <w:rPr>
          <w:rFonts w:ascii="Times New Roman" w:hAnsi="Times New Roman" w:cs="Times New Roman"/>
          <w:sz w:val="24"/>
          <w:szCs w:val="24"/>
          <w:shd w:val="clear" w:color="auto" w:fill="auto"/>
          <w:lang w:eastAsia="de-DE"/>
        </w:rPr>
      </w:pPr>
      <w:r w:rsidRPr="00630FC4">
        <w:rPr>
          <w:rFonts w:ascii="Times New Roman" w:hAnsi="Times New Roman" w:cs="Times New Roman"/>
          <w:sz w:val="24"/>
          <w:szCs w:val="24"/>
          <w:shd w:val="clear" w:color="auto" w:fill="auto"/>
          <w:lang w:eastAsia="de-DE"/>
        </w:rPr>
        <w:t xml:space="preserve">Competence Development in Classroom Disruption Management </w:t>
      </w:r>
    </w:p>
    <w:p w14:paraId="2C0EF7A1" w14:textId="01296EA7" w:rsidR="00C356A7" w:rsidRDefault="00CE030C" w:rsidP="00630FC4">
      <w:pPr>
        <w:rPr>
          <w:rFonts w:ascii="Times New Roman" w:hAnsi="Times New Roman" w:cs="Times New Roman"/>
          <w:sz w:val="24"/>
          <w:szCs w:val="22"/>
        </w:rPr>
      </w:pPr>
      <w:r w:rsidRPr="00CE030C">
        <w:rPr>
          <w:rFonts w:ascii="Times New Roman" w:hAnsi="Times New Roman" w:cs="Times New Roman"/>
          <w:sz w:val="24"/>
          <w:szCs w:val="22"/>
        </w:rPr>
        <w:t>To effectively minimize classroom disruptions, teachers must remain vigilant by consistently monitoring their environment for behaviors that may hinder the learning process. Figure 1 illustrates, in a simplified manner, how cognitive dispositions</w:t>
      </w:r>
      <w:r>
        <w:rPr>
          <w:rFonts w:ascii="Times New Roman" w:hAnsi="Times New Roman" w:cs="Times New Roman"/>
          <w:sz w:val="24"/>
          <w:szCs w:val="22"/>
        </w:rPr>
        <w:t xml:space="preserve">, </w:t>
      </w:r>
      <w:r w:rsidRPr="00CE030C">
        <w:rPr>
          <w:rFonts w:ascii="Times New Roman" w:hAnsi="Times New Roman" w:cs="Times New Roman"/>
          <w:sz w:val="24"/>
          <w:szCs w:val="22"/>
        </w:rPr>
        <w:t>such as knowledge of classroom management strategies</w:t>
      </w:r>
      <w:r>
        <w:rPr>
          <w:rFonts w:ascii="Times New Roman" w:hAnsi="Times New Roman" w:cs="Times New Roman"/>
          <w:sz w:val="24"/>
          <w:szCs w:val="22"/>
        </w:rPr>
        <w:t xml:space="preserve">, </w:t>
      </w:r>
      <w:r w:rsidRPr="00CE030C">
        <w:rPr>
          <w:rFonts w:ascii="Times New Roman" w:hAnsi="Times New Roman" w:cs="Times New Roman"/>
          <w:sz w:val="24"/>
          <w:szCs w:val="22"/>
        </w:rPr>
        <w:t>interact with perception processes and lead to observable teacher behavior. This is based on an adaptation of the model of competence-to-performance transformation, which is mediated by situation-specific skills</w:t>
      </w:r>
      <w:r w:rsidR="001F4468">
        <w:rPr>
          <w:rFonts w:ascii="Times New Roman" w:hAnsi="Times New Roman" w:cs="Times New Roman"/>
          <w:sz w:val="24"/>
          <w:szCs w:val="22"/>
        </w:rPr>
        <w:t xml:space="preserve"> such as perception</w:t>
      </w:r>
      <w:r w:rsidRPr="00CE030C">
        <w:rPr>
          <w:rFonts w:ascii="Times New Roman" w:hAnsi="Times New Roman" w:cs="Times New Roman"/>
          <w:sz w:val="24"/>
          <w:szCs w:val="22"/>
        </w:rPr>
        <w:t>, as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2E1A0C">
        <w:rPr>
          <w:rFonts w:ascii="Times New Roman" w:hAnsi="Times New Roman" w:cs="Times New Roman"/>
          <w:sz w:val="24"/>
          <w:szCs w:val="22"/>
        </w:rPr>
        <w:instrText xml:space="preserve"> ADDIN ZOTERO_ITEM CSL_CITATION {"citationID":"ZdSHVcNw","properties":{"formattedCitation":"(Bl\\uc0\\u246{}meke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proofErr w:type="spellStart"/>
      <w:r w:rsidR="002E1A0C" w:rsidRPr="00630FC4">
        <w:rPr>
          <w:rFonts w:ascii="Times New Roman" w:hAnsi="Times New Roman" w:cs="Times New Roman"/>
          <w:sz w:val="24"/>
          <w:szCs w:val="22"/>
        </w:rPr>
        <w:t>Blömeke</w:t>
      </w:r>
      <w:proofErr w:type="spellEnd"/>
      <w:r w:rsidR="002E1A0C" w:rsidRPr="00630FC4">
        <w:rPr>
          <w:rFonts w:ascii="Times New Roman" w:hAnsi="Times New Roman" w:cs="Times New Roman"/>
          <w:sz w:val="24"/>
          <w:szCs w:val="22"/>
        </w:rPr>
        <w:t xml:space="preserv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and </w:t>
      </w:r>
      <w:r w:rsidR="005F0BE0">
        <w:rPr>
          <w:rFonts w:ascii="Times New Roman" w:hAnsi="Times New Roman" w:cs="Times New Roman"/>
          <w:sz w:val="24"/>
          <w:szCs w:val="22"/>
        </w:rPr>
        <w:fldChar w:fldCharType="begin"/>
      </w:r>
      <w:r w:rsidR="005F0BE0">
        <w:rPr>
          <w:rFonts w:ascii="Times New Roman" w:hAnsi="Times New Roman" w:cs="Times New Roman"/>
          <w:sz w:val="24"/>
          <w:szCs w:val="22"/>
        </w:rPr>
        <w:instrText xml:space="preserve"> ADDIN ZOTERO_ITEM CSL_CITATION {"citationID":"riz7V6qz","properties":{"formattedCitation":"(Grub,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22E121B9" w:rsidR="007F6EAE" w:rsidRDefault="006676AA" w:rsidP="006676AA">
      <w:pPr>
        <w:ind w:firstLine="0"/>
        <w:rPr>
          <w:rFonts w:ascii="Times New Roman" w:hAnsi="Times New Roman" w:cs="Times New Roman"/>
          <w:i/>
          <w:iCs/>
          <w:sz w:val="24"/>
          <w:szCs w:val="22"/>
        </w:rPr>
      </w:pPr>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DD3A5A" w:rsidRPr="00DD3A5A">
        <w:rPr>
          <w:rFonts w:ascii="Times New Roman" w:hAnsi="Times New Roman" w:cs="Times New Roman"/>
          <w:i/>
          <w:iCs/>
          <w:sz w:val="24"/>
          <w:szCs w:val="22"/>
        </w:rPr>
        <w:instrText xml:space="preserve"> ADDIN ZOTERO_ITEM CSL_CITATION {"citationID":"cPDvgyr6","properties":{"formattedCitation":"(Bl\\uc0\\u246{}meke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proofErr w:type="spellStart"/>
      <w:r w:rsidR="00DD3A5A" w:rsidRPr="00DD3A5A">
        <w:rPr>
          <w:rFonts w:ascii="Times New Roman" w:hAnsi="Times New Roman" w:cs="Times New Roman"/>
          <w:i/>
          <w:iCs/>
          <w:sz w:val="24"/>
          <w:szCs w:val="24"/>
        </w:rPr>
        <w:t>Blömeke</w:t>
      </w:r>
      <w:proofErr w:type="spellEnd"/>
      <w:r w:rsidR="00DD3A5A" w:rsidRPr="00DD3A5A">
        <w:rPr>
          <w:rFonts w:ascii="Times New Roman" w:hAnsi="Times New Roman" w:cs="Times New Roman"/>
          <w:i/>
          <w:iCs/>
          <w:sz w:val="24"/>
          <w:szCs w:val="24"/>
        </w:rPr>
        <w:t xml:space="preserv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1C12C0" w:rsidRPr="001C12C0">
        <w:rPr>
          <w:rFonts w:ascii="Times New Roman" w:hAnsi="Times New Roman" w:cs="Times New Roman"/>
          <w:i/>
          <w:iCs/>
          <w:sz w:val="24"/>
          <w:szCs w:val="22"/>
        </w:rPr>
        <w:instrText xml:space="preserve"> ADDIN ZOTERO_ITEM CSL_CITATION {"citationID":"uV5XPgcj","properties":{"formattedCitation":"(Grub,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p>
    <w:p w14:paraId="2EC66C22" w14:textId="7F96505C" w:rsidR="0023707A" w:rsidRPr="0093630C" w:rsidRDefault="00AE2E42" w:rsidP="006676AA">
      <w:pPr>
        <w:ind w:firstLine="0"/>
        <w:rPr>
          <w:szCs w:val="22"/>
        </w:rPr>
      </w:pPr>
      <w:r>
        <w:rPr>
          <w:noProof/>
          <w:szCs w:val="22"/>
        </w:rPr>
        <w:lastRenderedPageBreak/>
        <w:drawing>
          <wp:inline distT="0" distB="0" distL="0" distR="0" wp14:anchorId="4495D98D" wp14:editId="6D32235B">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D639A0" w14:textId="1079C43E" w:rsidR="005343E9" w:rsidRDefault="005343E9" w:rsidP="005343E9">
      <w:pPr>
        <w:rPr>
          <w:rFonts w:ascii="Times New Roman" w:hAnsi="Times New Roman" w:cs="Times New Roman"/>
          <w:sz w:val="24"/>
          <w:szCs w:val="22"/>
        </w:rPr>
      </w:pPr>
    </w:p>
    <w:p w14:paraId="61F39631" w14:textId="0C9FCE7B" w:rsidR="00043932" w:rsidRDefault="000D7DBB" w:rsidP="001D3051">
      <w:pPr>
        <w:rPr>
          <w:rFonts w:ascii="Times New Roman" w:hAnsi="Times New Roman" w:cs="Times New Roman"/>
          <w:sz w:val="24"/>
          <w:szCs w:val="22"/>
        </w:rPr>
      </w:pPr>
      <w:r>
        <w:rPr>
          <w:rFonts w:ascii="Times New Roman" w:hAnsi="Times New Roman" w:cs="Times New Roman"/>
          <w:sz w:val="24"/>
          <w:szCs w:val="22"/>
        </w:rPr>
        <w:t>As shown in Figure 1, w</w:t>
      </w:r>
      <w:r w:rsidR="00E03789" w:rsidRPr="00E03789">
        <w:rPr>
          <w:rFonts w:ascii="Times New Roman" w:hAnsi="Times New Roman" w:cs="Times New Roman"/>
          <w:sz w:val="24"/>
          <w:szCs w:val="22"/>
        </w:rPr>
        <w:t xml:space="preserve">hen classroom disruptions occur and teachers aim to address them effectively, </w:t>
      </w:r>
      <w:r w:rsidR="00DA7A31">
        <w:rPr>
          <w:rFonts w:ascii="Times New Roman" w:hAnsi="Times New Roman" w:cs="Times New Roman"/>
          <w:sz w:val="24"/>
          <w:szCs w:val="22"/>
        </w:rPr>
        <w:t xml:space="preserve">cognitive dispositions such as </w:t>
      </w:r>
      <w:r w:rsidR="00E03789" w:rsidRPr="00E03789">
        <w:rPr>
          <w:rFonts w:ascii="Times New Roman" w:hAnsi="Times New Roman" w:cs="Times New Roman"/>
          <w:sz w:val="24"/>
          <w:szCs w:val="22"/>
        </w:rPr>
        <w:t xml:space="preserve">a solid and well-integrated knowledge base </w:t>
      </w:r>
      <w:r w:rsidR="004045A0">
        <w:rPr>
          <w:rFonts w:ascii="Times New Roman" w:hAnsi="Times New Roman" w:cs="Times New Roman"/>
          <w:sz w:val="24"/>
          <w:szCs w:val="22"/>
        </w:rPr>
        <w:t>are</w:t>
      </w:r>
      <w:r w:rsidR="00E03789" w:rsidRPr="00E03789">
        <w:rPr>
          <w:rFonts w:ascii="Times New Roman" w:hAnsi="Times New Roman" w:cs="Times New Roman"/>
          <w:sz w:val="24"/>
          <w:szCs w:val="22"/>
        </w:rPr>
        <w:t xml:space="preserve"> considered a prerequisite for professional teaching practice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 xml:space="preserve">(Barth, 2017; </w:t>
      </w:r>
      <w:proofErr w:type="spellStart"/>
      <w:r w:rsidR="00AA72CF" w:rsidRPr="00AA72CF">
        <w:rPr>
          <w:rFonts w:ascii="Times New Roman" w:hAnsi="Times New Roman" w:cs="Times New Roman"/>
          <w:sz w:val="24"/>
        </w:rPr>
        <w:t>Kunter</w:t>
      </w:r>
      <w:proofErr w:type="spellEnd"/>
      <w:r w:rsidR="00AA72CF" w:rsidRPr="00AA72CF">
        <w:rPr>
          <w:rFonts w:ascii="Times New Roman" w:hAnsi="Times New Roman" w:cs="Times New Roman"/>
          <w:sz w:val="24"/>
        </w:rPr>
        <w:t xml:space="preserve"> et al., 2011; Voss et al., 2014; </w:t>
      </w:r>
      <w:proofErr w:type="spellStart"/>
      <w:r w:rsidR="00AA72CF" w:rsidRPr="00AA72CF">
        <w:rPr>
          <w:rFonts w:ascii="Times New Roman" w:hAnsi="Times New Roman" w:cs="Times New Roman"/>
          <w:sz w:val="24"/>
        </w:rPr>
        <w:t>Zierer</w:t>
      </w:r>
      <w:proofErr w:type="spellEnd"/>
      <w:r w:rsidR="00AA72CF" w:rsidRPr="00AA72CF">
        <w:rPr>
          <w:rFonts w:ascii="Times New Roman" w:hAnsi="Times New Roman" w:cs="Times New Roman"/>
          <w:sz w:val="24"/>
        </w:rPr>
        <w:t>, 2015)</w:t>
      </w:r>
      <w:r w:rsidR="00AA72CF">
        <w:rPr>
          <w:rFonts w:ascii="Times New Roman" w:hAnsi="Times New Roman" w:cs="Times New Roman"/>
          <w:sz w:val="24"/>
          <w:szCs w:val="22"/>
        </w:rPr>
        <w:fldChar w:fldCharType="end"/>
      </w:r>
      <w:r w:rsidR="001D3051">
        <w:rPr>
          <w:rFonts w:ascii="Times New Roman" w:hAnsi="Times New Roman" w:cs="Times New Roman"/>
          <w:sz w:val="24"/>
          <w:szCs w:val="22"/>
        </w:rPr>
        <w:t xml:space="preserve">. Especially, </w:t>
      </w:r>
      <w:r w:rsidR="00DA7A31">
        <w:rPr>
          <w:rFonts w:ascii="Times New Roman" w:hAnsi="Times New Roman" w:cs="Times New Roman"/>
          <w:sz w:val="24"/>
          <w:szCs w:val="22"/>
        </w:rPr>
        <w:t xml:space="preserve">the strategic knowledge of classroom management is essential </w:t>
      </w:r>
      <w:r w:rsidR="00AA72CF">
        <w:rPr>
          <w:rFonts w:ascii="Times New Roman" w:hAnsi="Times New Roman" w:cs="Times New Roman"/>
          <w:sz w:val="24"/>
          <w:szCs w:val="22"/>
        </w:rPr>
        <w:t xml:space="preserve">as this </w:t>
      </w:r>
      <w:r w:rsidR="00AA72CF" w:rsidRPr="004E76A8">
        <w:rPr>
          <w:rFonts w:ascii="Times New Roman" w:hAnsi="Times New Roman" w:cs="Times New Roman"/>
          <w:sz w:val="24"/>
          <w:szCs w:val="22"/>
        </w:rPr>
        <w:t xml:space="preserve">knowledge is essential for selecting appropriate courses of action, such as responding to classroom disruptions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{"citationID":"My6SGw99","properties":{"formattedCitation":"(Gold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(Gold &amp; Holodynski, 2015)</w:t>
      </w:r>
      <w:r w:rsidR="003072A0">
        <w:rPr>
          <w:rFonts w:ascii="Times New Roman" w:hAnsi="Times New Roman" w:cs="Times New Roman"/>
          <w:sz w:val="24"/>
          <w:szCs w:val="22"/>
        </w:rPr>
        <w:fldChar w:fldCharType="end"/>
      </w:r>
      <w:r w:rsidR="00AA72CF"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It </w:t>
      </w:r>
      <w:r w:rsidR="004E76A8" w:rsidRPr="004E76A8">
        <w:rPr>
          <w:rFonts w:ascii="Times New Roman" w:hAnsi="Times New Roman" w:cs="Times New Roman"/>
          <w:sz w:val="24"/>
          <w:szCs w:val="22"/>
        </w:rPr>
        <w:t xml:space="preserve">enables teachers to make informed decisions in complex teaching situations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{"citationID":"9iVlI7G8","properties":{"formattedCitation":"(Fenstermacher,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(Fenstermacher, 1994)</w:t>
      </w:r>
      <w:r w:rsidR="003072A0">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To address the diverse and dynamic challenges of the classroom, teachers must apply their strategic knowledge flexibly and adaptively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{"citationID":"qwUo3Bqj","properties":{"formattedCitation":"(Borko, 2004; Goldman, 2007)","plainCitation":"(Borko, 2004; Goldman, 2007)","noteIndex":0},"citationItems":[{"id":1098,"uris":["http://zotero.org/groups/5349517/items/S93B7VPA"],"itemData":{"id":1098,"type":"article-journal","abstract":"Teacher professional development is essential to efforts to improve our schools. This article maps the terrain of research on this important topic. It first provides an overview of what we have learned as a field, about effective professional development programs and their impact on teacher learning. It then suggests some important directions and strategies for extending our knowledge into new territory of questions not yet explored.","container-title":"Educational Researcher","DOI":"10.3102/0013189X033008003","ISSN":"0013-189X","issue":"8","language":"en","note":"publisher: American Educational Research Association","page":"3-15","source":"SAGE Journals","title":"Professional Development and Teacher Learning: Mapping the Terrain","title-short":"Professional Development and Teacher Learning","volume":"33","author":[{"family":"Borko","given":"Hilda"}],"issued":{"date-parts":[["2004",11,1]]}}},{"id":1101,"uris":["http://zotero.org/groups/5349517/items/ECR9X9CF"],"itemData":{"id":1101,"type":"book","event-place":"Mahwah,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(Borko, 2004; Goldman, 2007)</w:t>
      </w:r>
      <w:r w:rsidR="003072A0">
        <w:rPr>
          <w:rFonts w:ascii="Times New Roman" w:hAnsi="Times New Roman" w:cs="Times New Roman"/>
          <w:sz w:val="24"/>
          <w:szCs w:val="22"/>
        </w:rPr>
        <w:fldChar w:fldCharType="end"/>
      </w:r>
      <w:r w:rsidR="00035031">
        <w:rPr>
          <w:rFonts w:ascii="Times New Roman" w:hAnsi="Times New Roman" w:cs="Times New Roman"/>
          <w:sz w:val="24"/>
          <w:szCs w:val="22"/>
        </w:rPr>
        <w:t xml:space="preserve">, which </w:t>
      </w:r>
      <w:r w:rsidR="004E76A8" w:rsidRPr="004E76A8">
        <w:rPr>
          <w:rFonts w:ascii="Times New Roman" w:hAnsi="Times New Roman" w:cs="Times New Roman"/>
          <w:sz w:val="24"/>
          <w:szCs w:val="22"/>
        </w:rPr>
        <w:t xml:space="preserve">requires context-sensitive and responsive classroom management </w:t>
      </w:r>
      <w:r w:rsidR="00035031">
        <w:rPr>
          <w:rFonts w:ascii="Times New Roman" w:hAnsi="Times New Roman" w:cs="Times New Roman"/>
          <w:sz w:val="24"/>
          <w:szCs w:val="22"/>
        </w:rPr>
        <w:t xml:space="preserve">strategies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{"citationID":"NS3h4mM9","properties":{"formattedCitation":"(Barth,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(Barth, 2017; Kunter et al., 2011)</w:t>
      </w:r>
      <w:r w:rsidR="003072A0">
        <w:rPr>
          <w:rFonts w:ascii="Times New Roman" w:hAnsi="Times New Roman" w:cs="Times New Roman"/>
          <w:sz w:val="24"/>
          <w:szCs w:val="22"/>
        </w:rPr>
        <w:fldChar w:fldCharType="end"/>
      </w:r>
      <w:r w:rsidR="004E76A8" w:rsidRPr="004E76A8">
        <w:rPr>
          <w:rFonts w:ascii="Times New Roman" w:hAnsi="Times New Roman" w:cs="Times New Roman"/>
          <w:sz w:val="24"/>
          <w:szCs w:val="22"/>
        </w:rPr>
        <w:t>.</w:t>
      </w:r>
      <w:r w:rsidR="009A4E8F">
        <w:rPr>
          <w:rFonts w:ascii="Times New Roman" w:hAnsi="Times New Roman" w:cs="Times New Roman"/>
          <w:sz w:val="24"/>
          <w:szCs w:val="22"/>
        </w:rPr>
        <w:t xml:space="preserve"> Further, s</w:t>
      </w:r>
      <w:r w:rsidR="004E76A8" w:rsidRPr="004E76A8">
        <w:rPr>
          <w:rFonts w:ascii="Times New Roman" w:hAnsi="Times New Roman" w:cs="Times New Roman"/>
          <w:sz w:val="24"/>
          <w:szCs w:val="22"/>
        </w:rPr>
        <w:t xml:space="preserve">trategic knowledge is a key component of effective instruction </w:t>
      </w:r>
      <w:r w:rsidR="00C9034C">
        <w:rPr>
          <w:rFonts w:ascii="Times New Roman" w:hAnsi="Times New Roman" w:cs="Times New Roman"/>
          <w:sz w:val="24"/>
          <w:szCs w:val="22"/>
        </w:rPr>
        <w:fldChar w:fldCharType="begin"/>
      </w:r>
      <w:r w:rsidR="00C9034C">
        <w:rPr>
          <w:rFonts w:ascii="Times New Roman" w:hAnsi="Times New Roman" w:cs="Times New Roman"/>
          <w:sz w:val="24"/>
          <w:szCs w:val="22"/>
        </w:rPr>
        <w:instrText xml:space="preserve"> ADDIN ZOTERO_ITEM CSL_CITATION {"citationID":"hqHPWxZp","properties":{"formattedCitation":"(D\\uc0\\u8217{}Agostino &amp; VanWinkle, 2007)","plainCitation":"(D’Agostino &amp; VanWinkle, 2007)","noteIndex":0},"citationItems":[{"id":1100,"uris":["http://zotero.org/groups/5349517/items/LUN5JD7M"],"itemData":{"id":1100,"type":"article-journal","container-title":"Journal of Personnel Evaluation in Education","DOI":"10.1007/s11092-007-9047-2","ISSN":"0920-525X, 1573-0425","issue":"1-2","journalAbbreviation":"J Pers Eval Educ","language":"en","license":"http://www.springer.com/tdm","page":"65-84","source":"DOI.org (Crossref)","title":"Identifying Prepared and Competent Teachers with Professional Knowledge Tests","volume":"20","author":[{"family":"D’Agostino","given":"Jerome V."},{"family":"VanWinkle","given":"Waverely Hester"}],"issued":{"date-parts":[["2007",6]]}}}],"schema":"https://github.com/citation-style-language/schema/raw/master/csl-citation.json"} </w:instrText>
      </w:r>
      <w:r w:rsidR="00C9034C">
        <w:rPr>
          <w:rFonts w:ascii="Times New Roman" w:hAnsi="Times New Roman" w:cs="Times New Roman"/>
          <w:sz w:val="24"/>
          <w:szCs w:val="22"/>
        </w:rPr>
        <w:fldChar w:fldCharType="separate"/>
      </w:r>
      <w:r w:rsidR="00C9034C" w:rsidRPr="00C9034C">
        <w:rPr>
          <w:rFonts w:ascii="Times New Roman" w:hAnsi="Times New Roman" w:cs="Times New Roman"/>
          <w:sz w:val="24"/>
          <w:szCs w:val="24"/>
        </w:rPr>
        <w:t>(D’Agostino &amp; VanWinkle, 2007)</w:t>
      </w:r>
      <w:r w:rsidR="00C9034C">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It develops through practical problem-solving experiences, where declarative knowledge </w:t>
      </w:r>
      <w:r w:rsidR="004E76A8" w:rsidRPr="004E76A8">
        <w:rPr>
          <w:rFonts w:ascii="Times New Roman" w:hAnsi="Times New Roman" w:cs="Times New Roman"/>
          <w:sz w:val="24"/>
          <w:szCs w:val="22"/>
        </w:rPr>
        <w:lastRenderedPageBreak/>
        <w:t xml:space="preserve">transforms into procedural knowledge, enabling teachers to act quickly and effectively </w:t>
      </w:r>
      <w:r w:rsidR="00435015">
        <w:rPr>
          <w:rFonts w:ascii="Times New Roman" w:hAnsi="Times New Roman" w:cs="Times New Roman"/>
          <w:sz w:val="24"/>
          <w:szCs w:val="22"/>
        </w:rPr>
        <w:fldChar w:fldCharType="begin"/>
      </w:r>
      <w:r w:rsidR="00435015">
        <w:rPr>
          <w:rFonts w:ascii="Times New Roman" w:hAnsi="Times New Roman" w:cs="Times New Roman"/>
          <w:sz w:val="24"/>
          <w:szCs w:val="22"/>
        </w:rPr>
        <w:instrText xml:space="preserve"> ADDIN ZOTERO_ITEM CSL_CITATION {"citationID":"km2TzJZM","properties":{"formattedCitation":"(Bl\\uc0\\u246{}meke et al., 2022; Gold &amp; Holodynski, 2015; Rauner, 2005)","plainCitation":"(Blömeke et al., 2022; Gold &amp; Holodynski, 2015; Rauner, 2005)","noteIndex":0},"citationItems":[{"id":1047,"uris":["http://zotero.org/groups/5349517/items/CZ7DKU2G"],"itemData":{"id":1047,"type":"article-journal","container-title":"Learning and Instruction","DOI":"10.1016/j.learninstruc.2022.101600","ISSN":"09594752","journalAbbreviation":"Learning and Instruction","language":"en","page":"101600","source":"DOI.org (Crossref)","title":"Opening up the black box: Teacher competence, instructional quality, and students’ learning progress","title-short":"Opening up the black box","volume":"79","author":[{"family":"Blömeke","given":"Sigrid"},{"family":"Jentsch","given":"Armin"},{"family":"Ross","given":"Natalie"},{"family":"Kaiser","given":"Gabriele"},{"family":"König","given":"Johannes"}],"issued":{"date-parts":[["2022",6]]}}},{"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Schools","volume":"20","author":[{"family":"Gold","given":"Bernadette"},{"family":"Holodynski","given":"Manfred"}],"issued":{"date-parts":[["2015",7,3]]}}},{"id":1104,"uris":["http://zotero.org/groups/5349517/items/RUK7HXBT"],"itemData":{"id":1104,"type":"book","abstract":"Mit dem \"Handbuch Berufsbildungsforschung\" liegt erstmals ein Werk vor, das fuer alle Dimensionen der beruflichen Bildung den Stand der Erkenntnisse dokumentiert: sowohl fuer die Erforschung als auch fuer den Wissenstransfer in die Berufsbildungspraxis und -politik. Der Band beinhaltet 98 Beitraege zu den Fragestellungen, Ergebnissen und Methoden der Berufsbildungsforschung. Dieses Handbuch stellt besonders fuer die Planung und Durchfuehrung von Forschungs- und Entwicklungsvorhaben - Modellversuche und Pilotprojekte eingeschlossen - ein wichtiges Werkzeug dar. Die Artikel der insgesamt 86 Autoren sind nach folgenden Kapiteln gegliedert: Genese der Berufsbildungsforschung Berufsbildungsforschung im Spannungsverhaeltnis von BerufsbildungspolitikBerufsbildungsplanung und BerufsbildungspraxisFelder der Berufsbildungsforschung Fallbeispiele: BerufsbildungsforschungForschungsmethoden. (DJI/Abstract übernommen).","event-place":"Bielefeld","ISBN":"978-3-7639-3167-5","note":"type: gedruckt","number-of-pages":"828","publisher":"Bertelsmann","publisher-place":"Bielefeld","source":"Fachportal Pädagogik","title":"Handbuch Berufsbildungsforschung.","editor":[{"family":"Rauner","given":"Felix"}],"issued":{"date-parts":[["2005"]]}}}],"schema":"https://github.com/citation-style-language/schema/raw/master/csl-citation.json"} </w:instrText>
      </w:r>
      <w:r w:rsidR="00435015">
        <w:rPr>
          <w:rFonts w:ascii="Times New Roman" w:hAnsi="Times New Roman" w:cs="Times New Roman"/>
          <w:sz w:val="24"/>
          <w:szCs w:val="22"/>
        </w:rPr>
        <w:fldChar w:fldCharType="separate"/>
      </w:r>
      <w:r w:rsidR="00435015" w:rsidRPr="00435015">
        <w:rPr>
          <w:rFonts w:ascii="Times New Roman" w:hAnsi="Times New Roman" w:cs="Times New Roman"/>
          <w:sz w:val="24"/>
          <w:szCs w:val="24"/>
        </w:rPr>
        <w:t>(Blömeke et al., 2022; Gold &amp; Holodynski, 2015; Rauner, 2005)</w:t>
      </w:r>
      <w:r w:rsidR="00435015">
        <w:rPr>
          <w:rFonts w:ascii="Times New Roman" w:hAnsi="Times New Roman" w:cs="Times New Roman"/>
          <w:sz w:val="24"/>
          <w:szCs w:val="22"/>
        </w:rPr>
        <w:fldChar w:fldCharType="end"/>
      </w:r>
      <w:r w:rsidR="00435015">
        <w:rPr>
          <w:rFonts w:ascii="Times New Roman" w:hAnsi="Times New Roman" w:cs="Times New Roman"/>
          <w:sz w:val="24"/>
          <w:szCs w:val="22"/>
        </w:rPr>
        <w:t>.</w:t>
      </w:r>
    </w:p>
    <w:p w14:paraId="0522EBAE" w14:textId="6B37CA46" w:rsidR="00A53A13" w:rsidRDefault="00AE2E42" w:rsidP="00A71E85">
      <w:pPr>
        <w:rPr>
          <w:rFonts w:ascii="Times New Roman" w:hAnsi="Times New Roman" w:cs="Times New Roman"/>
          <w:sz w:val="24"/>
          <w:szCs w:val="22"/>
        </w:rPr>
      </w:pPr>
      <w:r w:rsidRPr="00AE2E42">
        <w:rPr>
          <w:rFonts w:ascii="Times New Roman" w:hAnsi="Times New Roman" w:cs="Times New Roman"/>
          <w:sz w:val="24"/>
          <w:szCs w:val="22"/>
        </w:rPr>
        <w:t>Processes such as the perception may mediate between disposition and performance (see Figure 1).</w:t>
      </w:r>
    </w:p>
    <w:p w14:paraId="633430B6" w14:textId="01FA9496" w:rsidR="00345BD7" w:rsidRDefault="00345BD7" w:rsidP="00A71E85">
      <w:pPr>
        <w:rPr>
          <w:rFonts w:ascii="Times New Roman" w:hAnsi="Times New Roman" w:cs="Times New Roman"/>
          <w:sz w:val="24"/>
          <w:szCs w:val="22"/>
        </w:rPr>
      </w:pPr>
      <w:r w:rsidRPr="00345BD7">
        <w:rPr>
          <w:rFonts w:ascii="Times New Roman" w:hAnsi="Times New Roman" w:cs="Times New Roman"/>
          <w:sz w:val="24"/>
          <w:szCs w:val="22"/>
        </w:rPr>
        <w:t xml:space="preserve">The ability to recognize disruptions early, perceive classroom management-relevant events, and maintain awareness of classroom dynamics depends on continuous visual information processing (Gold et al., 2016; </w:t>
      </w:r>
      <w:proofErr w:type="spellStart"/>
      <w:r w:rsidRPr="00345BD7">
        <w:rPr>
          <w:rFonts w:ascii="Times New Roman" w:hAnsi="Times New Roman" w:cs="Times New Roman"/>
          <w:sz w:val="24"/>
          <w:szCs w:val="22"/>
        </w:rPr>
        <w:t>Kounin</w:t>
      </w:r>
      <w:proofErr w:type="spellEnd"/>
      <w:r w:rsidRPr="00345BD7">
        <w:rPr>
          <w:rFonts w:ascii="Times New Roman" w:hAnsi="Times New Roman" w:cs="Times New Roman"/>
          <w:sz w:val="24"/>
          <w:szCs w:val="22"/>
        </w:rPr>
        <w:t xml:space="preserve">, 2006; van den </w:t>
      </w:r>
      <w:proofErr w:type="spellStart"/>
      <w:r w:rsidRPr="00345BD7">
        <w:rPr>
          <w:rFonts w:ascii="Times New Roman" w:hAnsi="Times New Roman" w:cs="Times New Roman"/>
          <w:sz w:val="24"/>
          <w:szCs w:val="22"/>
        </w:rPr>
        <w:t>Bogert</w:t>
      </w:r>
      <w:proofErr w:type="spellEnd"/>
      <w:r w:rsidRPr="00345BD7">
        <w:rPr>
          <w:rFonts w:ascii="Times New Roman" w:hAnsi="Times New Roman" w:cs="Times New Roman"/>
          <w:sz w:val="24"/>
          <w:szCs w:val="22"/>
        </w:rPr>
        <w:t xml:space="preserve"> et al., 2014). This process is guided by </w:t>
      </w:r>
      <w:r w:rsidRPr="002E187C">
        <w:rPr>
          <w:rFonts w:ascii="Times New Roman" w:hAnsi="Times New Roman" w:cs="Times New Roman"/>
          <w:i/>
          <w:iCs/>
          <w:sz w:val="24"/>
          <w:szCs w:val="22"/>
        </w:rPr>
        <w:t>professional vision</w:t>
      </w:r>
      <w:r w:rsidRPr="00345BD7">
        <w:rPr>
          <w:rFonts w:ascii="Times New Roman" w:hAnsi="Times New Roman" w:cs="Times New Roman"/>
          <w:sz w:val="24"/>
          <w:szCs w:val="22"/>
        </w:rPr>
        <w:t>, which enables teachers to interpret and process situations based on professional knowledge (</w:t>
      </w:r>
      <w:proofErr w:type="spellStart"/>
      <w:r w:rsidRPr="00345BD7">
        <w:rPr>
          <w:rFonts w:ascii="Times New Roman" w:hAnsi="Times New Roman" w:cs="Times New Roman"/>
          <w:sz w:val="24"/>
          <w:szCs w:val="22"/>
        </w:rPr>
        <w:t>Borko</w:t>
      </w:r>
      <w:proofErr w:type="spellEnd"/>
      <w:r w:rsidRPr="00345BD7">
        <w:rPr>
          <w:rFonts w:ascii="Times New Roman" w:hAnsi="Times New Roman" w:cs="Times New Roman"/>
          <w:sz w:val="24"/>
          <w:szCs w:val="22"/>
        </w:rPr>
        <w:t xml:space="preserve">, 2004; Goodwin, 1994; </w:t>
      </w:r>
      <w:proofErr w:type="spellStart"/>
      <w:r w:rsidRPr="00345BD7">
        <w:rPr>
          <w:rFonts w:ascii="Times New Roman" w:hAnsi="Times New Roman" w:cs="Times New Roman"/>
          <w:sz w:val="24"/>
          <w:szCs w:val="22"/>
        </w:rPr>
        <w:t>Sherin</w:t>
      </w:r>
      <w:proofErr w:type="spellEnd"/>
      <w:r w:rsidRPr="00345BD7">
        <w:rPr>
          <w:rFonts w:ascii="Times New Roman" w:hAnsi="Times New Roman" w:cs="Times New Roman"/>
          <w:sz w:val="24"/>
          <w:szCs w:val="22"/>
        </w:rPr>
        <w:t xml:space="preserve">, 2007; Van Es &amp; </w:t>
      </w:r>
      <w:proofErr w:type="spellStart"/>
      <w:r w:rsidRPr="00345BD7">
        <w:rPr>
          <w:rFonts w:ascii="Times New Roman" w:hAnsi="Times New Roman" w:cs="Times New Roman"/>
          <w:sz w:val="24"/>
          <w:szCs w:val="22"/>
        </w:rPr>
        <w:t>Sherin</w:t>
      </w:r>
      <w:proofErr w:type="spellEnd"/>
      <w:r w:rsidRPr="00345BD7">
        <w:rPr>
          <w:rFonts w:ascii="Times New Roman" w:hAnsi="Times New Roman" w:cs="Times New Roman"/>
          <w:sz w:val="24"/>
          <w:szCs w:val="22"/>
        </w:rPr>
        <w:t xml:space="preserve">, 2002). Professional vision, originally defined by Goodwin (1994) and later adapted to teaching by </w:t>
      </w:r>
      <w:proofErr w:type="spellStart"/>
      <w:r w:rsidRPr="00345BD7">
        <w:rPr>
          <w:rFonts w:ascii="Times New Roman" w:hAnsi="Times New Roman" w:cs="Times New Roman"/>
          <w:sz w:val="24"/>
          <w:szCs w:val="22"/>
        </w:rPr>
        <w:t>Sherin</w:t>
      </w:r>
      <w:proofErr w:type="spellEnd"/>
      <w:r w:rsidRPr="00345BD7">
        <w:rPr>
          <w:rFonts w:ascii="Times New Roman" w:hAnsi="Times New Roman" w:cs="Times New Roman"/>
          <w:sz w:val="24"/>
          <w:szCs w:val="22"/>
        </w:rPr>
        <w:t xml:space="preserve"> (2007), consists of two key processes: </w:t>
      </w:r>
      <w:r w:rsidR="00B238B1">
        <w:rPr>
          <w:rFonts w:ascii="Times New Roman" w:hAnsi="Times New Roman" w:cs="Times New Roman"/>
          <w:sz w:val="24"/>
          <w:szCs w:val="22"/>
        </w:rPr>
        <w:t>n</w:t>
      </w:r>
      <w:r w:rsidRPr="00345BD7">
        <w:rPr>
          <w:rFonts w:ascii="Times New Roman" w:hAnsi="Times New Roman" w:cs="Times New Roman"/>
          <w:sz w:val="24"/>
          <w:szCs w:val="22"/>
        </w:rPr>
        <w:t xml:space="preserve">oticing (identification) and </w:t>
      </w:r>
      <w:r w:rsidR="00B238B1">
        <w:rPr>
          <w:rFonts w:ascii="Times New Roman" w:hAnsi="Times New Roman" w:cs="Times New Roman"/>
          <w:sz w:val="24"/>
          <w:szCs w:val="22"/>
        </w:rPr>
        <w:t>k</w:t>
      </w:r>
      <w:r w:rsidRPr="00345BD7">
        <w:rPr>
          <w:rFonts w:ascii="Times New Roman" w:hAnsi="Times New Roman" w:cs="Times New Roman"/>
          <w:sz w:val="24"/>
          <w:szCs w:val="22"/>
        </w:rPr>
        <w:t xml:space="preserve">nowledge-based </w:t>
      </w:r>
      <w:r w:rsidR="00B238B1">
        <w:rPr>
          <w:rFonts w:ascii="Times New Roman" w:hAnsi="Times New Roman" w:cs="Times New Roman"/>
          <w:sz w:val="24"/>
          <w:szCs w:val="22"/>
        </w:rPr>
        <w:t>r</w:t>
      </w:r>
      <w:r w:rsidRPr="00345BD7">
        <w:rPr>
          <w:rFonts w:ascii="Times New Roman" w:hAnsi="Times New Roman" w:cs="Times New Roman"/>
          <w:sz w:val="24"/>
          <w:szCs w:val="22"/>
        </w:rPr>
        <w:t xml:space="preserve">easoning (applying knowledge to interpret and respond; Van Es &amp; </w:t>
      </w:r>
      <w:proofErr w:type="spellStart"/>
      <w:r w:rsidRPr="00345BD7">
        <w:rPr>
          <w:rFonts w:ascii="Times New Roman" w:hAnsi="Times New Roman" w:cs="Times New Roman"/>
          <w:sz w:val="24"/>
          <w:szCs w:val="22"/>
        </w:rPr>
        <w:t>Sherin</w:t>
      </w:r>
      <w:proofErr w:type="spellEnd"/>
      <w:r w:rsidRPr="00345BD7">
        <w:rPr>
          <w:rFonts w:ascii="Times New Roman" w:hAnsi="Times New Roman" w:cs="Times New Roman"/>
          <w:sz w:val="24"/>
          <w:szCs w:val="22"/>
        </w:rPr>
        <w:t>, 2002). Noticing involves identifying classroom events that are crucial for instructional success (Seidel et al., 2010) and analyzing them in terms of their learning impact (</w:t>
      </w:r>
      <w:proofErr w:type="spellStart"/>
      <w:r w:rsidRPr="00345BD7">
        <w:rPr>
          <w:rFonts w:ascii="Times New Roman" w:hAnsi="Times New Roman" w:cs="Times New Roman"/>
          <w:sz w:val="24"/>
          <w:szCs w:val="22"/>
        </w:rPr>
        <w:t>Holodynski</w:t>
      </w:r>
      <w:proofErr w:type="spellEnd"/>
      <w:r w:rsidRPr="00345BD7">
        <w:rPr>
          <w:rFonts w:ascii="Times New Roman" w:hAnsi="Times New Roman" w:cs="Times New Roman"/>
          <w:sz w:val="24"/>
          <w:szCs w:val="22"/>
        </w:rPr>
        <w:t xml:space="preserve"> et al., 2017). Given the complexity of classrooms, selective perception is necessary to distinguish relevant from irrelevant information and focus on key events (Seidel &amp; </w:t>
      </w:r>
      <w:proofErr w:type="spellStart"/>
      <w:r w:rsidRPr="00345BD7">
        <w:rPr>
          <w:rFonts w:ascii="Times New Roman" w:hAnsi="Times New Roman" w:cs="Times New Roman"/>
          <w:sz w:val="24"/>
          <w:szCs w:val="22"/>
        </w:rPr>
        <w:t>Stürmer</w:t>
      </w:r>
      <w:proofErr w:type="spellEnd"/>
      <w:r w:rsidRPr="00345BD7">
        <w:rPr>
          <w:rFonts w:ascii="Times New Roman" w:hAnsi="Times New Roman" w:cs="Times New Roman"/>
          <w:sz w:val="24"/>
          <w:szCs w:val="22"/>
        </w:rPr>
        <w:t xml:space="preserve">, 2014). Since professional vision is a knowledge-based process (Van Es &amp; </w:t>
      </w:r>
      <w:proofErr w:type="spellStart"/>
      <w:r w:rsidRPr="00345BD7">
        <w:rPr>
          <w:rFonts w:ascii="Times New Roman" w:hAnsi="Times New Roman" w:cs="Times New Roman"/>
          <w:sz w:val="24"/>
          <w:szCs w:val="22"/>
        </w:rPr>
        <w:t>Sherin</w:t>
      </w:r>
      <w:proofErr w:type="spellEnd"/>
      <w:r w:rsidRPr="00345BD7">
        <w:rPr>
          <w:rFonts w:ascii="Times New Roman" w:hAnsi="Times New Roman" w:cs="Times New Roman"/>
          <w:sz w:val="24"/>
          <w:szCs w:val="22"/>
        </w:rPr>
        <w:t>, 2002), it requires activating professional knowledge to guide perception and decision-making effectively.</w:t>
      </w:r>
      <w:r w:rsidR="00A71E85">
        <w:rPr>
          <w:rFonts w:ascii="Times New Roman" w:hAnsi="Times New Roman" w:cs="Times New Roman"/>
          <w:sz w:val="24"/>
          <w:szCs w:val="22"/>
        </w:rPr>
        <w:t xml:space="preserve"> </w:t>
      </w:r>
      <w:r w:rsidRPr="00345BD7">
        <w:rPr>
          <w:rFonts w:ascii="Times New Roman" w:hAnsi="Times New Roman" w:cs="Times New Roman"/>
          <w:sz w:val="24"/>
          <w:szCs w:val="22"/>
        </w:rPr>
        <w:t>Effective reasoning requires integrating observed events with existing mental models of teaching principles to generate meaningful interpretations and appropriate responses (</w:t>
      </w:r>
      <w:proofErr w:type="spellStart"/>
      <w:r w:rsidRPr="00345BD7">
        <w:rPr>
          <w:rFonts w:ascii="Times New Roman" w:hAnsi="Times New Roman" w:cs="Times New Roman"/>
          <w:sz w:val="24"/>
          <w:szCs w:val="22"/>
        </w:rPr>
        <w:t>Bromme</w:t>
      </w:r>
      <w:proofErr w:type="spellEnd"/>
      <w:r w:rsidRPr="00345BD7">
        <w:rPr>
          <w:rFonts w:ascii="Times New Roman" w:hAnsi="Times New Roman" w:cs="Times New Roman"/>
          <w:sz w:val="24"/>
          <w:szCs w:val="22"/>
        </w:rPr>
        <w:t>, 1992).</w:t>
      </w:r>
    </w:p>
    <w:p w14:paraId="6C0E96B3" w14:textId="47C754C3" w:rsidR="00F54B08" w:rsidRPr="00F54B08" w:rsidRDefault="00E66353" w:rsidP="00B21ECB">
      <w:pPr>
        <w:rPr>
          <w:rFonts w:ascii="Times New Roman" w:hAnsi="Times New Roman" w:cs="Times New Roman"/>
          <w:sz w:val="24"/>
          <w:szCs w:val="22"/>
        </w:rPr>
      </w:pPr>
      <w:r>
        <w:rPr>
          <w:rFonts w:ascii="Times New Roman" w:hAnsi="Times New Roman" w:cs="Times New Roman"/>
          <w:sz w:val="24"/>
          <w:szCs w:val="22"/>
        </w:rPr>
        <w:t xml:space="preserve">The cognitive dispositions </w:t>
      </w:r>
      <w:r w:rsidR="003474A0">
        <w:rPr>
          <w:rFonts w:ascii="Times New Roman" w:hAnsi="Times New Roman" w:cs="Times New Roman"/>
          <w:sz w:val="24"/>
          <w:szCs w:val="22"/>
        </w:rPr>
        <w:t xml:space="preserve">such as the strategic knowledge of classroom management </w:t>
      </w:r>
      <w:r>
        <w:rPr>
          <w:rFonts w:ascii="Times New Roman" w:hAnsi="Times New Roman" w:cs="Times New Roman"/>
          <w:sz w:val="24"/>
          <w:szCs w:val="22"/>
        </w:rPr>
        <w:t xml:space="preserve">and </w:t>
      </w:r>
      <w:r w:rsidR="003474A0">
        <w:rPr>
          <w:rFonts w:ascii="Times New Roman" w:hAnsi="Times New Roman" w:cs="Times New Roman"/>
          <w:sz w:val="24"/>
          <w:szCs w:val="22"/>
        </w:rPr>
        <w:t xml:space="preserve">the situation-specific skills such the professional vision leads to observable behavior, meaning that teachers </w:t>
      </w:r>
      <w:r w:rsidR="005A2490">
        <w:rPr>
          <w:rFonts w:ascii="Times New Roman" w:hAnsi="Times New Roman" w:cs="Times New Roman"/>
          <w:sz w:val="24"/>
          <w:szCs w:val="22"/>
        </w:rPr>
        <w:t>apply a classroom management strategy to manage an occurred disruption.</w:t>
      </w:r>
      <w:r w:rsidR="00B21ECB">
        <w:rPr>
          <w:rFonts w:ascii="Times New Roman" w:hAnsi="Times New Roman" w:cs="Times New Roman"/>
          <w:sz w:val="24"/>
          <w:szCs w:val="22"/>
        </w:rPr>
        <w:t xml:space="preserve"> </w:t>
      </w:r>
      <w:r w:rsidR="00F54B08" w:rsidRPr="00F54B08">
        <w:rPr>
          <w:rFonts w:ascii="Times New Roman" w:hAnsi="Times New Roman" w:cs="Times New Roman"/>
          <w:sz w:val="24"/>
          <w:szCs w:val="22"/>
        </w:rPr>
        <w:lastRenderedPageBreak/>
        <w:t>Research has shown that novice teachers differ significantly from experienced teachers in their classroom management, particularly in handling disruptions (</w:t>
      </w:r>
      <w:proofErr w:type="spellStart"/>
      <w:r w:rsidR="00F54B08" w:rsidRPr="00F54B08">
        <w:rPr>
          <w:rFonts w:ascii="Times New Roman" w:hAnsi="Times New Roman" w:cs="Times New Roman"/>
          <w:sz w:val="24"/>
          <w:szCs w:val="22"/>
        </w:rPr>
        <w:t>Leinhardt</w:t>
      </w:r>
      <w:proofErr w:type="spellEnd"/>
      <w:r w:rsidR="00F54B08" w:rsidRPr="00F54B08">
        <w:rPr>
          <w:rFonts w:ascii="Times New Roman" w:hAnsi="Times New Roman" w:cs="Times New Roman"/>
          <w:sz w:val="24"/>
          <w:szCs w:val="22"/>
        </w:rPr>
        <w:t xml:space="preserve"> &amp; </w:t>
      </w:r>
      <w:proofErr w:type="spellStart"/>
      <w:r w:rsidR="00F54B08" w:rsidRPr="00F54B08">
        <w:rPr>
          <w:rFonts w:ascii="Times New Roman" w:hAnsi="Times New Roman" w:cs="Times New Roman"/>
          <w:sz w:val="24"/>
          <w:szCs w:val="22"/>
        </w:rPr>
        <w:t>Greeno</w:t>
      </w:r>
      <w:proofErr w:type="spellEnd"/>
      <w:r w:rsidR="00F54B08" w:rsidRPr="00F54B08">
        <w:rPr>
          <w:rFonts w:ascii="Times New Roman" w:hAnsi="Times New Roman" w:cs="Times New Roman"/>
          <w:sz w:val="24"/>
          <w:szCs w:val="22"/>
        </w:rPr>
        <w:t xml:space="preserve">, 1986; Berliner, 1987; </w:t>
      </w:r>
      <w:proofErr w:type="spellStart"/>
      <w:r w:rsidR="00F54B08" w:rsidRPr="00F54B08">
        <w:rPr>
          <w:rFonts w:ascii="Times New Roman" w:hAnsi="Times New Roman" w:cs="Times New Roman"/>
          <w:sz w:val="24"/>
          <w:szCs w:val="22"/>
        </w:rPr>
        <w:t>Bromme</w:t>
      </w:r>
      <w:proofErr w:type="spellEnd"/>
      <w:r w:rsidR="00F54B08" w:rsidRPr="00F54B08">
        <w:rPr>
          <w:rFonts w:ascii="Times New Roman" w:hAnsi="Times New Roman" w:cs="Times New Roman"/>
          <w:sz w:val="24"/>
          <w:szCs w:val="22"/>
        </w:rPr>
        <w:t xml:space="preserve">, 1992). While experienced teachers can rely on established routines and cognitive schemas that help them manage disruptions efficiently (Thiel et al., 2012; Berliner, 2004), novice teachers often struggle with complex student behavior and tend to lose sight of overall classroom dynamics (Barth, 2017; Thiel et al., 2012). Experts use their monitoring skills to detect disruptions early and intervene effectively (Emmer &amp; </w:t>
      </w:r>
      <w:proofErr w:type="spellStart"/>
      <w:r w:rsidR="00F54B08" w:rsidRPr="00F54B08">
        <w:rPr>
          <w:rFonts w:ascii="Times New Roman" w:hAnsi="Times New Roman" w:cs="Times New Roman"/>
          <w:sz w:val="24"/>
          <w:szCs w:val="22"/>
        </w:rPr>
        <w:t>Gerwels</w:t>
      </w:r>
      <w:proofErr w:type="spellEnd"/>
      <w:r w:rsidR="00F54B08" w:rsidRPr="00F54B08">
        <w:rPr>
          <w:rFonts w:ascii="Times New Roman" w:hAnsi="Times New Roman" w:cs="Times New Roman"/>
          <w:sz w:val="24"/>
          <w:szCs w:val="22"/>
        </w:rPr>
        <w:t>, 2006), whereas novices frequently overlook such signals or react too late. Novices also tend to rely on less effective reprimands, interrupting the lesson flow (</w:t>
      </w:r>
      <w:proofErr w:type="spellStart"/>
      <w:r w:rsidR="00F54B08" w:rsidRPr="00F54B08">
        <w:rPr>
          <w:rFonts w:ascii="Times New Roman" w:hAnsi="Times New Roman" w:cs="Times New Roman"/>
          <w:sz w:val="24"/>
          <w:szCs w:val="22"/>
        </w:rPr>
        <w:t>Westerman</w:t>
      </w:r>
      <w:proofErr w:type="spellEnd"/>
      <w:r w:rsidR="00F54B08" w:rsidRPr="00F54B08">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 – using paraverbal and nonverbal cues to signal that inappropriate behavior has been noticed but will not be addressed directly (Thiel et al., 2012).</w:t>
      </w:r>
    </w:p>
    <w:p w14:paraId="397FEB21" w14:textId="77777777" w:rsidR="00387498" w:rsidRPr="00345BD7" w:rsidRDefault="00387498" w:rsidP="00A71E85">
      <w:pPr>
        <w:rPr>
          <w:rFonts w:ascii="Times New Roman" w:hAnsi="Times New Roman" w:cs="Times New Roman"/>
          <w:sz w:val="24"/>
          <w:szCs w:val="22"/>
        </w:rPr>
      </w:pPr>
    </w:p>
    <w:p w14:paraId="799F9A54" w14:textId="43FE006D" w:rsidR="00A65C17" w:rsidRDefault="00A65C17" w:rsidP="006B67A9">
      <w:pPr>
        <w:pStyle w:val="berschrift2"/>
        <w:rPr>
          <w:rFonts w:ascii="Times New Roman" w:hAnsi="Times New Roman" w:cs="Times New Roman"/>
          <w:sz w:val="24"/>
          <w:szCs w:val="24"/>
        </w:rPr>
      </w:pPr>
      <w:commentRangeStart w:id="1"/>
      <w:r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commentRangeEnd w:id="1"/>
      <w:r w:rsidR="008A0AF7">
        <w:rPr>
          <w:rStyle w:val="Kommentarzeichen"/>
          <w:rFonts w:ascii="Calibri" w:hAnsi="Calibri" w:cs="Arial"/>
          <w:b w:val="0"/>
        </w:rPr>
        <w:commentReference w:id="1"/>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F64015">
        <w:rPr>
          <w:rFonts w:ascii="Times New Roman" w:hAnsi="Times New Roman" w:cs="Times New Roman"/>
          <w:sz w:val="24"/>
          <w:szCs w:val="22"/>
          <w:lang w:val="de-DE"/>
        </w:rPr>
        <w:instrText>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w:instrText>
      </w:r>
      <w:r w:rsidR="00234B6C" w:rsidRPr="00234B6C">
        <w:rPr>
          <w:rFonts w:ascii="Times New Roman" w:hAnsi="Times New Roman" w:cs="Times New Roman"/>
          <w:sz w:val="24"/>
          <w:szCs w:val="22"/>
          <w:lang w:val="de-DE"/>
        </w:rPr>
        <w:instrText xml:space="preserve">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(Lachner et al., 2016; Van Den Bogert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lastRenderedPageBreak/>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(Baumert &amp; Kunter, 2013; Livingston &amp; Borko,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(Ericsson &amp; Kintsch, 1995; Kirchhof,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In contrast, novices lack these structured knowledge networks, leading to fragmented perceptions and less effective 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(Ophardt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0C757E8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This distinction is particularly evident in classroom management </w:t>
      </w:r>
      <w:r w:rsidR="008A0AF7">
        <w:rPr>
          <w:rFonts w:ascii="Times New Roman" w:hAnsi="Times New Roman" w:cs="Times New Roman"/>
          <w:sz w:val="24"/>
          <w:szCs w:val="22"/>
        </w:rPr>
        <w:t>strategies</w:t>
      </w:r>
      <w:r w:rsidRPr="001740A1">
        <w:rPr>
          <w:rFonts w:ascii="Times New Roman" w:hAnsi="Times New Roman" w:cs="Times New Roman"/>
          <w:sz w:val="24"/>
          <w:szCs w:val="22"/>
        </w:rPr>
        <w:t>.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w:t>
      </w:r>
      <w:proofErr w:type="spellStart"/>
      <w:r w:rsidRPr="001740A1">
        <w:rPr>
          <w:rFonts w:ascii="Times New Roman" w:hAnsi="Times New Roman" w:cs="Times New Roman"/>
          <w:sz w:val="24"/>
          <w:szCs w:val="22"/>
        </w:rPr>
        <w:t>Tynjälä</w:t>
      </w:r>
      <w:proofErr w:type="spellEnd"/>
      <w:r w:rsidRPr="001740A1">
        <w:rPr>
          <w:rFonts w:ascii="Times New Roman" w:hAnsi="Times New Roman" w:cs="Times New Roman"/>
          <w:sz w:val="24"/>
          <w:szCs w:val="22"/>
        </w:rPr>
        <w:t xml:space="preserve"> et al., 1997), allowing them to be more adaptive and responsive to the complexities of teaching. Research suggests that expert teachers can interpret classroom events more holistically, recognizing patterns of student behavior that indicate potential disengagement (Wolff et al., 2015). By contrast, novice teachers may focus more on maintaining order, 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t>
      </w:r>
      <w:r w:rsidRPr="001740A1">
        <w:rPr>
          <w:rFonts w:ascii="Times New Roman" w:hAnsi="Times New Roman" w:cs="Times New Roman"/>
          <w:sz w:val="24"/>
          <w:szCs w:val="22"/>
        </w:rPr>
        <w:lastRenderedPageBreak/>
        <w:t xml:space="preserve">while maintaining high instructional quality (Berliner, 2001). Research also highlights </w:t>
      </w:r>
      <w:proofErr w:type="gramStart"/>
      <w:r w:rsidRPr="001740A1">
        <w:rPr>
          <w:rFonts w:ascii="Times New Roman" w:hAnsi="Times New Roman" w:cs="Times New Roman"/>
          <w:sz w:val="24"/>
          <w:szCs w:val="22"/>
        </w:rPr>
        <w:t>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experts</w:t>
      </w:r>
      <w:proofErr w:type="gramEnd"/>
      <w:r w:rsidRPr="001740A1">
        <w:rPr>
          <w:rFonts w:ascii="Times New Roman" w:hAnsi="Times New Roman" w:cs="Times New Roman"/>
          <w:sz w:val="24"/>
          <w:szCs w:val="22"/>
        </w:rPr>
        <w:t xml:space="preserve"> use their refined classroom management scripts to anticipate potential disruptions and implement proactive responses that foster a structured yet flexible learning environment (Wolff et al., 2021). </w:t>
      </w:r>
    </w:p>
    <w:p w14:paraId="624BF6ED" w14:textId="293A2FC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Experts rely on top-down processing, guided by motivation, experience, and structured knowledge, which allows them to focus selectively on relevant visual elements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They are also better at filtering out distractions, enabling them to prioritize meaningful interactions that support student learning (Ericsson &amp; </w:t>
      </w:r>
      <w:proofErr w:type="spellStart"/>
      <w:r w:rsidRPr="001740A1">
        <w:rPr>
          <w:rFonts w:ascii="Times New Roman" w:hAnsi="Times New Roman" w:cs="Times New Roman"/>
          <w:sz w:val="24"/>
          <w:szCs w:val="22"/>
        </w:rPr>
        <w:t>Kintsch</w:t>
      </w:r>
      <w:proofErr w:type="spellEnd"/>
      <w:r w:rsidRPr="001740A1">
        <w:rPr>
          <w:rFonts w:ascii="Times New Roman" w:hAnsi="Times New Roman" w:cs="Times New Roman"/>
          <w:sz w:val="24"/>
          <w:szCs w:val="22"/>
        </w:rPr>
        <w:t>, 1995). Novices, on the other hand, engage in bottom-up processing, where their perception is driven by physical stimulus features, making them more likely to focus on visually salient but potentially irrelevant aspects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This contrast highlights how expert perception is shaped by knowledge, whereas novice perception is dominated by immediate visual stimuli, often leading to misinterpretations of classroom events (Livingston &amp; </w:t>
      </w:r>
      <w:proofErr w:type="spellStart"/>
      <w:r w:rsidRPr="001740A1">
        <w:rPr>
          <w:rFonts w:ascii="Times New Roman" w:hAnsi="Times New Roman" w:cs="Times New Roman"/>
          <w:sz w:val="24"/>
          <w:szCs w:val="22"/>
        </w:rPr>
        <w:t>Borko</w:t>
      </w:r>
      <w:proofErr w:type="spellEnd"/>
      <w:r w:rsidRPr="001740A1">
        <w:rPr>
          <w:rFonts w:ascii="Times New Roman" w:hAnsi="Times New Roman" w:cs="Times New Roman"/>
          <w:sz w:val="24"/>
          <w:szCs w:val="22"/>
        </w:rPr>
        <w:t>, 1989).</w:t>
      </w:r>
    </w:p>
    <w:p w14:paraId="6BC0E80B" w14:textId="473AF2C9" w:rsidR="00234A36" w:rsidRDefault="00234A36" w:rsidP="00234A36">
      <w:pPr>
        <w:pStyle w:val="berschrift2"/>
        <w:rPr>
          <w:rFonts w:ascii="Times New Roman" w:hAnsi="Times New Roman" w:cs="Times New Roman"/>
          <w:sz w:val="24"/>
          <w:szCs w:val="24"/>
        </w:rPr>
      </w:pPr>
      <w:commentRangeStart w:id="2"/>
      <w:commentRangeStart w:id="3"/>
      <w:r>
        <w:rPr>
          <w:rFonts w:ascii="Times New Roman" w:hAnsi="Times New Roman" w:cs="Times New Roman"/>
          <w:sz w:val="24"/>
          <w:szCs w:val="24"/>
        </w:rPr>
        <w:t>Assess</w:t>
      </w:r>
      <w:r w:rsidR="008A0AF7">
        <w:rPr>
          <w:rFonts w:ascii="Times New Roman" w:hAnsi="Times New Roman" w:cs="Times New Roman"/>
          <w:sz w:val="24"/>
          <w:szCs w:val="24"/>
        </w:rPr>
        <w:t>ing</w:t>
      </w:r>
      <w:r w:rsidRPr="00234A36">
        <w:rPr>
          <w:rFonts w:ascii="Times New Roman" w:hAnsi="Times New Roman" w:cs="Times New Roman"/>
          <w:sz w:val="24"/>
          <w:szCs w:val="24"/>
        </w:rPr>
        <w:t xml:space="preserve"> Teachers’ Professional Vision </w:t>
      </w:r>
      <w:r w:rsidR="008A0AF7">
        <w:rPr>
          <w:rFonts w:ascii="Times New Roman" w:hAnsi="Times New Roman" w:cs="Times New Roman"/>
          <w:sz w:val="24"/>
          <w:szCs w:val="24"/>
        </w:rPr>
        <w:t>with Eye-Tracking</w:t>
      </w:r>
      <w:commentRangeEnd w:id="2"/>
      <w:r w:rsidR="008A0AF7">
        <w:rPr>
          <w:rStyle w:val="Kommentarzeichen"/>
          <w:rFonts w:ascii="Calibri" w:hAnsi="Calibri" w:cs="Arial"/>
          <w:b w:val="0"/>
        </w:rPr>
        <w:commentReference w:id="2"/>
      </w:r>
      <w:commentRangeEnd w:id="3"/>
      <w:r w:rsidR="008A0AF7">
        <w:rPr>
          <w:rStyle w:val="Kommentarzeichen"/>
          <w:rFonts w:ascii="Calibri" w:hAnsi="Calibri" w:cs="Arial"/>
          <w:b w:val="0"/>
        </w:rPr>
        <w:commentReference w:id="3"/>
      </w:r>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w:t>
      </w:r>
      <w:proofErr w:type="spellStart"/>
      <w:r w:rsidRPr="00977C56">
        <w:rPr>
          <w:rFonts w:ascii="Times New Roman" w:hAnsi="Times New Roman" w:cs="Times New Roman"/>
          <w:sz w:val="24"/>
          <w:szCs w:val="22"/>
        </w:rPr>
        <w:t>Holmqvist</w:t>
      </w:r>
      <w:proofErr w:type="spellEnd"/>
      <w:r w:rsidRPr="00977C56">
        <w:rPr>
          <w:rFonts w:ascii="Times New Roman" w:hAnsi="Times New Roman" w:cs="Times New Roman"/>
          <w:sz w:val="24"/>
          <w:szCs w:val="22"/>
        </w:rPr>
        <w:t xml:space="preserve"> et al., 2011). The eye-tracking method is suitable because, on the one hand, most information is processed through the eyes, and on the other hand, the eyes play a crucial role in the process of visual perception (</w:t>
      </w:r>
      <w:proofErr w:type="spellStart"/>
      <w:r w:rsidRPr="00977C56">
        <w:rPr>
          <w:rFonts w:ascii="Times New Roman" w:hAnsi="Times New Roman" w:cs="Times New Roman"/>
          <w:sz w:val="24"/>
          <w:szCs w:val="22"/>
        </w:rPr>
        <w:t>Jarodzka</w:t>
      </w:r>
      <w:proofErr w:type="spellEnd"/>
      <w:r w:rsidRPr="00977C56">
        <w:rPr>
          <w:rFonts w:ascii="Times New Roman" w:hAnsi="Times New Roman" w:cs="Times New Roman"/>
          <w:sz w:val="24"/>
          <w:szCs w:val="22"/>
        </w:rPr>
        <w:t xml:space="preserve">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 xml:space="preserve">Additionally, according to the Eye-Mind Hypothesis, it is assumed that visual stimuli from the environment are immediately processed cognitively, meaning that people generally </w:t>
      </w:r>
      <w:r w:rsidRPr="00977C56">
        <w:rPr>
          <w:rFonts w:ascii="Times New Roman" w:hAnsi="Times New Roman" w:cs="Times New Roman"/>
          <w:sz w:val="24"/>
          <w:szCs w:val="22"/>
        </w:rPr>
        <w:lastRenderedPageBreak/>
        <w:t xml:space="preserve">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patterns, also referred to as noticing and perception processes, which typically occur unconsciously and are therefore difficult to verbalize (Grub et al., 2020; Seidel &amp; </w:t>
      </w:r>
      <w:proofErr w:type="spellStart"/>
      <w:r w:rsidRPr="00977C56">
        <w:rPr>
          <w:rFonts w:ascii="Times New Roman" w:hAnsi="Times New Roman" w:cs="Times New Roman"/>
          <w:sz w:val="24"/>
          <w:szCs w:val="22"/>
        </w:rPr>
        <w:t>Stürmer</w:t>
      </w:r>
      <w:proofErr w:type="spellEnd"/>
      <w:r w:rsidRPr="00977C56">
        <w:rPr>
          <w:rFonts w:ascii="Times New Roman" w:hAnsi="Times New Roman" w:cs="Times New Roman"/>
          <w:sz w:val="24"/>
          <w:szCs w:val="22"/>
        </w:rPr>
        <w:t xml:space="preserve">, 2014; van den </w:t>
      </w:r>
      <w:proofErr w:type="spellStart"/>
      <w:r w:rsidRPr="00977C56">
        <w:rPr>
          <w:rFonts w:ascii="Times New Roman" w:hAnsi="Times New Roman" w:cs="Times New Roman"/>
          <w:sz w:val="24"/>
          <w:szCs w:val="22"/>
        </w:rPr>
        <w:t>Bogert</w:t>
      </w:r>
      <w:proofErr w:type="spellEnd"/>
      <w:r w:rsidRPr="00977C56">
        <w:rPr>
          <w:rFonts w:ascii="Times New Roman" w:hAnsi="Times New Roman" w:cs="Times New Roman"/>
          <w:sz w:val="24"/>
          <w:szCs w:val="22"/>
        </w:rPr>
        <w:t xml:space="preserve">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t>Specifically, the eye-tracking glasses record fixations, moments when the eyes appear to remain still for a certain period to focus on an object or person (</w:t>
      </w:r>
      <w:proofErr w:type="spellStart"/>
      <w:r w:rsidR="00F256DB" w:rsidRPr="00977C56">
        <w:rPr>
          <w:rFonts w:ascii="Times New Roman" w:hAnsi="Times New Roman" w:cs="Times New Roman"/>
          <w:sz w:val="24"/>
          <w:szCs w:val="22"/>
        </w:rPr>
        <w:t>Holmqvist</w:t>
      </w:r>
      <w:proofErr w:type="spellEnd"/>
      <w:r w:rsidR="00F256DB" w:rsidRPr="00977C56">
        <w:rPr>
          <w:rFonts w:ascii="Times New Roman" w:hAnsi="Times New Roman" w:cs="Times New Roman"/>
          <w:sz w:val="24"/>
          <w:szCs w:val="22"/>
        </w:rPr>
        <w:t xml:space="preserve"> et al., 2011</w:t>
      </w:r>
      <w:r w:rsidRPr="00977C56">
        <w:rPr>
          <w:rFonts w:ascii="Times New Roman" w:hAnsi="Times New Roman" w:cs="Times New Roman"/>
          <w:sz w:val="24"/>
          <w:szCs w:val="22"/>
        </w:rPr>
        <w:t>). These 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w:t>
      </w:r>
      <w:proofErr w:type="spellStart"/>
      <w:r w:rsidRPr="00977C56">
        <w:rPr>
          <w:rFonts w:ascii="Times New Roman" w:hAnsi="Times New Roman" w:cs="Times New Roman"/>
          <w:sz w:val="24"/>
          <w:szCs w:val="22"/>
        </w:rPr>
        <w:t>Gegenfurtner</w:t>
      </w:r>
      <w:proofErr w:type="spellEnd"/>
      <w:r w:rsidRPr="00977C56">
        <w:rPr>
          <w:rFonts w:ascii="Times New Roman" w:hAnsi="Times New Roman" w:cs="Times New Roman"/>
          <w:sz w:val="24"/>
          <w:szCs w:val="22"/>
        </w:rPr>
        <w:t xml:space="preserve">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The relationship 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 Lowe &amp; </w:t>
      </w:r>
      <w:proofErr w:type="spellStart"/>
      <w:r w:rsidR="0001570C" w:rsidRPr="0001570C">
        <w:rPr>
          <w:rFonts w:ascii="Times New Roman" w:hAnsi="Times New Roman" w:cs="Times New Roman"/>
          <w:sz w:val="24"/>
          <w:szCs w:val="22"/>
        </w:rPr>
        <w:t>Boucheix</w:t>
      </w:r>
      <w:proofErr w:type="spellEnd"/>
      <w:r w:rsidR="0001570C" w:rsidRPr="0001570C">
        <w:rPr>
          <w:rFonts w:ascii="Times New Roman" w:hAnsi="Times New Roman" w:cs="Times New Roman"/>
          <w:sz w:val="24"/>
          <w:szCs w:val="22"/>
        </w:rPr>
        <w:t xml:space="preserve">,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w:t>
      </w:r>
    </w:p>
    <w:p w14:paraId="2795D803" w14:textId="3CEC168B" w:rsidR="003B1CB7" w:rsidRDefault="00384E9D" w:rsidP="00384E9D">
      <w:pPr>
        <w:pStyle w:val="berschrift2"/>
        <w:rPr>
          <w:rFonts w:ascii="Times New Roman" w:hAnsi="Times New Roman" w:cs="Times New Roman"/>
          <w:bCs/>
          <w:sz w:val="24"/>
          <w:szCs w:val="24"/>
        </w:rPr>
      </w:pPr>
      <w:commentRangeStart w:id="4"/>
      <w:r w:rsidRPr="00384E9D">
        <w:rPr>
          <w:rFonts w:ascii="Times New Roman" w:hAnsi="Times New Roman" w:cs="Times New Roman"/>
          <w:bCs/>
          <w:sz w:val="24"/>
          <w:szCs w:val="24"/>
        </w:rPr>
        <w:lastRenderedPageBreak/>
        <w:t>Research on Teachers’ Professional Vision Using Eye-Tracking</w:t>
      </w:r>
      <w:commentRangeEnd w:id="4"/>
      <w:r w:rsidR="008A0AF7">
        <w:rPr>
          <w:rStyle w:val="Kommentarzeichen"/>
          <w:rFonts w:ascii="Calibri" w:hAnsi="Calibri" w:cs="Arial"/>
          <w:b w:val="0"/>
        </w:rPr>
        <w:commentReference w:id="4"/>
      </w:r>
    </w:p>
    <w:p w14:paraId="5B90B254" w14:textId="1E968C9C"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sidR="002D0D46">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Grub et al., 2020; Keskin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s 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McIntyre (2016) compared 40 teachers from England and Hong Kong, finding that experts focused more on students</w:t>
      </w:r>
      <w:r w:rsidR="001E0F70">
        <w:rPr>
          <w:rFonts w:ascii="Times New Roman" w:hAnsi="Times New Roman" w:cs="Times New Roman"/>
          <w:sz w:val="24"/>
          <w:szCs w:val="22"/>
        </w:rPr>
        <w:t>,</w:t>
      </w:r>
      <w:r w:rsidR="0002038B" w:rsidRPr="0002038B">
        <w:rPr>
          <w:rFonts w:ascii="Times New Roman" w:hAnsi="Times New Roman" w:cs="Times New Roman"/>
          <w:sz w:val="24"/>
          <w:szCs w:val="22"/>
        </w:rPr>
        <w:t xml:space="preserve">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w:t>
      </w:r>
      <w:proofErr w:type="spellStart"/>
      <w:r w:rsidRPr="006A6A5C">
        <w:rPr>
          <w:rFonts w:ascii="Times New Roman" w:hAnsi="Times New Roman" w:cs="Times New Roman"/>
          <w:sz w:val="24"/>
          <w:szCs w:val="22"/>
        </w:rPr>
        <w:t>Gegenfurtner</w:t>
      </w:r>
      <w:proofErr w:type="spellEnd"/>
      <w:r w:rsidRPr="006A6A5C">
        <w:rPr>
          <w:rFonts w:ascii="Times New Roman" w:hAnsi="Times New Roman" w:cs="Times New Roman"/>
          <w:sz w:val="24"/>
          <w:szCs w:val="22"/>
        </w:rPr>
        <w:t xml:space="preserve"> et al., 2020; Grub et al., 2022; </w:t>
      </w:r>
      <w:proofErr w:type="spellStart"/>
      <w:r w:rsidRPr="006A6A5C">
        <w:rPr>
          <w:rFonts w:ascii="Times New Roman" w:hAnsi="Times New Roman" w:cs="Times New Roman"/>
          <w:sz w:val="24"/>
          <w:szCs w:val="22"/>
        </w:rPr>
        <w:t>Kosel</w:t>
      </w:r>
      <w:proofErr w:type="spellEnd"/>
      <w:r w:rsidRPr="006A6A5C">
        <w:rPr>
          <w:rFonts w:ascii="Times New Roman" w:hAnsi="Times New Roman" w:cs="Times New Roman"/>
          <w:sz w:val="24"/>
          <w:szCs w:val="22"/>
        </w:rPr>
        <w:t xml:space="preserve"> et al., 2023). </w:t>
      </w:r>
    </w:p>
    <w:p w14:paraId="41AA3376" w14:textId="7B6093BB" w:rsidR="006A6A5C" w:rsidRPr="006A6A5C" w:rsidRDefault="001E0F70" w:rsidP="00C76A18">
      <w:pPr>
        <w:rPr>
          <w:rFonts w:ascii="Times New Roman" w:hAnsi="Times New Roman" w:cs="Times New Roman"/>
          <w:sz w:val="24"/>
          <w:szCs w:val="22"/>
        </w:rPr>
      </w:pPr>
      <w:r>
        <w:rPr>
          <w:rFonts w:ascii="Times New Roman" w:hAnsi="Times New Roman" w:cs="Times New Roman"/>
          <w:sz w:val="24"/>
          <w:szCs w:val="22"/>
        </w:rPr>
        <w:t>Additionally, m</w:t>
      </w:r>
      <w:r w:rsidR="006A6A5C" w:rsidRPr="006A6A5C">
        <w:rPr>
          <w:rFonts w:ascii="Times New Roman" w:hAnsi="Times New Roman" w:cs="Times New Roman"/>
          <w:sz w:val="24"/>
          <w:szCs w:val="22"/>
        </w:rPr>
        <w:t xml:space="preserve">any previous studies have been constrained by small sample sizes (e.g., </w:t>
      </w:r>
      <w:proofErr w:type="spellStart"/>
      <w:r w:rsidR="006A6A5C" w:rsidRPr="006A6A5C">
        <w:rPr>
          <w:rFonts w:ascii="Times New Roman" w:hAnsi="Times New Roman" w:cs="Times New Roman"/>
          <w:sz w:val="24"/>
          <w:szCs w:val="22"/>
        </w:rPr>
        <w:t>Pouta</w:t>
      </w:r>
      <w:proofErr w:type="spellEnd"/>
      <w:r w:rsidR="006A6A5C" w:rsidRPr="006A6A5C">
        <w:rPr>
          <w:rFonts w:ascii="Times New Roman" w:hAnsi="Times New Roman" w:cs="Times New Roman"/>
          <w:sz w:val="24"/>
          <w:szCs w:val="22"/>
        </w:rPr>
        <w:t xml:space="preserve"> et al., 2021) or methodological limitations. Some studies suffer from low external validity due to their reliance on stationary eye-tracking (e.g., </w:t>
      </w:r>
      <w:proofErr w:type="spellStart"/>
      <w:r w:rsidR="006A6A5C" w:rsidRPr="006A6A5C">
        <w:rPr>
          <w:rFonts w:ascii="Times New Roman" w:hAnsi="Times New Roman" w:cs="Times New Roman"/>
          <w:sz w:val="24"/>
          <w:szCs w:val="22"/>
        </w:rPr>
        <w:t>Stahnke</w:t>
      </w:r>
      <w:proofErr w:type="spellEnd"/>
      <w:r w:rsidR="006A6A5C" w:rsidRPr="006A6A5C">
        <w:rPr>
          <w:rFonts w:ascii="Times New Roman" w:hAnsi="Times New Roman" w:cs="Times New Roman"/>
          <w:sz w:val="24"/>
          <w:szCs w:val="22"/>
        </w:rPr>
        <w:t xml:space="preserve"> &amp; </w:t>
      </w:r>
      <w:proofErr w:type="spellStart"/>
      <w:r w:rsidR="006A6A5C" w:rsidRPr="006A6A5C">
        <w:rPr>
          <w:rFonts w:ascii="Times New Roman" w:hAnsi="Times New Roman" w:cs="Times New Roman"/>
          <w:sz w:val="24"/>
          <w:szCs w:val="22"/>
        </w:rPr>
        <w:t>Blömeke</w:t>
      </w:r>
      <w:proofErr w:type="spellEnd"/>
      <w:r w:rsidR="006A6A5C" w:rsidRPr="006A6A5C">
        <w:rPr>
          <w:rFonts w:ascii="Times New Roman" w:hAnsi="Times New Roman" w:cs="Times New Roman"/>
          <w:sz w:val="24"/>
          <w:szCs w:val="22"/>
        </w:rPr>
        <w:t>, 2021), while others face challenges with internal validity and experimental control in real classroom settings (e.g., McIntyre et al., 2020).</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lastRenderedPageBreak/>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464898CD"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w:t>
      </w:r>
      <w:r w:rsidRPr="00732EC0">
        <w:rPr>
          <w:rFonts w:ascii="Times New Roman" w:eastAsia="Times New Roman" w:hAnsi="Times New Roman" w:cs="Times New Roman"/>
          <w:color w:val="000000" w:themeColor="text1"/>
          <w:sz w:val="24"/>
          <w:szCs w:val="24"/>
          <w:lang w:eastAsia="de-DE"/>
        </w:rPr>
        <w:lastRenderedPageBreak/>
        <w:t xml:space="preserve">internship, while in-service teachers needed to </w:t>
      </w:r>
      <w:ins w:id="5" w:author="Deiglmayr, Anne" w:date="2025-03-17T08:39:00Z">
        <w:r w:rsidR="003A4EEE" w:rsidRPr="00732EC0">
          <w:rPr>
            <w:rFonts w:ascii="Times New Roman" w:eastAsia="Times New Roman" w:hAnsi="Times New Roman" w:cs="Times New Roman"/>
            <w:color w:val="000000" w:themeColor="text1"/>
            <w:sz w:val="24"/>
            <w:szCs w:val="24"/>
            <w:lang w:eastAsia="de-DE"/>
          </w:rPr>
          <w:t xml:space="preserve">both </w:t>
        </w:r>
      </w:ins>
      <w:r w:rsidRPr="00732EC0">
        <w:rPr>
          <w:rFonts w:ascii="Times New Roman" w:eastAsia="Times New Roman" w:hAnsi="Times New Roman" w:cs="Times New Roman"/>
          <w:color w:val="000000" w:themeColor="text1"/>
          <w:sz w:val="24"/>
          <w:szCs w:val="24"/>
          <w:lang w:eastAsia="de-DE"/>
        </w:rPr>
        <w:t xml:space="preserve">have </w:t>
      </w:r>
      <w:ins w:id="6" w:author="Deiglmayr, Anne" w:date="2025-03-17T08:39:00Z">
        <w:r w:rsidR="003A4EEE">
          <w:rPr>
            <w:rFonts w:ascii="Times New Roman" w:eastAsia="Times New Roman" w:hAnsi="Times New Roman" w:cs="Times New Roman"/>
            <w:color w:val="000000" w:themeColor="text1"/>
            <w:sz w:val="24"/>
            <w:szCs w:val="24"/>
            <w:lang w:eastAsia="de-DE"/>
          </w:rPr>
          <w:t xml:space="preserve">fully </w:t>
        </w:r>
      </w:ins>
      <w:r w:rsidRPr="00732EC0">
        <w:rPr>
          <w:rFonts w:ascii="Times New Roman" w:eastAsia="Times New Roman" w:hAnsi="Times New Roman" w:cs="Times New Roman"/>
          <w:color w:val="000000" w:themeColor="text1"/>
          <w:sz w:val="24"/>
          <w:szCs w:val="24"/>
          <w:lang w:eastAsia="de-DE"/>
        </w:rPr>
        <w:t xml:space="preserve">completed </w:t>
      </w:r>
      <w:del w:id="7"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both </w:delText>
        </w:r>
        <w:r w:rsidR="00E070DC" w:rsidDel="003A4EEE">
          <w:rPr>
            <w:rFonts w:ascii="Times New Roman" w:eastAsia="Times New Roman" w:hAnsi="Times New Roman" w:cs="Times New Roman"/>
            <w:color w:val="000000" w:themeColor="text1"/>
            <w:sz w:val="24"/>
            <w:szCs w:val="24"/>
            <w:lang w:eastAsia="de-DE"/>
          </w:rPr>
          <w:delText>the</w:delText>
        </w:r>
        <w:r w:rsidRPr="00732EC0" w:rsidDel="003A4EEE">
          <w:rPr>
            <w:rFonts w:ascii="Times New Roman" w:eastAsia="Times New Roman" w:hAnsi="Times New Roman" w:cs="Times New Roman"/>
            <w:color w:val="000000" w:themeColor="text1"/>
            <w:sz w:val="24"/>
            <w:szCs w:val="24"/>
            <w:lang w:eastAsia="de-DE"/>
          </w:rPr>
          <w:delText xml:space="preserve"> </w:delText>
        </w:r>
      </w:del>
      <w:ins w:id="8" w:author="Deiglmayr, Anne" w:date="2025-03-17T08:39:00Z">
        <w:r w:rsidR="003A4EEE">
          <w:rPr>
            <w:rFonts w:ascii="Times New Roman" w:eastAsia="Times New Roman" w:hAnsi="Times New Roman" w:cs="Times New Roman"/>
            <w:color w:val="000000" w:themeColor="text1"/>
            <w:sz w:val="24"/>
            <w:szCs w:val="24"/>
            <w:lang w:eastAsia="de-DE"/>
          </w:rPr>
          <w:t xml:space="preserve">their </w:t>
        </w:r>
      </w:ins>
      <w:r w:rsidRPr="00732EC0">
        <w:rPr>
          <w:rFonts w:ascii="Times New Roman" w:eastAsia="Times New Roman" w:hAnsi="Times New Roman" w:cs="Times New Roman"/>
          <w:color w:val="000000" w:themeColor="text1"/>
          <w:sz w:val="24"/>
          <w:szCs w:val="24"/>
          <w:lang w:eastAsia="de-DE"/>
        </w:rPr>
        <w:t xml:space="preserve">teacher training </w:t>
      </w:r>
      <w:ins w:id="9" w:author="Deiglmayr, Anne" w:date="2025-03-17T08:40:00Z">
        <w:r w:rsidR="003A4EEE">
          <w:rPr>
            <w:rFonts w:ascii="Times New Roman" w:eastAsia="Times New Roman" w:hAnsi="Times New Roman" w:cs="Times New Roman"/>
            <w:color w:val="000000" w:themeColor="text1"/>
            <w:sz w:val="24"/>
            <w:szCs w:val="24"/>
            <w:lang w:eastAsia="de-DE"/>
          </w:rPr>
          <w:t>(including the preparatory training year, the “</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ins>
      <w:del w:id="10"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program </w:delText>
        </w:r>
        <w:r w:rsidR="00D6136C" w:rsidDel="003A4EEE">
          <w:rPr>
            <w:rFonts w:ascii="Times New Roman" w:eastAsia="Times New Roman" w:hAnsi="Times New Roman" w:cs="Times New Roman"/>
            <w:color w:val="000000" w:themeColor="text1"/>
            <w:sz w:val="24"/>
            <w:szCs w:val="24"/>
            <w:lang w:eastAsia="de-DE"/>
          </w:rPr>
          <w:delText xml:space="preserve">(2. Staatsexamen) </w:delText>
        </w:r>
      </w:del>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1E6D84F1"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ins w:id="11" w:author="Deiglmayr, Anne" w:date="2025-03-17T08:41:00Z">
        <w:r w:rsidR="003A4EEE">
          <w:rPr>
            <w:rFonts w:ascii="Times New Roman" w:eastAsia="Times New Roman" w:hAnsi="Times New Roman" w:cs="Times New Roman"/>
            <w:color w:val="000000" w:themeColor="text1"/>
            <w:sz w:val="24"/>
            <w:szCs w:val="24"/>
            <w:lang w:eastAsia="de-DE"/>
          </w:rPr>
          <w:t xml:space="preserve">the </w:t>
        </w:r>
      </w:ins>
      <w:r w:rsidRPr="0076259F">
        <w:rPr>
          <w:rFonts w:ascii="Times New Roman" w:eastAsia="Times New Roman" w:hAnsi="Times New Roman" w:cs="Times New Roman"/>
          <w:color w:val="000000" w:themeColor="text1"/>
          <w:sz w:val="24"/>
          <w:szCs w:val="24"/>
          <w:lang w:eastAsia="de-DE"/>
        </w:rPr>
        <w:t xml:space="preserve">ethical guidelines </w:t>
      </w:r>
      <w:ins w:id="12" w:author="Deiglmayr, Anne" w:date="2025-03-17T08:41:00Z">
        <w:r w:rsidR="003A4EEE">
          <w:rPr>
            <w:rFonts w:ascii="Times New Roman" w:eastAsia="Times New Roman" w:hAnsi="Times New Roman" w:cs="Times New Roman"/>
            <w:color w:val="000000" w:themeColor="text1"/>
            <w:sz w:val="24"/>
            <w:szCs w:val="24"/>
            <w:lang w:eastAsia="de-DE"/>
          </w:rPr>
          <w:t xml:space="preserve">put forth by the University of Leipzig </w:t>
        </w:r>
      </w:ins>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del w:id="13" w:author="Deiglmayr, Anne" w:date="2025-03-17T08:41:00Z">
        <w:r w:rsidRPr="0076259F" w:rsidDel="003A4EEE">
          <w:rPr>
            <w:rFonts w:ascii="Times New Roman" w:eastAsia="Times New Roman" w:hAnsi="Times New Roman" w:cs="Times New Roman"/>
            <w:color w:val="000000" w:themeColor="text1"/>
            <w:sz w:val="24"/>
            <w:szCs w:val="24"/>
            <w:lang w:eastAsia="de-DE"/>
          </w:rPr>
          <w:delText xml:space="preserve">without </w:delText>
        </w:r>
      </w:del>
      <w:ins w:id="14" w:author="Deiglmayr, Anne" w:date="2025-03-17T08:41:00Z">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w:t>
        </w:r>
      </w:ins>
      <w:del w:id="15" w:author="Deiglmayr, Anne" w:date="2025-03-17T08:42:00Z">
        <w:r w:rsidRPr="0076259F" w:rsidDel="003A4EEE">
          <w:rPr>
            <w:rFonts w:ascii="Times New Roman" w:eastAsia="Times New Roman" w:hAnsi="Times New Roman" w:cs="Times New Roman"/>
            <w:color w:val="000000" w:themeColor="text1"/>
            <w:sz w:val="24"/>
            <w:szCs w:val="24"/>
            <w:lang w:eastAsia="de-DE"/>
          </w:rPr>
          <w:delText>incentiv</w:delText>
        </w:r>
      </w:del>
      <w:ins w:id="16" w:author="Deiglmayr, Anne" w:date="2025-03-17T08:42:00Z">
        <w:r w:rsidR="003A4EEE" w:rsidRPr="0076259F">
          <w:rPr>
            <w:rFonts w:ascii="Times New Roman" w:eastAsia="Times New Roman" w:hAnsi="Times New Roman" w:cs="Times New Roman"/>
            <w:color w:val="000000" w:themeColor="text1"/>
            <w:sz w:val="24"/>
            <w:szCs w:val="24"/>
            <w:lang w:eastAsia="de-DE"/>
          </w:rPr>
          <w:t>incentiv</w:t>
        </w:r>
        <w:r w:rsidR="003A4EEE">
          <w:rPr>
            <w:rFonts w:ascii="Times New Roman" w:eastAsia="Times New Roman" w:hAnsi="Times New Roman" w:cs="Times New Roman"/>
            <w:color w:val="000000" w:themeColor="text1"/>
            <w:sz w:val="24"/>
            <w:szCs w:val="24"/>
            <w:lang w:eastAsia="de-DE"/>
          </w:rPr>
          <w:t>ized</w:t>
        </w:r>
      </w:ins>
      <w:del w:id="17" w:author="Deiglmayr, Anne" w:date="2025-03-17T08:42:00Z">
        <w:r w:rsidRPr="0076259F" w:rsidDel="003A4EEE">
          <w:rPr>
            <w:rFonts w:ascii="Times New Roman" w:eastAsia="Times New Roman" w:hAnsi="Times New Roman" w:cs="Times New Roman"/>
            <w:color w:val="000000" w:themeColor="text1"/>
            <w:sz w:val="24"/>
            <w:szCs w:val="24"/>
            <w:lang w:eastAsia="de-DE"/>
          </w:rPr>
          <w:delText>es</w:delText>
        </w:r>
      </w:del>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xml:space="preserve">, the experimenter activated </w:t>
      </w:r>
      <w:r w:rsidRPr="008E7C14">
        <w:rPr>
          <w:rFonts w:ascii="Times New Roman" w:eastAsia="Times New Roman" w:hAnsi="Times New Roman" w:cs="Times New Roman"/>
          <w:color w:val="000000" w:themeColor="text1"/>
          <w:sz w:val="24"/>
          <w:szCs w:val="24"/>
          <w:lang w:eastAsia="de-DE"/>
        </w:rPr>
        <w:lastRenderedPageBreak/>
        <w:t>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18"/>
      <w:commentRangeStart w:id="19"/>
      <w:r w:rsidR="005D351A">
        <w:rPr>
          <w:rStyle w:val="Funotenzeichen"/>
          <w:rFonts w:ascii="Times New Roman" w:eastAsia="Times New Roman" w:hAnsi="Times New Roman" w:cs="Times New Roman"/>
          <w:color w:val="000000" w:themeColor="text1"/>
          <w:sz w:val="24"/>
          <w:szCs w:val="24"/>
          <w:lang w:eastAsia="de-DE"/>
        </w:rPr>
        <w:footnoteReference w:id="4"/>
      </w:r>
      <w:commentRangeEnd w:id="18"/>
      <w:r w:rsidR="005D351A">
        <w:rPr>
          <w:rStyle w:val="Kommentarzeichen"/>
        </w:rPr>
        <w:commentReference w:id="18"/>
      </w:r>
      <w:commentRangeEnd w:id="19"/>
      <w:r w:rsidR="003A4EEE">
        <w:rPr>
          <w:rStyle w:val="Kommentarzeichen"/>
        </w:rPr>
        <w:commentReference w:id="19"/>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lastRenderedPageBreak/>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5"/>
      </w:r>
      <w:r w:rsidR="00212824" w:rsidRPr="00212824">
        <w:rPr>
          <w:rFonts w:ascii="Times New Roman" w:eastAsia="Times New Roman" w:hAnsi="Times New Roman" w:cs="Times New Roman"/>
          <w:sz w:val="24"/>
          <w:szCs w:val="24"/>
          <w:lang w:eastAsia="de-DE"/>
        </w:rPr>
        <w:t xml:space="preserve"> or </w:t>
      </w:r>
      <w:r w:rsidR="00212824" w:rsidRPr="00212824">
        <w:rPr>
          <w:rFonts w:ascii="Times New Roman" w:eastAsia="Times New Roman" w:hAnsi="Times New Roman" w:cs="Times New Roman"/>
          <w:sz w:val="24"/>
          <w:szCs w:val="24"/>
          <w:lang w:eastAsia="de-DE"/>
        </w:rPr>
        <w:lastRenderedPageBreak/>
        <w:t>&gt;30s</w:t>
      </w:r>
      <w:r w:rsidR="00212824">
        <w:rPr>
          <w:rStyle w:val="Funotenzeichen"/>
          <w:rFonts w:ascii="Times New Roman" w:eastAsia="Times New Roman" w:hAnsi="Times New Roman" w:cs="Times New Roman"/>
          <w:sz w:val="24"/>
          <w:szCs w:val="24"/>
          <w:lang w:eastAsia="de-DE"/>
        </w:rPr>
        <w:footnoteReference w:id="6"/>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 xml:space="preserve">SoSci </w:t>
      </w:r>
      <w:r w:rsidRPr="00EF0B44">
        <w:rPr>
          <w:rFonts w:ascii="Times New Roman" w:eastAsia="Times New Roman" w:hAnsi="Times New Roman" w:cs="Times New Roman"/>
          <w:color w:val="000000" w:themeColor="text1"/>
          <w:sz w:val="24"/>
          <w:szCs w:val="24"/>
          <w:lang w:eastAsia="de-DE"/>
        </w:rPr>
        <w:lastRenderedPageBreak/>
        <w:t>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7"/>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0"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1" w:name="_Hlk189575193"/>
            <w:bookmarkEnd w:id="20"/>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1"/>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8"/>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lastRenderedPageBreak/>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lastRenderedPageBreak/>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22"/>
            <w:commentRangeStart w:id="2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22"/>
            <w:r w:rsidR="00EF7C70">
              <w:rPr>
                <w:rStyle w:val="Kommentarzeichen"/>
              </w:rPr>
              <w:commentReference w:id="22"/>
            </w:r>
            <w:commentRangeEnd w:id="23"/>
            <w:r w:rsidR="003A4EEE">
              <w:rPr>
                <w:rStyle w:val="Kommentarzeichen"/>
              </w:rPr>
              <w:commentReference w:id="2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24"/>
      <w:commentRangeStart w:id="25"/>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24"/>
      <w:r w:rsidR="00A84761">
        <w:rPr>
          <w:rStyle w:val="Kommentarzeichen"/>
        </w:rPr>
        <w:commentReference w:id="24"/>
      </w:r>
      <w:commentRangeEnd w:id="25"/>
      <w:r w:rsidR="003A4EEE">
        <w:rPr>
          <w:rStyle w:val="Kommentarzeichen"/>
        </w:rPr>
        <w:commentReference w:id="25"/>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26"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9"/>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26"/>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lastRenderedPageBreak/>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For experienced teachers, lower GRI values (indicating more efficient gaze behavior) were significantly associated with higher fixation frequency on students and greater strategic 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40687C85" w14:textId="77777777" w:rsidR="005F0BE0" w:rsidRPr="005F0BE0" w:rsidRDefault="00CB5001" w:rsidP="005F0BE0">
      <w:pPr>
        <w:pStyle w:val="Literaturverzeichnis"/>
        <w:rPr>
          <w:rFonts w:cs="Calibri"/>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5F0BE0" w:rsidRPr="005F0BE0">
        <w:rPr>
          <w:rFonts w:cs="Calibri"/>
          <w:lang w:val="de-DE"/>
        </w:rPr>
        <w:t xml:space="preserve">Barth, V. L. (2017). </w:t>
      </w:r>
      <w:r w:rsidR="005F0BE0" w:rsidRPr="005F0BE0">
        <w:rPr>
          <w:rFonts w:cs="Calibri"/>
          <w:i/>
          <w:iCs/>
          <w:lang w:val="de-DE"/>
        </w:rPr>
        <w:t>Professionelle Wahrnehmung von Störungen im Unterricht</w:t>
      </w:r>
      <w:r w:rsidR="005F0BE0" w:rsidRPr="005F0BE0">
        <w:rPr>
          <w:rFonts w:cs="Calibri"/>
          <w:lang w:val="de-DE"/>
        </w:rPr>
        <w:t>. Springer VS. https://doi.org/10.1007/978-3-658-16371-6</w:t>
      </w:r>
    </w:p>
    <w:p w14:paraId="037DC4A6" w14:textId="77777777" w:rsidR="005F0BE0" w:rsidRPr="005F0BE0" w:rsidRDefault="005F0BE0" w:rsidP="005F0BE0">
      <w:pPr>
        <w:pStyle w:val="Literaturverzeichnis"/>
        <w:rPr>
          <w:rFonts w:cs="Calibri"/>
          <w:lang w:val="de-DE"/>
        </w:rPr>
      </w:pPr>
      <w:r w:rsidRPr="005F0BE0">
        <w:rPr>
          <w:rFonts w:cs="Calibri"/>
          <w:lang w:val="de-DE"/>
        </w:rPr>
        <w:t xml:space="preserve">Baumert, J., &amp; Kunter, M. (2013). Professionelle Kompetenz von Lehrkräften. In I. Gogolin, H. Kuper, H.-H. Krüger, &amp; J. Baumert (Eds.), </w:t>
      </w:r>
      <w:r w:rsidRPr="005F0BE0">
        <w:rPr>
          <w:rFonts w:cs="Calibri"/>
          <w:i/>
          <w:iCs/>
          <w:lang w:val="de-DE"/>
        </w:rPr>
        <w:t>Stichwort: Zeitschrift für Erziehungswissenschaft</w:t>
      </w:r>
      <w:r w:rsidRPr="005F0BE0">
        <w:rPr>
          <w:rFonts w:cs="Calibri"/>
          <w:lang w:val="de-DE"/>
        </w:rPr>
        <w:t xml:space="preserve"> (pp. 277–337). Springer Fachmedien Wiesbaden. https://doi.org/10.1007/978-3-658-00908-3_13</w:t>
      </w:r>
    </w:p>
    <w:p w14:paraId="0AEDCEFA" w14:textId="77777777" w:rsidR="005F0BE0" w:rsidRPr="005F0BE0" w:rsidRDefault="005F0BE0" w:rsidP="005F0BE0">
      <w:pPr>
        <w:pStyle w:val="Literaturverzeichnis"/>
        <w:rPr>
          <w:rFonts w:cs="Calibri"/>
        </w:rPr>
      </w:pPr>
      <w:proofErr w:type="spellStart"/>
      <w:r w:rsidRPr="005F0BE0">
        <w:rPr>
          <w:rFonts w:cs="Calibri"/>
          <w:lang w:val="de-DE"/>
        </w:rPr>
        <w:t>Beaty-O’Ferrall</w:t>
      </w:r>
      <w:proofErr w:type="spellEnd"/>
      <w:r w:rsidRPr="005F0BE0">
        <w:rPr>
          <w:rFonts w:cs="Calibri"/>
          <w:lang w:val="de-DE"/>
        </w:rPr>
        <w:t xml:space="preserve">, M. E., Green, A., &amp; Hanna, F. (2010). </w:t>
      </w:r>
      <w:r w:rsidRPr="005F0BE0">
        <w:rPr>
          <w:rFonts w:cs="Calibri"/>
        </w:rPr>
        <w:t xml:space="preserve">Classroom Management Strategies for Difficult Students: Promoting Change through Relationships. </w:t>
      </w:r>
      <w:r w:rsidRPr="005F0BE0">
        <w:rPr>
          <w:rFonts w:cs="Calibri"/>
          <w:i/>
          <w:iCs/>
        </w:rPr>
        <w:t>Middle School Journal (J1)</w:t>
      </w:r>
      <w:r w:rsidRPr="005F0BE0">
        <w:rPr>
          <w:rFonts w:cs="Calibri"/>
        </w:rPr>
        <w:t xml:space="preserve">, </w:t>
      </w:r>
      <w:r w:rsidRPr="005F0BE0">
        <w:rPr>
          <w:rFonts w:cs="Calibri"/>
          <w:i/>
          <w:iCs/>
        </w:rPr>
        <w:t>41</w:t>
      </w:r>
      <w:r w:rsidRPr="005F0BE0">
        <w:rPr>
          <w:rFonts w:cs="Calibri"/>
        </w:rPr>
        <w:t>(4), 4–11.</w:t>
      </w:r>
    </w:p>
    <w:p w14:paraId="602A08E9" w14:textId="77777777" w:rsidR="005F0BE0" w:rsidRPr="005F0BE0" w:rsidRDefault="005F0BE0" w:rsidP="005F0BE0">
      <w:pPr>
        <w:pStyle w:val="Literaturverzeichnis"/>
        <w:rPr>
          <w:rFonts w:cs="Calibri"/>
        </w:rPr>
      </w:pPr>
      <w:r w:rsidRPr="005F0BE0">
        <w:rPr>
          <w:rFonts w:cs="Calibri"/>
        </w:rPr>
        <w:t xml:space="preserve">Berliner, D. C. (2001). Learning about and learning from expert teachers. </w:t>
      </w:r>
      <w:r w:rsidRPr="005F0BE0">
        <w:rPr>
          <w:rFonts w:cs="Calibri"/>
          <w:i/>
          <w:iCs/>
        </w:rPr>
        <w:t>International Journal of Educational Research</w:t>
      </w:r>
      <w:r w:rsidRPr="005F0BE0">
        <w:rPr>
          <w:rFonts w:cs="Calibri"/>
        </w:rPr>
        <w:t xml:space="preserve">, </w:t>
      </w:r>
      <w:r w:rsidRPr="005F0BE0">
        <w:rPr>
          <w:rFonts w:cs="Calibri"/>
          <w:i/>
          <w:iCs/>
        </w:rPr>
        <w:t>35</w:t>
      </w:r>
      <w:r w:rsidRPr="005F0BE0">
        <w:rPr>
          <w:rFonts w:cs="Calibri"/>
        </w:rPr>
        <w:t>(5), 463–482. https://doi.org/10.1016/S0883-0355(02)00004-6</w:t>
      </w:r>
    </w:p>
    <w:p w14:paraId="47A4C669" w14:textId="77777777" w:rsidR="005F0BE0" w:rsidRPr="005F0BE0" w:rsidRDefault="005F0BE0" w:rsidP="005F0BE0">
      <w:pPr>
        <w:pStyle w:val="Literaturverzeichnis"/>
        <w:rPr>
          <w:rFonts w:cs="Calibri"/>
          <w:lang w:val="de-DE"/>
        </w:rPr>
      </w:pPr>
      <w:proofErr w:type="spellStart"/>
      <w:r w:rsidRPr="005F0BE0">
        <w:rPr>
          <w:rFonts w:cs="Calibri"/>
        </w:rPr>
        <w:t>Blömeke</w:t>
      </w:r>
      <w:proofErr w:type="spellEnd"/>
      <w:r w:rsidRPr="005F0BE0">
        <w:rPr>
          <w:rFonts w:cs="Calibri"/>
        </w:rPr>
        <w:t xml:space="preserve">, S., Gustafsson, J.-E., &amp; Shavelson, R. J. (2015). Beyond dichotomies: Competence viewed as a continuum. </w:t>
      </w:r>
      <w:r w:rsidRPr="005F0BE0">
        <w:rPr>
          <w:rFonts w:cs="Calibri"/>
          <w:i/>
          <w:iCs/>
          <w:lang w:val="de-DE"/>
        </w:rPr>
        <w:t>Zeitschrift Für Psychologie</w:t>
      </w:r>
      <w:r w:rsidRPr="005F0BE0">
        <w:rPr>
          <w:rFonts w:cs="Calibri"/>
          <w:lang w:val="de-DE"/>
        </w:rPr>
        <w:t xml:space="preserve">, </w:t>
      </w:r>
      <w:r w:rsidRPr="005F0BE0">
        <w:rPr>
          <w:rFonts w:cs="Calibri"/>
          <w:i/>
          <w:iCs/>
          <w:lang w:val="de-DE"/>
        </w:rPr>
        <w:t>223</w:t>
      </w:r>
      <w:r w:rsidRPr="005F0BE0">
        <w:rPr>
          <w:rFonts w:cs="Calibri"/>
          <w:lang w:val="de-DE"/>
        </w:rPr>
        <w:t>(1), 3–13. https://doi.org/10.1027/2151-2604/a000194</w:t>
      </w:r>
    </w:p>
    <w:p w14:paraId="175C75FA" w14:textId="77777777" w:rsidR="005F0BE0" w:rsidRPr="005F0BE0" w:rsidRDefault="005F0BE0" w:rsidP="005F0BE0">
      <w:pPr>
        <w:pStyle w:val="Literaturverzeichnis"/>
        <w:rPr>
          <w:rFonts w:cs="Calibri"/>
        </w:rPr>
      </w:pPr>
      <w:r w:rsidRPr="005F0BE0">
        <w:rPr>
          <w:rFonts w:cs="Calibri"/>
          <w:lang w:val="de-DE"/>
        </w:rPr>
        <w:t xml:space="preserve">Blömeke, S., Jentsch, A., Ross, N., Kaiser, G., &amp; König, J. (2022). </w:t>
      </w:r>
      <w:r w:rsidRPr="005F0BE0">
        <w:rPr>
          <w:rFonts w:cs="Calibri"/>
        </w:rPr>
        <w:t xml:space="preserve">Opening up the black box: Teacher competence, instructional quality, and students’ learning progress. </w:t>
      </w:r>
      <w:r w:rsidRPr="005F0BE0">
        <w:rPr>
          <w:rFonts w:cs="Calibri"/>
          <w:i/>
          <w:iCs/>
        </w:rPr>
        <w:t>Learning and Instruction</w:t>
      </w:r>
      <w:r w:rsidRPr="005F0BE0">
        <w:rPr>
          <w:rFonts w:cs="Calibri"/>
        </w:rPr>
        <w:t xml:space="preserve">, </w:t>
      </w:r>
      <w:r w:rsidRPr="005F0BE0">
        <w:rPr>
          <w:rFonts w:cs="Calibri"/>
          <w:i/>
          <w:iCs/>
        </w:rPr>
        <w:t>79</w:t>
      </w:r>
      <w:r w:rsidRPr="005F0BE0">
        <w:rPr>
          <w:rFonts w:cs="Calibri"/>
        </w:rPr>
        <w:t>, 101600. https://doi.org/10.1016/j.learninstruc.2022.101600</w:t>
      </w:r>
    </w:p>
    <w:p w14:paraId="5126A467" w14:textId="77777777" w:rsidR="005F0BE0" w:rsidRPr="005F0BE0" w:rsidRDefault="005F0BE0" w:rsidP="005F0BE0">
      <w:pPr>
        <w:pStyle w:val="Literaturverzeichnis"/>
        <w:rPr>
          <w:rFonts w:cs="Calibri"/>
        </w:rPr>
      </w:pPr>
      <w:proofErr w:type="spellStart"/>
      <w:r w:rsidRPr="005F0BE0">
        <w:rPr>
          <w:rFonts w:cs="Calibri"/>
        </w:rPr>
        <w:t>Borko</w:t>
      </w:r>
      <w:proofErr w:type="spellEnd"/>
      <w:r w:rsidRPr="005F0BE0">
        <w:rPr>
          <w:rFonts w:cs="Calibri"/>
        </w:rPr>
        <w:t xml:space="preserve">, H. (2004). Professional Development and Teacher Learning: Mapping the Terrain. </w:t>
      </w:r>
      <w:r w:rsidRPr="005F0BE0">
        <w:rPr>
          <w:rFonts w:cs="Calibri"/>
          <w:i/>
          <w:iCs/>
        </w:rPr>
        <w:t>Educational Researcher</w:t>
      </w:r>
      <w:r w:rsidRPr="005F0BE0">
        <w:rPr>
          <w:rFonts w:cs="Calibri"/>
        </w:rPr>
        <w:t xml:space="preserve">, </w:t>
      </w:r>
      <w:r w:rsidRPr="005F0BE0">
        <w:rPr>
          <w:rFonts w:cs="Calibri"/>
          <w:i/>
          <w:iCs/>
        </w:rPr>
        <w:t>33</w:t>
      </w:r>
      <w:r w:rsidRPr="005F0BE0">
        <w:rPr>
          <w:rFonts w:cs="Calibri"/>
        </w:rPr>
        <w:t>(8), 3–15. https://doi.org/10.3102/0013189X033008003</w:t>
      </w:r>
    </w:p>
    <w:p w14:paraId="527DE02E" w14:textId="77777777" w:rsidR="005F0BE0" w:rsidRPr="005F0BE0" w:rsidRDefault="005F0BE0" w:rsidP="005F0BE0">
      <w:pPr>
        <w:pStyle w:val="Literaturverzeichnis"/>
        <w:rPr>
          <w:rFonts w:cs="Calibri"/>
        </w:rPr>
      </w:pPr>
      <w:r w:rsidRPr="005F0BE0">
        <w:rPr>
          <w:rFonts w:cs="Calibri"/>
        </w:rPr>
        <w:t xml:space="preserve">Carter, K., Cushing, K., Sabers, D., Stein, P., &amp; Berliner, D. (1988). Expert-Novice Differences in Perceiving and Processing Visual Classroom Information. </w:t>
      </w:r>
      <w:r w:rsidRPr="005F0BE0">
        <w:rPr>
          <w:rFonts w:cs="Calibri"/>
          <w:i/>
          <w:iCs/>
        </w:rPr>
        <w:t>Journal of Teacher Education</w:t>
      </w:r>
      <w:r w:rsidRPr="005F0BE0">
        <w:rPr>
          <w:rFonts w:cs="Calibri"/>
        </w:rPr>
        <w:t xml:space="preserve">, </w:t>
      </w:r>
      <w:r w:rsidRPr="005F0BE0">
        <w:rPr>
          <w:rFonts w:cs="Calibri"/>
          <w:i/>
          <w:iCs/>
        </w:rPr>
        <w:t>39</w:t>
      </w:r>
      <w:r w:rsidRPr="005F0BE0">
        <w:rPr>
          <w:rFonts w:cs="Calibri"/>
        </w:rPr>
        <w:t>(3), 25–31. https://doi.org/10.1177/002248718803900306</w:t>
      </w:r>
    </w:p>
    <w:p w14:paraId="420E199B" w14:textId="77777777" w:rsidR="005F0BE0" w:rsidRPr="005F0BE0" w:rsidRDefault="005F0BE0" w:rsidP="005F0BE0">
      <w:pPr>
        <w:pStyle w:val="Literaturverzeichnis"/>
        <w:rPr>
          <w:rFonts w:cs="Calibri"/>
        </w:rPr>
      </w:pPr>
      <w:r w:rsidRPr="005F0BE0">
        <w:rPr>
          <w:rFonts w:cs="Calibri"/>
        </w:rPr>
        <w:t xml:space="preserve">Chow, J. C., Sayers, R., Fu, Y., Granger, K. L., McCullough, S., </w:t>
      </w:r>
      <w:proofErr w:type="spellStart"/>
      <w:r w:rsidRPr="005F0BE0">
        <w:rPr>
          <w:rFonts w:cs="Calibri"/>
        </w:rPr>
        <w:t>Kingsbery</w:t>
      </w:r>
      <w:proofErr w:type="spellEnd"/>
      <w:r w:rsidRPr="005F0BE0">
        <w:rPr>
          <w:rFonts w:cs="Calibri"/>
        </w:rPr>
        <w:t xml:space="preserve">, C., &amp; Morse, A. (2024). A Systematic Meta-Review of Measures of Classroom Management in School Settings. </w:t>
      </w:r>
      <w:r w:rsidRPr="005F0BE0">
        <w:rPr>
          <w:rFonts w:cs="Calibri"/>
          <w:i/>
          <w:iCs/>
        </w:rPr>
        <w:t>Assessment for Effective Intervention</w:t>
      </w:r>
      <w:r w:rsidRPr="005F0BE0">
        <w:rPr>
          <w:rFonts w:cs="Calibri"/>
        </w:rPr>
        <w:t xml:space="preserve">, </w:t>
      </w:r>
      <w:r w:rsidRPr="005F0BE0">
        <w:rPr>
          <w:rFonts w:cs="Calibri"/>
          <w:i/>
          <w:iCs/>
        </w:rPr>
        <w:t>49</w:t>
      </w:r>
      <w:r w:rsidRPr="005F0BE0">
        <w:rPr>
          <w:rFonts w:cs="Calibri"/>
        </w:rPr>
        <w:t>(2), 60–74. https://doi.org/10.1177/15345084231208671</w:t>
      </w:r>
    </w:p>
    <w:p w14:paraId="31F9216E" w14:textId="77777777" w:rsidR="005F0BE0" w:rsidRPr="005F0BE0" w:rsidRDefault="005F0BE0" w:rsidP="005F0BE0">
      <w:pPr>
        <w:pStyle w:val="Literaturverzeichnis"/>
        <w:rPr>
          <w:rFonts w:cs="Calibri"/>
        </w:rPr>
      </w:pPr>
      <w:r w:rsidRPr="005F0BE0">
        <w:rPr>
          <w:rFonts w:cs="Calibri"/>
        </w:rPr>
        <w:lastRenderedPageBreak/>
        <w:t xml:space="preserve">Cohen, J. (1988). Statistical power for the </w:t>
      </w:r>
      <w:proofErr w:type="spellStart"/>
      <w:r w:rsidRPr="005F0BE0">
        <w:rPr>
          <w:rFonts w:cs="Calibri"/>
        </w:rPr>
        <w:t>behavioural</w:t>
      </w:r>
      <w:proofErr w:type="spellEnd"/>
      <w:r w:rsidRPr="005F0BE0">
        <w:rPr>
          <w:rFonts w:cs="Calibri"/>
        </w:rPr>
        <w:t xml:space="preserve"> sciences. </w:t>
      </w:r>
      <w:proofErr w:type="spellStart"/>
      <w:r w:rsidRPr="005F0BE0">
        <w:rPr>
          <w:rFonts w:cs="Calibri"/>
        </w:rPr>
        <w:t>Hilsdale</w:t>
      </w:r>
      <w:proofErr w:type="spellEnd"/>
      <w:r w:rsidRPr="005F0BE0">
        <w:rPr>
          <w:rFonts w:cs="Calibri"/>
        </w:rPr>
        <w:t xml:space="preserve">. </w:t>
      </w:r>
      <w:r w:rsidRPr="005F0BE0">
        <w:rPr>
          <w:rFonts w:cs="Calibri"/>
          <w:i/>
          <w:iCs/>
        </w:rPr>
        <w:t>NY: Lawrence Erlbaum</w:t>
      </w:r>
      <w:r w:rsidRPr="005F0BE0">
        <w:rPr>
          <w:rFonts w:cs="Calibri"/>
        </w:rPr>
        <w:t xml:space="preserve">, </w:t>
      </w:r>
      <w:r w:rsidRPr="005F0BE0">
        <w:rPr>
          <w:rFonts w:cs="Calibri"/>
          <w:i/>
          <w:iCs/>
        </w:rPr>
        <w:t>58</w:t>
      </w:r>
      <w:r w:rsidRPr="005F0BE0">
        <w:rPr>
          <w:rFonts w:cs="Calibri"/>
        </w:rPr>
        <w:t>(1), 7–19.</w:t>
      </w:r>
    </w:p>
    <w:p w14:paraId="3D8455CC" w14:textId="77777777" w:rsidR="005F0BE0" w:rsidRPr="005F0BE0" w:rsidRDefault="005F0BE0" w:rsidP="005F0BE0">
      <w:pPr>
        <w:pStyle w:val="Literaturverzeichnis"/>
        <w:rPr>
          <w:rFonts w:cs="Calibri"/>
        </w:rPr>
      </w:pPr>
      <w:r w:rsidRPr="005F0BE0">
        <w:rPr>
          <w:rFonts w:cs="Calibri"/>
        </w:rPr>
        <w:t xml:space="preserve">D’Agostino, J. V., &amp; </w:t>
      </w:r>
      <w:proofErr w:type="spellStart"/>
      <w:r w:rsidRPr="005F0BE0">
        <w:rPr>
          <w:rFonts w:cs="Calibri"/>
        </w:rPr>
        <w:t>VanWinkle</w:t>
      </w:r>
      <w:proofErr w:type="spellEnd"/>
      <w:r w:rsidRPr="005F0BE0">
        <w:rPr>
          <w:rFonts w:cs="Calibri"/>
        </w:rPr>
        <w:t xml:space="preserve">, W. H. (2007). Identifying Prepared and Competent Teachers with Professional Knowledge Tests. </w:t>
      </w:r>
      <w:r w:rsidRPr="005F0BE0">
        <w:rPr>
          <w:rFonts w:cs="Calibri"/>
          <w:i/>
          <w:iCs/>
        </w:rPr>
        <w:t>Journal of Personnel Evaluation in Education</w:t>
      </w:r>
      <w:r w:rsidRPr="005F0BE0">
        <w:rPr>
          <w:rFonts w:cs="Calibri"/>
        </w:rPr>
        <w:t xml:space="preserve">, </w:t>
      </w:r>
      <w:r w:rsidRPr="005F0BE0">
        <w:rPr>
          <w:rFonts w:cs="Calibri"/>
          <w:i/>
          <w:iCs/>
        </w:rPr>
        <w:t>20</w:t>
      </w:r>
      <w:r w:rsidRPr="005F0BE0">
        <w:rPr>
          <w:rFonts w:cs="Calibri"/>
        </w:rPr>
        <w:t>(1–2), 65–84. https://doi.org/10.1007/s11092-007-9047-2</w:t>
      </w:r>
    </w:p>
    <w:p w14:paraId="18DC4EF9" w14:textId="77777777" w:rsidR="005F0BE0" w:rsidRPr="005F0BE0" w:rsidRDefault="005F0BE0" w:rsidP="005F0BE0">
      <w:pPr>
        <w:pStyle w:val="Literaturverzeichnis"/>
        <w:rPr>
          <w:rFonts w:cs="Calibri"/>
          <w:lang w:val="de-DE"/>
        </w:rPr>
      </w:pPr>
      <w:r w:rsidRPr="005F0BE0">
        <w:rPr>
          <w:rFonts w:cs="Calibri"/>
          <w:lang w:val="de-DE"/>
        </w:rPr>
        <w:t xml:space="preserve">Eckstein, B., Grob, U., &amp; </w:t>
      </w:r>
      <w:proofErr w:type="spellStart"/>
      <w:r w:rsidRPr="005F0BE0">
        <w:rPr>
          <w:rFonts w:cs="Calibri"/>
          <w:lang w:val="de-DE"/>
        </w:rPr>
        <w:t>Reusser</w:t>
      </w:r>
      <w:proofErr w:type="spellEnd"/>
      <w:r w:rsidRPr="005F0BE0">
        <w:rPr>
          <w:rFonts w:cs="Calibri"/>
          <w:lang w:val="de-DE"/>
        </w:rPr>
        <w:t xml:space="preserve">, K. (2016). Unterrichtliche Devianz und subjektives Störungsempfinden. Entwicklung eines Instrumentariums zur Erfassung von Unterrichtsstörungen. </w:t>
      </w:r>
      <w:r w:rsidRPr="005F0BE0">
        <w:rPr>
          <w:rFonts w:cs="Calibri"/>
          <w:i/>
          <w:iCs/>
          <w:lang w:val="de-DE"/>
        </w:rPr>
        <w:t>Empirische Pädagogik (EP)</w:t>
      </w:r>
      <w:r w:rsidRPr="005F0BE0">
        <w:rPr>
          <w:rFonts w:cs="Calibri"/>
          <w:lang w:val="de-DE"/>
        </w:rPr>
        <w:t xml:space="preserve">, </w:t>
      </w:r>
      <w:r w:rsidRPr="005F0BE0">
        <w:rPr>
          <w:rFonts w:cs="Calibri"/>
          <w:i/>
          <w:iCs/>
          <w:lang w:val="de-DE"/>
        </w:rPr>
        <w:t>30</w:t>
      </w:r>
      <w:r w:rsidRPr="005F0BE0">
        <w:rPr>
          <w:rFonts w:cs="Calibri"/>
          <w:lang w:val="de-DE"/>
        </w:rPr>
        <w:t xml:space="preserve">(1), </w:t>
      </w:r>
      <w:proofErr w:type="spellStart"/>
      <w:r w:rsidRPr="005F0BE0">
        <w:rPr>
          <w:rFonts w:cs="Calibri"/>
          <w:lang w:val="de-DE"/>
        </w:rPr>
        <w:t>Article</w:t>
      </w:r>
      <w:proofErr w:type="spellEnd"/>
      <w:r w:rsidRPr="005F0BE0">
        <w:rPr>
          <w:rFonts w:cs="Calibri"/>
          <w:lang w:val="de-DE"/>
        </w:rPr>
        <w:t xml:space="preserve"> 1.</w:t>
      </w:r>
    </w:p>
    <w:p w14:paraId="56CE7475" w14:textId="77777777" w:rsidR="005F0BE0" w:rsidRPr="005F0BE0" w:rsidRDefault="005F0BE0" w:rsidP="005F0BE0">
      <w:pPr>
        <w:pStyle w:val="Literaturverzeichnis"/>
        <w:rPr>
          <w:rFonts w:cs="Calibri"/>
        </w:rPr>
      </w:pPr>
      <w:r w:rsidRPr="005F0BE0">
        <w:rPr>
          <w:rFonts w:cs="Calibri"/>
          <w:lang w:val="de-DE"/>
        </w:rPr>
        <w:t xml:space="preserve">Ericsson, K. A., &amp; Kintsch, W. (1995). </w:t>
      </w:r>
      <w:r w:rsidRPr="005F0BE0">
        <w:rPr>
          <w:rFonts w:cs="Calibri"/>
        </w:rPr>
        <w:t xml:space="preserve">Long-term working memory. </w:t>
      </w:r>
      <w:r w:rsidRPr="005F0BE0">
        <w:rPr>
          <w:rFonts w:cs="Calibri"/>
          <w:i/>
          <w:iCs/>
        </w:rPr>
        <w:t>Psychological Review</w:t>
      </w:r>
      <w:r w:rsidRPr="005F0BE0">
        <w:rPr>
          <w:rFonts w:cs="Calibri"/>
        </w:rPr>
        <w:t xml:space="preserve">, </w:t>
      </w:r>
      <w:r w:rsidRPr="005F0BE0">
        <w:rPr>
          <w:rFonts w:cs="Calibri"/>
          <w:i/>
          <w:iCs/>
        </w:rPr>
        <w:t>102</w:t>
      </w:r>
      <w:r w:rsidRPr="005F0BE0">
        <w:rPr>
          <w:rFonts w:cs="Calibri"/>
        </w:rPr>
        <w:t>(2), 211–245. https://doi.org/10.1037/0033-295X.102.2.211</w:t>
      </w:r>
    </w:p>
    <w:p w14:paraId="495689B7" w14:textId="77777777" w:rsidR="005F0BE0" w:rsidRPr="005F0BE0" w:rsidRDefault="005F0BE0" w:rsidP="005F0BE0">
      <w:pPr>
        <w:pStyle w:val="Literaturverzeichnis"/>
        <w:rPr>
          <w:rFonts w:cs="Calibri"/>
        </w:rPr>
      </w:pPr>
      <w:proofErr w:type="spellStart"/>
      <w:r w:rsidRPr="005F0BE0">
        <w:rPr>
          <w:rFonts w:cs="Calibri"/>
        </w:rPr>
        <w:t>Fenstermacher</w:t>
      </w:r>
      <w:proofErr w:type="spellEnd"/>
      <w:r w:rsidRPr="005F0BE0">
        <w:rPr>
          <w:rFonts w:cs="Calibri"/>
        </w:rPr>
        <w:t xml:space="preserve">, G. D. (1994). The Knower and the Known: The Nature of Knowledge in Research on Teaching. </w:t>
      </w:r>
      <w:r w:rsidRPr="005F0BE0">
        <w:rPr>
          <w:rFonts w:cs="Calibri"/>
          <w:i/>
          <w:iCs/>
        </w:rPr>
        <w:t>Review of Research in Education</w:t>
      </w:r>
      <w:r w:rsidRPr="005F0BE0">
        <w:rPr>
          <w:rFonts w:cs="Calibri"/>
        </w:rPr>
        <w:t xml:space="preserve">, </w:t>
      </w:r>
      <w:r w:rsidRPr="005F0BE0">
        <w:rPr>
          <w:rFonts w:cs="Calibri"/>
          <w:i/>
          <w:iCs/>
        </w:rPr>
        <w:t>20</w:t>
      </w:r>
      <w:r w:rsidRPr="005F0BE0">
        <w:rPr>
          <w:rFonts w:cs="Calibri"/>
        </w:rPr>
        <w:t>(1), 3–56. https://doi.org/10.3102/0091732X020001003</w:t>
      </w:r>
    </w:p>
    <w:p w14:paraId="17EE09D3" w14:textId="77777777" w:rsidR="005F0BE0" w:rsidRPr="005F0BE0" w:rsidRDefault="005F0BE0" w:rsidP="005F0BE0">
      <w:pPr>
        <w:pStyle w:val="Literaturverzeichnis"/>
        <w:rPr>
          <w:rFonts w:cs="Calibri"/>
        </w:rPr>
      </w:pPr>
      <w:r w:rsidRPr="005F0BE0">
        <w:rPr>
          <w:rFonts w:cs="Calibri"/>
        </w:rPr>
        <w:t xml:space="preserve">Gold, B., &amp; </w:t>
      </w:r>
      <w:proofErr w:type="spellStart"/>
      <w:r w:rsidRPr="005F0BE0">
        <w:rPr>
          <w:rFonts w:cs="Calibri"/>
        </w:rPr>
        <w:t>Holodynski</w:t>
      </w:r>
      <w:proofErr w:type="spellEnd"/>
      <w:r w:rsidRPr="005F0BE0">
        <w:rPr>
          <w:rFonts w:cs="Calibri"/>
        </w:rPr>
        <w:t xml:space="preserve">, M. (2015). Development and Construct Validation of a Situational Judgment Test of Strategic Knowledge of Classroom Management in Elementary Schools. </w:t>
      </w:r>
      <w:r w:rsidRPr="005F0BE0">
        <w:rPr>
          <w:rFonts w:cs="Calibri"/>
          <w:i/>
          <w:iCs/>
        </w:rPr>
        <w:t>Educational Assessment</w:t>
      </w:r>
      <w:r w:rsidRPr="005F0BE0">
        <w:rPr>
          <w:rFonts w:cs="Calibri"/>
        </w:rPr>
        <w:t xml:space="preserve">, </w:t>
      </w:r>
      <w:r w:rsidRPr="005F0BE0">
        <w:rPr>
          <w:rFonts w:cs="Calibri"/>
          <w:i/>
          <w:iCs/>
        </w:rPr>
        <w:t>20</w:t>
      </w:r>
      <w:r w:rsidRPr="005F0BE0">
        <w:rPr>
          <w:rFonts w:cs="Calibri"/>
        </w:rPr>
        <w:t>(3), 226–248. https://doi.org/10.1080/10627197.2015.1062087</w:t>
      </w:r>
    </w:p>
    <w:p w14:paraId="21FB9D0D" w14:textId="77777777" w:rsidR="005F0BE0" w:rsidRPr="005F0BE0" w:rsidRDefault="005F0BE0" w:rsidP="005F0BE0">
      <w:pPr>
        <w:pStyle w:val="Literaturverzeichnis"/>
        <w:rPr>
          <w:rFonts w:cs="Calibri"/>
        </w:rPr>
      </w:pPr>
      <w:r w:rsidRPr="005F0BE0">
        <w:rPr>
          <w:rFonts w:cs="Calibri"/>
        </w:rPr>
        <w:t xml:space="preserve">Goldman, R. (2007). </w:t>
      </w:r>
      <w:r w:rsidRPr="005F0BE0">
        <w:rPr>
          <w:rFonts w:cs="Calibri"/>
          <w:i/>
          <w:iCs/>
        </w:rPr>
        <w:t>Video research in the learning sciences</w:t>
      </w:r>
      <w:r w:rsidRPr="005F0BE0">
        <w:rPr>
          <w:rFonts w:cs="Calibri"/>
        </w:rPr>
        <w:t>. Lawrence Erlbaum Associates.</w:t>
      </w:r>
    </w:p>
    <w:p w14:paraId="4CC4B471" w14:textId="77777777" w:rsidR="005F0BE0" w:rsidRPr="005F0BE0" w:rsidRDefault="005F0BE0" w:rsidP="005F0BE0">
      <w:pPr>
        <w:pStyle w:val="Literaturverzeichnis"/>
        <w:rPr>
          <w:rFonts w:cs="Calibri"/>
        </w:rPr>
      </w:pPr>
      <w:r w:rsidRPr="005F0BE0">
        <w:rPr>
          <w:rFonts w:cs="Calibri"/>
        </w:rPr>
        <w:t xml:space="preserve">Grub, A.-S. (2023). </w:t>
      </w:r>
      <w:r w:rsidRPr="005F0BE0">
        <w:rPr>
          <w:rFonts w:cs="Calibri"/>
          <w:i/>
          <w:iCs/>
        </w:rPr>
        <w:t>PRONOEA - Professional vision of novice and expert teachers</w:t>
      </w:r>
      <w:r w:rsidRPr="005F0BE0">
        <w:rPr>
          <w:rFonts w:cs="Calibri"/>
        </w:rPr>
        <w:t xml:space="preserve"> [</w:t>
      </w:r>
      <w:proofErr w:type="spellStart"/>
      <w:r w:rsidRPr="005F0BE0">
        <w:rPr>
          <w:rFonts w:cs="Calibri"/>
        </w:rPr>
        <w:t>doctoralThesis</w:t>
      </w:r>
      <w:proofErr w:type="spellEnd"/>
      <w:r w:rsidRPr="005F0BE0">
        <w:rPr>
          <w:rFonts w:cs="Calibri"/>
        </w:rPr>
        <w:t xml:space="preserve">, </w:t>
      </w:r>
      <w:proofErr w:type="spellStart"/>
      <w:r w:rsidRPr="005F0BE0">
        <w:rPr>
          <w:rFonts w:cs="Calibri"/>
        </w:rPr>
        <w:t>Saarländische</w:t>
      </w:r>
      <w:proofErr w:type="spellEnd"/>
      <w:r w:rsidRPr="005F0BE0">
        <w:rPr>
          <w:rFonts w:cs="Calibri"/>
        </w:rPr>
        <w:t xml:space="preserve"> </w:t>
      </w:r>
      <w:proofErr w:type="spellStart"/>
      <w:r w:rsidRPr="005F0BE0">
        <w:rPr>
          <w:rFonts w:cs="Calibri"/>
        </w:rPr>
        <w:t>Universitäts</w:t>
      </w:r>
      <w:proofErr w:type="spellEnd"/>
      <w:r w:rsidRPr="005F0BE0">
        <w:rPr>
          <w:rFonts w:cs="Calibri"/>
        </w:rPr>
        <w:t xml:space="preserve">- und </w:t>
      </w:r>
      <w:proofErr w:type="spellStart"/>
      <w:r w:rsidRPr="005F0BE0">
        <w:rPr>
          <w:rFonts w:cs="Calibri"/>
        </w:rPr>
        <w:t>Landesbibliothek</w:t>
      </w:r>
      <w:proofErr w:type="spellEnd"/>
      <w:r w:rsidRPr="005F0BE0">
        <w:rPr>
          <w:rFonts w:cs="Calibri"/>
        </w:rPr>
        <w:t>]. https://doi.org/10.22028/D291-39788</w:t>
      </w:r>
    </w:p>
    <w:p w14:paraId="314B4026" w14:textId="77777777" w:rsidR="005F0BE0" w:rsidRPr="005F0BE0" w:rsidRDefault="005F0BE0" w:rsidP="005F0BE0">
      <w:pPr>
        <w:pStyle w:val="Literaturverzeichnis"/>
        <w:rPr>
          <w:rFonts w:cs="Calibri"/>
          <w:lang w:val="de-DE"/>
        </w:rPr>
      </w:pPr>
      <w:r w:rsidRPr="005F0BE0">
        <w:rPr>
          <w:rFonts w:cs="Calibri"/>
        </w:rPr>
        <w:t xml:space="preserve">Grub, A.-S., Biermann, A., &amp; </w:t>
      </w:r>
      <w:proofErr w:type="spellStart"/>
      <w:r w:rsidRPr="005F0BE0">
        <w:rPr>
          <w:rFonts w:cs="Calibri"/>
        </w:rPr>
        <w:t>Brünken</w:t>
      </w:r>
      <w:proofErr w:type="spellEnd"/>
      <w:r w:rsidRPr="005F0BE0">
        <w:rPr>
          <w:rFonts w:cs="Calibri"/>
        </w:rPr>
        <w:t xml:space="preserve">, R. (2020). </w:t>
      </w:r>
      <w:r w:rsidRPr="005F0BE0">
        <w:rPr>
          <w:rFonts w:cs="Calibri"/>
          <w:i/>
          <w:iCs/>
        </w:rPr>
        <w:t xml:space="preserve">Process-based measurement of professional vision of (prospective) teachers in the field of classroom management. </w:t>
      </w:r>
      <w:r w:rsidRPr="005F0BE0">
        <w:rPr>
          <w:rFonts w:cs="Calibri"/>
          <w:i/>
          <w:iCs/>
          <w:lang w:val="de-DE"/>
        </w:rPr>
        <w:t xml:space="preserve">A </w:t>
      </w:r>
      <w:proofErr w:type="spellStart"/>
      <w:r w:rsidRPr="005F0BE0">
        <w:rPr>
          <w:rFonts w:cs="Calibri"/>
          <w:i/>
          <w:iCs/>
          <w:lang w:val="de-DE"/>
        </w:rPr>
        <w:t>systematic</w:t>
      </w:r>
      <w:proofErr w:type="spellEnd"/>
      <w:r w:rsidRPr="005F0BE0">
        <w:rPr>
          <w:rFonts w:cs="Calibri"/>
          <w:i/>
          <w:iCs/>
          <w:lang w:val="de-DE"/>
        </w:rPr>
        <w:t xml:space="preserve"> review</w:t>
      </w:r>
      <w:r w:rsidRPr="005F0BE0">
        <w:rPr>
          <w:rFonts w:cs="Calibri"/>
          <w:lang w:val="de-DE"/>
        </w:rPr>
        <w:t>. https://doi.org/10.25656/01:21187</w:t>
      </w:r>
    </w:p>
    <w:p w14:paraId="2EE8B744" w14:textId="77777777" w:rsidR="005F0BE0" w:rsidRPr="005F0BE0" w:rsidRDefault="005F0BE0" w:rsidP="005F0BE0">
      <w:pPr>
        <w:pStyle w:val="Literaturverzeichnis"/>
        <w:rPr>
          <w:rFonts w:cs="Calibri"/>
          <w:lang w:val="de-DE"/>
        </w:rPr>
      </w:pPr>
      <w:r w:rsidRPr="005F0BE0">
        <w:rPr>
          <w:rFonts w:cs="Calibri"/>
          <w:lang w:val="de-DE"/>
        </w:rPr>
        <w:t xml:space="preserve">Helmke, A. (2022). </w:t>
      </w:r>
      <w:r w:rsidRPr="005F0BE0">
        <w:rPr>
          <w:rFonts w:cs="Calibri"/>
          <w:i/>
          <w:iCs/>
          <w:lang w:val="de-DE"/>
        </w:rPr>
        <w:t>Unterrichtsqualität und Professionalisierung: Diagnostik von Lehr-Lern-Prozessen und evidenzbasierte Unterrichtsentwicklung</w:t>
      </w:r>
      <w:r w:rsidRPr="005F0BE0">
        <w:rPr>
          <w:rFonts w:cs="Calibri"/>
          <w:lang w:val="de-DE"/>
        </w:rPr>
        <w:t xml:space="preserve"> (1. Auflage). Klett Kallmeyer.</w:t>
      </w:r>
    </w:p>
    <w:p w14:paraId="30CB6DCB" w14:textId="77777777" w:rsidR="005F0BE0" w:rsidRPr="005F0BE0" w:rsidRDefault="005F0BE0" w:rsidP="005F0BE0">
      <w:pPr>
        <w:pStyle w:val="Literaturverzeichnis"/>
        <w:rPr>
          <w:rFonts w:cs="Calibri"/>
          <w:lang w:val="de-DE"/>
        </w:rPr>
      </w:pPr>
      <w:r w:rsidRPr="005F0BE0">
        <w:rPr>
          <w:rFonts w:cs="Calibri"/>
          <w:lang w:val="de-DE"/>
        </w:rPr>
        <w:lastRenderedPageBreak/>
        <w:t xml:space="preserve">Helmke, A., Schrader, F.-W., Helmke, T., </w:t>
      </w:r>
      <w:proofErr w:type="spellStart"/>
      <w:r w:rsidRPr="005F0BE0">
        <w:rPr>
          <w:rFonts w:cs="Calibri"/>
          <w:lang w:val="de-DE"/>
        </w:rPr>
        <w:t>Lenske</w:t>
      </w:r>
      <w:proofErr w:type="spellEnd"/>
      <w:r w:rsidRPr="005F0BE0">
        <w:rPr>
          <w:rFonts w:cs="Calibri"/>
          <w:lang w:val="de-DE"/>
        </w:rPr>
        <w:t xml:space="preserve">, G., Pham, G., Praetorius, A.-K., &amp; Ade-Thurow, M. (2013). </w:t>
      </w:r>
      <w:r w:rsidRPr="005F0BE0">
        <w:rPr>
          <w:rFonts w:cs="Calibri"/>
          <w:i/>
          <w:iCs/>
          <w:lang w:val="de-DE"/>
        </w:rPr>
        <w:t>Basisfragebogen EMU - Evidenzbasierte Methoden der Unterrichtsentwicklung</w:t>
      </w:r>
      <w:r w:rsidRPr="005F0BE0">
        <w:rPr>
          <w:rFonts w:cs="Calibri"/>
          <w:lang w:val="de-DE"/>
        </w:rPr>
        <w:t>. Unterrichtsdiagnostik. http://www.unterrichtsdiagnostik.info/downloads/fragebogen/</w:t>
      </w:r>
    </w:p>
    <w:p w14:paraId="073FC02B" w14:textId="77777777" w:rsidR="005F0BE0" w:rsidRPr="005F0BE0" w:rsidRDefault="005F0BE0" w:rsidP="005F0BE0">
      <w:pPr>
        <w:pStyle w:val="Literaturverzeichnis"/>
        <w:rPr>
          <w:rFonts w:cs="Calibri"/>
        </w:rPr>
      </w:pPr>
      <w:r w:rsidRPr="005F0BE0">
        <w:rPr>
          <w:rFonts w:cs="Calibri"/>
          <w:lang w:val="de-DE"/>
        </w:rPr>
        <w:t xml:space="preserve">Keskin, Ö., Seidel, T., Stürmer, K., &amp; Gegenfurtner, A. (2024). </w:t>
      </w:r>
      <w:r w:rsidRPr="005F0BE0">
        <w:rPr>
          <w:rFonts w:cs="Calibri"/>
        </w:rPr>
        <w:t xml:space="preserve">Eye-tracking research on teacher professional vision: A meta-analytic review. </w:t>
      </w:r>
      <w:r w:rsidRPr="005F0BE0">
        <w:rPr>
          <w:rFonts w:cs="Calibri"/>
          <w:i/>
          <w:iCs/>
        </w:rPr>
        <w:t>Educational Research Review</w:t>
      </w:r>
      <w:r w:rsidRPr="005F0BE0">
        <w:rPr>
          <w:rFonts w:cs="Calibri"/>
        </w:rPr>
        <w:t xml:space="preserve">, </w:t>
      </w:r>
      <w:r w:rsidRPr="005F0BE0">
        <w:rPr>
          <w:rFonts w:cs="Calibri"/>
          <w:i/>
          <w:iCs/>
        </w:rPr>
        <w:t>42</w:t>
      </w:r>
      <w:r w:rsidRPr="005F0BE0">
        <w:rPr>
          <w:rFonts w:cs="Calibri"/>
        </w:rPr>
        <w:t>, 100586. https://doi.org/10.1016/j.edurev.2023.100586</w:t>
      </w:r>
    </w:p>
    <w:p w14:paraId="33BBE6AC" w14:textId="77777777" w:rsidR="005F0BE0" w:rsidRPr="005F0BE0" w:rsidRDefault="005F0BE0" w:rsidP="005F0BE0">
      <w:pPr>
        <w:pStyle w:val="Literaturverzeichnis"/>
        <w:rPr>
          <w:rFonts w:cs="Calibri"/>
          <w:lang w:val="de-DE"/>
        </w:rPr>
      </w:pPr>
      <w:r w:rsidRPr="005F0BE0">
        <w:rPr>
          <w:rFonts w:cs="Calibri"/>
        </w:rPr>
        <w:t xml:space="preserve">Kiel, E., Frey, A., &amp; </w:t>
      </w:r>
      <w:proofErr w:type="spellStart"/>
      <w:r w:rsidRPr="005F0BE0">
        <w:rPr>
          <w:rFonts w:cs="Calibri"/>
        </w:rPr>
        <w:t>Weiß</w:t>
      </w:r>
      <w:proofErr w:type="spellEnd"/>
      <w:r w:rsidRPr="005F0BE0">
        <w:rPr>
          <w:rFonts w:cs="Calibri"/>
        </w:rPr>
        <w:t xml:space="preserve">, S. (2013). </w:t>
      </w:r>
      <w:r w:rsidRPr="005F0BE0">
        <w:rPr>
          <w:rFonts w:cs="Calibri"/>
          <w:i/>
          <w:iCs/>
          <w:lang w:val="de-DE"/>
        </w:rPr>
        <w:t>Trainingsbuch Klassenführung</w:t>
      </w:r>
      <w:r w:rsidRPr="005F0BE0">
        <w:rPr>
          <w:rFonts w:cs="Calibri"/>
          <w:lang w:val="de-DE"/>
        </w:rPr>
        <w:t>. Verlag Julius Klinkhardt.</w:t>
      </w:r>
    </w:p>
    <w:p w14:paraId="4A8D1F0A" w14:textId="77777777" w:rsidR="005F0BE0" w:rsidRPr="005F0BE0" w:rsidRDefault="005F0BE0" w:rsidP="005F0BE0">
      <w:pPr>
        <w:pStyle w:val="Literaturverzeichnis"/>
        <w:rPr>
          <w:rFonts w:cs="Calibri"/>
        </w:rPr>
      </w:pPr>
      <w:proofErr w:type="spellStart"/>
      <w:r w:rsidRPr="005F0BE0">
        <w:rPr>
          <w:rFonts w:cs="Calibri"/>
        </w:rPr>
        <w:t>Kilbury</w:t>
      </w:r>
      <w:proofErr w:type="spellEnd"/>
      <w:r w:rsidRPr="005F0BE0">
        <w:rPr>
          <w:rFonts w:cs="Calibri"/>
        </w:rPr>
        <w:t xml:space="preserve">, M., </w:t>
      </w:r>
      <w:proofErr w:type="spellStart"/>
      <w:r w:rsidRPr="005F0BE0">
        <w:rPr>
          <w:rFonts w:cs="Calibri"/>
        </w:rPr>
        <w:t>Böhnke</w:t>
      </w:r>
      <w:proofErr w:type="spellEnd"/>
      <w:r w:rsidRPr="005F0BE0">
        <w:rPr>
          <w:rFonts w:cs="Calibri"/>
        </w:rPr>
        <w:t xml:space="preserve">, A., </w:t>
      </w:r>
      <w:proofErr w:type="spellStart"/>
      <w:r w:rsidRPr="005F0BE0">
        <w:rPr>
          <w:rFonts w:cs="Calibri"/>
        </w:rPr>
        <w:t>Haase</w:t>
      </w:r>
      <w:proofErr w:type="spellEnd"/>
      <w:r w:rsidRPr="005F0BE0">
        <w:rPr>
          <w:rFonts w:cs="Calibri"/>
        </w:rPr>
        <w:t xml:space="preserve">, S., &amp; Thiel, F. (2024). The development and validation of a video tool for capturing teachers’ noticing in salient and non-salient classroom disruptions. </w:t>
      </w:r>
      <w:r w:rsidRPr="005F0BE0">
        <w:rPr>
          <w:rFonts w:cs="Calibri"/>
          <w:i/>
          <w:iCs/>
        </w:rPr>
        <w:t>Computers in Human Behavior Reports</w:t>
      </w:r>
      <w:r w:rsidRPr="005F0BE0">
        <w:rPr>
          <w:rFonts w:cs="Calibri"/>
        </w:rPr>
        <w:t xml:space="preserve">, </w:t>
      </w:r>
      <w:r w:rsidRPr="005F0BE0">
        <w:rPr>
          <w:rFonts w:cs="Calibri"/>
          <w:i/>
          <w:iCs/>
        </w:rPr>
        <w:t>16</w:t>
      </w:r>
      <w:r w:rsidRPr="005F0BE0">
        <w:rPr>
          <w:rFonts w:cs="Calibri"/>
        </w:rPr>
        <w:t>, 100481. https://doi.org/10.1016/j.chbr.2024.100481</w:t>
      </w:r>
    </w:p>
    <w:p w14:paraId="22EC9235" w14:textId="77777777" w:rsidR="005F0BE0" w:rsidRPr="005F0BE0" w:rsidRDefault="005F0BE0" w:rsidP="005F0BE0">
      <w:pPr>
        <w:pStyle w:val="Literaturverzeichnis"/>
        <w:rPr>
          <w:rFonts w:cs="Calibri"/>
          <w:lang w:val="de-DE"/>
        </w:rPr>
      </w:pPr>
      <w:r w:rsidRPr="005F0BE0">
        <w:rPr>
          <w:rFonts w:cs="Calibri"/>
          <w:lang w:val="de-DE"/>
        </w:rPr>
        <w:t xml:space="preserve">Kirchhof, S. (2007). </w:t>
      </w:r>
      <w:r w:rsidRPr="005F0BE0">
        <w:rPr>
          <w:rFonts w:cs="Calibri"/>
          <w:i/>
          <w:iCs/>
          <w:lang w:val="de-DE"/>
        </w:rPr>
        <w:t>Informelles Lernen und Kompetenzentwicklung für und in beruflichen Werdegängen</w:t>
      </w:r>
      <w:r w:rsidRPr="005F0BE0">
        <w:rPr>
          <w:rFonts w:cs="Calibri"/>
          <w:lang w:val="de-DE"/>
        </w:rPr>
        <w:t>. Waxmann Verlag.</w:t>
      </w:r>
    </w:p>
    <w:p w14:paraId="68B1D158" w14:textId="77777777" w:rsidR="005F0BE0" w:rsidRPr="005F0BE0" w:rsidRDefault="005F0BE0" w:rsidP="005F0BE0">
      <w:pPr>
        <w:pStyle w:val="Literaturverzeichnis"/>
        <w:rPr>
          <w:rFonts w:cs="Calibri"/>
          <w:lang w:val="de-DE"/>
        </w:rPr>
      </w:pPr>
      <w:r w:rsidRPr="005F0BE0">
        <w:rPr>
          <w:rFonts w:cs="Calibri"/>
          <w:lang w:val="de-DE"/>
        </w:rPr>
        <w:t xml:space="preserve">Kounin, J. S. (2006). </w:t>
      </w:r>
      <w:r w:rsidRPr="005F0BE0">
        <w:rPr>
          <w:rFonts w:cs="Calibri"/>
          <w:i/>
          <w:iCs/>
          <w:lang w:val="de-DE"/>
        </w:rPr>
        <w:t>Techniken der Klassenführung</w:t>
      </w:r>
      <w:r w:rsidRPr="005F0BE0">
        <w:rPr>
          <w:rFonts w:cs="Calibri"/>
          <w:lang w:val="de-DE"/>
        </w:rPr>
        <w:t>. Waxmann Verlag.</w:t>
      </w:r>
    </w:p>
    <w:p w14:paraId="08B911DC" w14:textId="77777777" w:rsidR="005F0BE0" w:rsidRPr="005F0BE0" w:rsidRDefault="005F0BE0" w:rsidP="005F0BE0">
      <w:pPr>
        <w:pStyle w:val="Literaturverzeichnis"/>
        <w:rPr>
          <w:rFonts w:cs="Calibri"/>
        </w:rPr>
      </w:pPr>
      <w:r w:rsidRPr="005F0BE0">
        <w:rPr>
          <w:rFonts w:cs="Calibri"/>
          <w:lang w:val="de-DE"/>
        </w:rPr>
        <w:t xml:space="preserve">Kraft, M. A., &amp; Monti-Nussbaum, M. (2021). </w:t>
      </w:r>
      <w:r w:rsidRPr="005F0BE0">
        <w:rPr>
          <w:rFonts w:cs="Calibri"/>
        </w:rPr>
        <w:t xml:space="preserve">The Big Problem </w:t>
      </w:r>
      <w:proofErr w:type="gramStart"/>
      <w:r w:rsidRPr="005F0BE0">
        <w:rPr>
          <w:rFonts w:cs="Calibri"/>
        </w:rPr>
        <w:t>With</w:t>
      </w:r>
      <w:proofErr w:type="gramEnd"/>
      <w:r w:rsidRPr="005F0BE0">
        <w:rPr>
          <w:rFonts w:cs="Calibri"/>
        </w:rPr>
        <w:t xml:space="preserve"> Little Interruptions to Classroom Learning. </w:t>
      </w:r>
      <w:r w:rsidRPr="005F0BE0">
        <w:rPr>
          <w:rFonts w:cs="Calibri"/>
          <w:i/>
          <w:iCs/>
        </w:rPr>
        <w:t>AERA Open</w:t>
      </w:r>
      <w:r w:rsidRPr="005F0BE0">
        <w:rPr>
          <w:rFonts w:cs="Calibri"/>
        </w:rPr>
        <w:t xml:space="preserve">, </w:t>
      </w:r>
      <w:r w:rsidRPr="005F0BE0">
        <w:rPr>
          <w:rFonts w:cs="Calibri"/>
          <w:i/>
          <w:iCs/>
        </w:rPr>
        <w:t>7</w:t>
      </w:r>
      <w:r w:rsidRPr="005F0BE0">
        <w:rPr>
          <w:rFonts w:cs="Calibri"/>
        </w:rPr>
        <w:t>, 23328584211028856. https://doi.org/10.1177/23328584211028856</w:t>
      </w:r>
    </w:p>
    <w:p w14:paraId="3EEEE62F" w14:textId="77777777" w:rsidR="005F0BE0" w:rsidRPr="005F0BE0" w:rsidRDefault="005F0BE0" w:rsidP="005F0BE0">
      <w:pPr>
        <w:pStyle w:val="Literaturverzeichnis"/>
        <w:rPr>
          <w:rFonts w:cs="Calibri"/>
          <w:lang w:val="de-DE"/>
        </w:rPr>
      </w:pPr>
      <w:proofErr w:type="spellStart"/>
      <w:r w:rsidRPr="005F0BE0">
        <w:rPr>
          <w:rFonts w:cs="Calibri"/>
        </w:rPr>
        <w:t>Kunter</w:t>
      </w:r>
      <w:proofErr w:type="spellEnd"/>
      <w:r w:rsidRPr="005F0BE0">
        <w:rPr>
          <w:rFonts w:cs="Calibri"/>
        </w:rPr>
        <w:t xml:space="preserve">, M., Baumert, J., &amp; Blum, W. (2011). </w:t>
      </w:r>
      <w:r w:rsidRPr="005F0BE0">
        <w:rPr>
          <w:rFonts w:cs="Calibri"/>
          <w:i/>
          <w:iCs/>
          <w:lang w:val="de-DE"/>
        </w:rPr>
        <w:t>Professionelle Kompetenz von Lehrkräften: Ergebnisse des Forschungsprogramms COACTIV</w:t>
      </w:r>
      <w:r w:rsidRPr="005F0BE0">
        <w:rPr>
          <w:rFonts w:cs="Calibri"/>
          <w:lang w:val="de-DE"/>
        </w:rPr>
        <w:t>. Waxmann Verlag.</w:t>
      </w:r>
    </w:p>
    <w:p w14:paraId="6E017AEE" w14:textId="77777777" w:rsidR="005F0BE0" w:rsidRPr="005F0BE0" w:rsidRDefault="005F0BE0" w:rsidP="005F0BE0">
      <w:pPr>
        <w:pStyle w:val="Literaturverzeichnis"/>
        <w:rPr>
          <w:rFonts w:cs="Calibri"/>
        </w:rPr>
      </w:pPr>
      <w:r w:rsidRPr="005F0BE0">
        <w:rPr>
          <w:rFonts w:cs="Calibri"/>
          <w:lang w:val="de-DE"/>
        </w:rPr>
        <w:t xml:space="preserve">Lachner, A., </w:t>
      </w:r>
      <w:proofErr w:type="spellStart"/>
      <w:r w:rsidRPr="005F0BE0">
        <w:rPr>
          <w:rFonts w:cs="Calibri"/>
          <w:lang w:val="de-DE"/>
        </w:rPr>
        <w:t>Jarodzka</w:t>
      </w:r>
      <w:proofErr w:type="spellEnd"/>
      <w:r w:rsidRPr="005F0BE0">
        <w:rPr>
          <w:rFonts w:cs="Calibri"/>
          <w:lang w:val="de-DE"/>
        </w:rPr>
        <w:t xml:space="preserve">, H., &amp; </w:t>
      </w:r>
      <w:proofErr w:type="spellStart"/>
      <w:r w:rsidRPr="005F0BE0">
        <w:rPr>
          <w:rFonts w:cs="Calibri"/>
          <w:lang w:val="de-DE"/>
        </w:rPr>
        <w:t>Nückles</w:t>
      </w:r>
      <w:proofErr w:type="spellEnd"/>
      <w:r w:rsidRPr="005F0BE0">
        <w:rPr>
          <w:rFonts w:cs="Calibri"/>
          <w:lang w:val="de-DE"/>
        </w:rPr>
        <w:t xml:space="preserve">, M. (2016). </w:t>
      </w:r>
      <w:proofErr w:type="spellStart"/>
      <w:r w:rsidRPr="005F0BE0">
        <w:rPr>
          <w:rFonts w:cs="Calibri"/>
          <w:lang w:val="de-DE"/>
        </w:rPr>
        <w:t>What</w:t>
      </w:r>
      <w:proofErr w:type="spellEnd"/>
      <w:r w:rsidRPr="005F0BE0">
        <w:rPr>
          <w:rFonts w:cs="Calibri"/>
          <w:lang w:val="de-DE"/>
        </w:rPr>
        <w:t xml:space="preserve"> </w:t>
      </w:r>
      <w:proofErr w:type="spellStart"/>
      <w:r w:rsidRPr="005F0BE0">
        <w:rPr>
          <w:rFonts w:cs="Calibri"/>
          <w:lang w:val="de-DE"/>
        </w:rPr>
        <w:t>makes</w:t>
      </w:r>
      <w:proofErr w:type="spellEnd"/>
      <w:r w:rsidRPr="005F0BE0">
        <w:rPr>
          <w:rFonts w:cs="Calibri"/>
          <w:lang w:val="de-DE"/>
        </w:rPr>
        <w:t xml:space="preserve"> an expert </w:t>
      </w:r>
      <w:proofErr w:type="spellStart"/>
      <w:r w:rsidRPr="005F0BE0">
        <w:rPr>
          <w:rFonts w:cs="Calibri"/>
          <w:lang w:val="de-DE"/>
        </w:rPr>
        <w:t>teacher</w:t>
      </w:r>
      <w:proofErr w:type="spellEnd"/>
      <w:r w:rsidRPr="005F0BE0">
        <w:rPr>
          <w:rFonts w:cs="Calibri"/>
          <w:lang w:val="de-DE"/>
        </w:rPr>
        <w:t xml:space="preserve">? </w:t>
      </w:r>
      <w:r w:rsidRPr="005F0BE0">
        <w:rPr>
          <w:rFonts w:cs="Calibri"/>
        </w:rPr>
        <w:t xml:space="preserve">Investigating teachers’ professional vision and discourse abilities. </w:t>
      </w:r>
      <w:r w:rsidRPr="005F0BE0">
        <w:rPr>
          <w:rFonts w:cs="Calibri"/>
          <w:i/>
          <w:iCs/>
        </w:rPr>
        <w:t>Instructional Science</w:t>
      </w:r>
      <w:r w:rsidRPr="005F0BE0">
        <w:rPr>
          <w:rFonts w:cs="Calibri"/>
        </w:rPr>
        <w:t xml:space="preserve">, </w:t>
      </w:r>
      <w:r w:rsidRPr="005F0BE0">
        <w:rPr>
          <w:rFonts w:cs="Calibri"/>
          <w:i/>
          <w:iCs/>
        </w:rPr>
        <w:t>44</w:t>
      </w:r>
      <w:r w:rsidRPr="005F0BE0">
        <w:rPr>
          <w:rFonts w:cs="Calibri"/>
        </w:rPr>
        <w:t>(3), 197–203. https://doi.org/10.1007/s11251-016-9376-y</w:t>
      </w:r>
    </w:p>
    <w:p w14:paraId="49D5DED7" w14:textId="77777777" w:rsidR="005F0BE0" w:rsidRPr="005F0BE0" w:rsidRDefault="005F0BE0" w:rsidP="005F0BE0">
      <w:pPr>
        <w:pStyle w:val="Literaturverzeichnis"/>
        <w:rPr>
          <w:rFonts w:cs="Calibri"/>
        </w:rPr>
      </w:pPr>
      <w:r w:rsidRPr="005F0BE0">
        <w:rPr>
          <w:rFonts w:cs="Calibri"/>
        </w:rPr>
        <w:t xml:space="preserve">Livingston, C., &amp; </w:t>
      </w:r>
      <w:proofErr w:type="spellStart"/>
      <w:r w:rsidRPr="005F0BE0">
        <w:rPr>
          <w:rFonts w:cs="Calibri"/>
        </w:rPr>
        <w:t>Borko</w:t>
      </w:r>
      <w:proofErr w:type="spellEnd"/>
      <w:r w:rsidRPr="005F0BE0">
        <w:rPr>
          <w:rFonts w:cs="Calibri"/>
        </w:rPr>
        <w:t xml:space="preserve">, H. (1989). Expert-Novice Differences in Teaching: A Cognitive Analysis and Implications for Teacher Education. </w:t>
      </w:r>
      <w:r w:rsidRPr="005F0BE0">
        <w:rPr>
          <w:rFonts w:cs="Calibri"/>
          <w:i/>
          <w:iCs/>
        </w:rPr>
        <w:t>Journal of Teacher Education</w:t>
      </w:r>
      <w:r w:rsidRPr="005F0BE0">
        <w:rPr>
          <w:rFonts w:cs="Calibri"/>
        </w:rPr>
        <w:t xml:space="preserve">, </w:t>
      </w:r>
      <w:r w:rsidRPr="005F0BE0">
        <w:rPr>
          <w:rFonts w:cs="Calibri"/>
          <w:i/>
          <w:iCs/>
        </w:rPr>
        <w:t>40</w:t>
      </w:r>
      <w:r w:rsidRPr="005F0BE0">
        <w:rPr>
          <w:rFonts w:cs="Calibri"/>
        </w:rPr>
        <w:t>(4), 36–42. https://doi.org/10.1177/002248718904000407</w:t>
      </w:r>
    </w:p>
    <w:p w14:paraId="2CD2CAFA" w14:textId="77777777" w:rsidR="005F0BE0" w:rsidRPr="005F0BE0" w:rsidRDefault="005F0BE0" w:rsidP="005F0BE0">
      <w:pPr>
        <w:pStyle w:val="Literaturverzeichnis"/>
        <w:rPr>
          <w:rFonts w:cs="Calibri"/>
        </w:rPr>
      </w:pPr>
      <w:r w:rsidRPr="005F0BE0">
        <w:rPr>
          <w:rFonts w:cs="Calibri"/>
        </w:rPr>
        <w:lastRenderedPageBreak/>
        <w:t xml:space="preserve">Lohmann, G., &amp; Meyer, H. (2003). </w:t>
      </w:r>
      <w:r w:rsidRPr="005F0BE0">
        <w:rPr>
          <w:rFonts w:cs="Calibri"/>
          <w:i/>
          <w:iCs/>
          <w:lang w:val="de-DE"/>
        </w:rPr>
        <w:t>Mit Schülern klarkommen: Professioneller Umgang mit Unterrichtsstörungen und Disziplinkonflikten</w:t>
      </w:r>
      <w:r w:rsidRPr="005F0BE0">
        <w:rPr>
          <w:rFonts w:cs="Calibri"/>
          <w:lang w:val="de-DE"/>
        </w:rPr>
        <w:t xml:space="preserve">. </w:t>
      </w:r>
      <w:r w:rsidRPr="005F0BE0">
        <w:rPr>
          <w:rFonts w:cs="Calibri"/>
        </w:rPr>
        <w:t>Cornelsen-</w:t>
      </w:r>
      <w:proofErr w:type="spellStart"/>
      <w:r w:rsidRPr="005F0BE0">
        <w:rPr>
          <w:rFonts w:cs="Calibri"/>
        </w:rPr>
        <w:t>Scriptor</w:t>
      </w:r>
      <w:proofErr w:type="spellEnd"/>
      <w:r w:rsidRPr="005F0BE0">
        <w:rPr>
          <w:rFonts w:cs="Calibri"/>
        </w:rPr>
        <w:t>.</w:t>
      </w:r>
    </w:p>
    <w:p w14:paraId="2DC1AFBD" w14:textId="77777777" w:rsidR="005F0BE0" w:rsidRPr="005F0BE0" w:rsidRDefault="005F0BE0" w:rsidP="005F0BE0">
      <w:pPr>
        <w:pStyle w:val="Literaturverzeichnis"/>
        <w:rPr>
          <w:rFonts w:cs="Calibri"/>
        </w:rPr>
      </w:pPr>
      <w:r w:rsidRPr="005F0BE0">
        <w:rPr>
          <w:rFonts w:cs="Calibri"/>
        </w:rPr>
        <w:t xml:space="preserve">Marder, J., Thiel, F., &amp; </w:t>
      </w:r>
      <w:proofErr w:type="spellStart"/>
      <w:r w:rsidRPr="005F0BE0">
        <w:rPr>
          <w:rFonts w:cs="Calibri"/>
        </w:rPr>
        <w:t>Göllner</w:t>
      </w:r>
      <w:proofErr w:type="spellEnd"/>
      <w:r w:rsidRPr="005F0BE0">
        <w:rPr>
          <w:rFonts w:cs="Calibri"/>
        </w:rPr>
        <w:t xml:space="preserve">, R. (2023). Classroom management and students’ mathematics achievement: The role of students’ disruptive behavior and teacher classroom management. </w:t>
      </w:r>
      <w:r w:rsidRPr="005F0BE0">
        <w:rPr>
          <w:rFonts w:cs="Calibri"/>
          <w:i/>
          <w:iCs/>
        </w:rPr>
        <w:t>Learning and Instruction</w:t>
      </w:r>
      <w:r w:rsidRPr="005F0BE0">
        <w:rPr>
          <w:rFonts w:cs="Calibri"/>
        </w:rPr>
        <w:t xml:space="preserve">, </w:t>
      </w:r>
      <w:r w:rsidRPr="005F0BE0">
        <w:rPr>
          <w:rFonts w:cs="Calibri"/>
          <w:i/>
          <w:iCs/>
        </w:rPr>
        <w:t>86</w:t>
      </w:r>
      <w:r w:rsidRPr="005F0BE0">
        <w:rPr>
          <w:rFonts w:cs="Calibri"/>
        </w:rPr>
        <w:t>, 101746. https://doi.org/10.1016/j.learninstruc.2023.101746</w:t>
      </w:r>
    </w:p>
    <w:p w14:paraId="7A7FB41B" w14:textId="77777777" w:rsidR="005F0BE0" w:rsidRPr="005F0BE0" w:rsidRDefault="005F0BE0" w:rsidP="005F0BE0">
      <w:pPr>
        <w:pStyle w:val="Literaturverzeichnis"/>
        <w:rPr>
          <w:rFonts w:cs="Calibri"/>
        </w:rPr>
      </w:pPr>
      <w:r w:rsidRPr="005F0BE0">
        <w:rPr>
          <w:rFonts w:cs="Calibri"/>
        </w:rPr>
        <w:t xml:space="preserve">Marzano, R. J. (2007). </w:t>
      </w:r>
      <w:r w:rsidRPr="005F0BE0">
        <w:rPr>
          <w:rFonts w:cs="Calibri"/>
          <w:i/>
          <w:iCs/>
        </w:rPr>
        <w:t>The Art and Science of Teaching: A Comprehensive Framework for Effective Instruction</w:t>
      </w:r>
      <w:r w:rsidRPr="005F0BE0">
        <w:rPr>
          <w:rFonts w:cs="Calibri"/>
        </w:rPr>
        <w:t>. ASCD.</w:t>
      </w:r>
    </w:p>
    <w:p w14:paraId="102D76D5" w14:textId="77777777" w:rsidR="005F0BE0" w:rsidRPr="005F0BE0" w:rsidRDefault="005F0BE0" w:rsidP="005F0BE0">
      <w:pPr>
        <w:pStyle w:val="Literaturverzeichnis"/>
        <w:rPr>
          <w:rFonts w:cs="Calibri"/>
        </w:rPr>
      </w:pPr>
      <w:proofErr w:type="spellStart"/>
      <w:r w:rsidRPr="005F0BE0">
        <w:rPr>
          <w:rFonts w:cs="Calibri"/>
        </w:rPr>
        <w:t>Onkhar</w:t>
      </w:r>
      <w:proofErr w:type="spellEnd"/>
      <w:r w:rsidRPr="005F0BE0">
        <w:rPr>
          <w:rFonts w:cs="Calibri"/>
        </w:rPr>
        <w:t xml:space="preserve">, V., </w:t>
      </w:r>
      <w:proofErr w:type="spellStart"/>
      <w:r w:rsidRPr="005F0BE0">
        <w:rPr>
          <w:rFonts w:cs="Calibri"/>
        </w:rPr>
        <w:t>Dodou</w:t>
      </w:r>
      <w:proofErr w:type="spellEnd"/>
      <w:r w:rsidRPr="005F0BE0">
        <w:rPr>
          <w:rFonts w:cs="Calibri"/>
        </w:rPr>
        <w:t xml:space="preserve">, D., &amp; de Winter, J. C. F. (2024). Evaluating the </w:t>
      </w:r>
      <w:proofErr w:type="spellStart"/>
      <w:r w:rsidRPr="005F0BE0">
        <w:rPr>
          <w:rFonts w:cs="Calibri"/>
        </w:rPr>
        <w:t>Tobii</w:t>
      </w:r>
      <w:proofErr w:type="spellEnd"/>
      <w:r w:rsidRPr="005F0BE0">
        <w:rPr>
          <w:rFonts w:cs="Calibri"/>
        </w:rPr>
        <w:t xml:space="preserve"> Pro Glasses 2 and 3 in static and dynamic conditions. </w:t>
      </w:r>
      <w:r w:rsidRPr="005F0BE0">
        <w:rPr>
          <w:rFonts w:cs="Calibri"/>
          <w:i/>
          <w:iCs/>
        </w:rPr>
        <w:t>Behavior Research Methods</w:t>
      </w:r>
      <w:r w:rsidRPr="005F0BE0">
        <w:rPr>
          <w:rFonts w:cs="Calibri"/>
        </w:rPr>
        <w:t xml:space="preserve">, </w:t>
      </w:r>
      <w:r w:rsidRPr="005F0BE0">
        <w:rPr>
          <w:rFonts w:cs="Calibri"/>
          <w:i/>
          <w:iCs/>
        </w:rPr>
        <w:t>56</w:t>
      </w:r>
      <w:r w:rsidRPr="005F0BE0">
        <w:rPr>
          <w:rFonts w:cs="Calibri"/>
        </w:rPr>
        <w:t>(5), 4221–4238. https://doi.org/10.3758/s13428-023-02173-7</w:t>
      </w:r>
    </w:p>
    <w:p w14:paraId="3B348925" w14:textId="77777777" w:rsidR="005F0BE0" w:rsidRPr="005F0BE0" w:rsidRDefault="005F0BE0" w:rsidP="005F0BE0">
      <w:pPr>
        <w:pStyle w:val="Literaturverzeichnis"/>
        <w:rPr>
          <w:rFonts w:cs="Calibri"/>
          <w:lang w:val="de-DE"/>
        </w:rPr>
      </w:pPr>
      <w:proofErr w:type="spellStart"/>
      <w:r w:rsidRPr="005F0BE0">
        <w:rPr>
          <w:rFonts w:cs="Calibri"/>
        </w:rPr>
        <w:t>Ophardt</w:t>
      </w:r>
      <w:proofErr w:type="spellEnd"/>
      <w:r w:rsidRPr="005F0BE0">
        <w:rPr>
          <w:rFonts w:cs="Calibri"/>
        </w:rPr>
        <w:t xml:space="preserve">, D., &amp; Thiel, F. (2013). </w:t>
      </w:r>
      <w:r w:rsidRPr="005F0BE0">
        <w:rPr>
          <w:rFonts w:cs="Calibri"/>
          <w:i/>
          <w:iCs/>
          <w:lang w:val="de-DE"/>
        </w:rPr>
        <w:t>Klassenmanagement: Ein Handbuch für Studium und Praxis</w:t>
      </w:r>
      <w:r w:rsidRPr="005F0BE0">
        <w:rPr>
          <w:rFonts w:cs="Calibri"/>
          <w:lang w:val="de-DE"/>
        </w:rPr>
        <w:t>. Kohlhammer Verlag.</w:t>
      </w:r>
    </w:p>
    <w:p w14:paraId="697E1A05" w14:textId="77777777" w:rsidR="005F0BE0" w:rsidRPr="005F0BE0" w:rsidRDefault="005F0BE0" w:rsidP="005F0BE0">
      <w:pPr>
        <w:pStyle w:val="Literaturverzeichnis"/>
        <w:rPr>
          <w:rFonts w:cs="Calibri"/>
          <w:lang w:val="de-DE"/>
        </w:rPr>
      </w:pPr>
      <w:r w:rsidRPr="005F0BE0">
        <w:rPr>
          <w:rFonts w:cs="Calibri"/>
          <w:lang w:val="de-DE"/>
        </w:rPr>
        <w:t xml:space="preserve">Rauner, F. (Ed.). (2005). </w:t>
      </w:r>
      <w:r w:rsidRPr="005F0BE0">
        <w:rPr>
          <w:rFonts w:cs="Calibri"/>
          <w:i/>
          <w:iCs/>
          <w:lang w:val="de-DE"/>
        </w:rPr>
        <w:t>Handbuch Berufsbildungsforschung.</w:t>
      </w:r>
      <w:r w:rsidRPr="005F0BE0">
        <w:rPr>
          <w:rFonts w:cs="Calibri"/>
          <w:lang w:val="de-DE"/>
        </w:rPr>
        <w:t xml:space="preserve"> Bertelsmann.</w:t>
      </w:r>
    </w:p>
    <w:p w14:paraId="25B919E5" w14:textId="77777777" w:rsidR="005F0BE0" w:rsidRPr="005F0BE0" w:rsidRDefault="005F0BE0" w:rsidP="005F0BE0">
      <w:pPr>
        <w:pStyle w:val="Literaturverzeichnis"/>
        <w:rPr>
          <w:rFonts w:cs="Calibri"/>
        </w:rPr>
      </w:pPr>
      <w:proofErr w:type="spellStart"/>
      <w:r w:rsidRPr="005F0BE0">
        <w:rPr>
          <w:rFonts w:cs="Calibri"/>
          <w:lang w:val="de-DE"/>
        </w:rPr>
        <w:t>RStudio</w:t>
      </w:r>
      <w:proofErr w:type="spellEnd"/>
      <w:r w:rsidRPr="005F0BE0">
        <w:rPr>
          <w:rFonts w:cs="Calibri"/>
          <w:lang w:val="de-DE"/>
        </w:rPr>
        <w:t xml:space="preserve"> Team. </w:t>
      </w:r>
      <w:r w:rsidRPr="005F0BE0">
        <w:rPr>
          <w:rFonts w:cs="Calibri"/>
        </w:rPr>
        <w:t xml:space="preserve">(2020). </w:t>
      </w:r>
      <w:r w:rsidRPr="005F0BE0">
        <w:rPr>
          <w:rFonts w:cs="Calibri"/>
          <w:i/>
          <w:iCs/>
        </w:rPr>
        <w:t>RStudio: Integrated Development Environment for R</w:t>
      </w:r>
      <w:r w:rsidRPr="005F0BE0">
        <w:rPr>
          <w:rFonts w:cs="Calibri"/>
        </w:rPr>
        <w:t>. RStudio, PBC.</w:t>
      </w:r>
    </w:p>
    <w:p w14:paraId="49232522" w14:textId="77777777" w:rsidR="005F0BE0" w:rsidRPr="005F0BE0" w:rsidRDefault="005F0BE0" w:rsidP="005F0BE0">
      <w:pPr>
        <w:pStyle w:val="Literaturverzeichnis"/>
        <w:rPr>
          <w:rFonts w:cs="Calibri"/>
        </w:rPr>
      </w:pPr>
      <w:r w:rsidRPr="005F0BE0">
        <w:rPr>
          <w:rFonts w:cs="Calibri"/>
          <w:lang w:val="de-DE"/>
        </w:rPr>
        <w:t xml:space="preserve">Rüedi, J. (2014). Zur Bedeutung positive Beziehungen für die Klassenführung und den Umgang mit Unterrichtsstörungen. </w:t>
      </w:r>
      <w:proofErr w:type="spellStart"/>
      <w:r w:rsidRPr="005F0BE0">
        <w:rPr>
          <w:rFonts w:cs="Calibri"/>
          <w:i/>
          <w:iCs/>
        </w:rPr>
        <w:t>Beziehungen</w:t>
      </w:r>
      <w:proofErr w:type="spellEnd"/>
      <w:r w:rsidRPr="005F0BE0">
        <w:rPr>
          <w:rFonts w:cs="Calibri"/>
          <w:i/>
          <w:iCs/>
        </w:rPr>
        <w:t xml:space="preserve"> in Schule Und </w:t>
      </w:r>
      <w:proofErr w:type="spellStart"/>
      <w:r w:rsidRPr="005F0BE0">
        <w:rPr>
          <w:rFonts w:cs="Calibri"/>
          <w:i/>
          <w:iCs/>
        </w:rPr>
        <w:t>Unterricht</w:t>
      </w:r>
      <w:proofErr w:type="spellEnd"/>
      <w:r w:rsidRPr="005F0BE0">
        <w:rPr>
          <w:rFonts w:cs="Calibri"/>
          <w:i/>
          <w:iCs/>
        </w:rPr>
        <w:t>. Teil</w:t>
      </w:r>
      <w:r w:rsidRPr="005F0BE0">
        <w:rPr>
          <w:rFonts w:cs="Calibri"/>
        </w:rPr>
        <w:t xml:space="preserve">, </w:t>
      </w:r>
      <w:r w:rsidRPr="005F0BE0">
        <w:rPr>
          <w:rFonts w:cs="Calibri"/>
          <w:i/>
          <w:iCs/>
        </w:rPr>
        <w:t>3</w:t>
      </w:r>
      <w:r w:rsidRPr="005F0BE0">
        <w:rPr>
          <w:rFonts w:cs="Calibri"/>
        </w:rPr>
        <w:t>, 105–126.</w:t>
      </w:r>
    </w:p>
    <w:p w14:paraId="64545301" w14:textId="77777777" w:rsidR="005F0BE0" w:rsidRPr="005F0BE0" w:rsidRDefault="005F0BE0" w:rsidP="005F0BE0">
      <w:pPr>
        <w:pStyle w:val="Literaturverzeichnis"/>
        <w:rPr>
          <w:rFonts w:cs="Calibri"/>
        </w:rPr>
      </w:pPr>
      <w:r w:rsidRPr="005F0BE0">
        <w:rPr>
          <w:rFonts w:cs="Calibri"/>
        </w:rPr>
        <w:t xml:space="preserve">Shulman, L. (1987). Knowledge and </w:t>
      </w:r>
      <w:proofErr w:type="spellStart"/>
      <w:proofErr w:type="gramStart"/>
      <w:r w:rsidRPr="005F0BE0">
        <w:rPr>
          <w:rFonts w:cs="Calibri"/>
        </w:rPr>
        <w:t>Teaching:Foundations</w:t>
      </w:r>
      <w:proofErr w:type="spellEnd"/>
      <w:proofErr w:type="gramEnd"/>
      <w:r w:rsidRPr="005F0BE0">
        <w:rPr>
          <w:rFonts w:cs="Calibri"/>
        </w:rPr>
        <w:t xml:space="preserve"> of the New Reform. </w:t>
      </w:r>
      <w:r w:rsidRPr="005F0BE0">
        <w:rPr>
          <w:rFonts w:cs="Calibri"/>
          <w:i/>
          <w:iCs/>
        </w:rPr>
        <w:t>Harvard Educational Review</w:t>
      </w:r>
      <w:r w:rsidRPr="005F0BE0">
        <w:rPr>
          <w:rFonts w:cs="Calibri"/>
        </w:rPr>
        <w:t xml:space="preserve">, </w:t>
      </w:r>
      <w:r w:rsidRPr="005F0BE0">
        <w:rPr>
          <w:rFonts w:cs="Calibri"/>
          <w:i/>
          <w:iCs/>
        </w:rPr>
        <w:t>57</w:t>
      </w:r>
      <w:r w:rsidRPr="005F0BE0">
        <w:rPr>
          <w:rFonts w:cs="Calibri"/>
        </w:rPr>
        <w:t>(1), 1–23. https://doi.org/10.17763/haer.57.1.j463w79r56455411</w:t>
      </w:r>
    </w:p>
    <w:p w14:paraId="12013C69" w14:textId="77777777" w:rsidR="005F0BE0" w:rsidRPr="005F0BE0" w:rsidRDefault="005F0BE0" w:rsidP="005F0BE0">
      <w:pPr>
        <w:pStyle w:val="Literaturverzeichnis"/>
        <w:rPr>
          <w:rFonts w:cs="Calibri"/>
        </w:rPr>
      </w:pPr>
      <w:proofErr w:type="spellStart"/>
      <w:r w:rsidRPr="005F0BE0">
        <w:rPr>
          <w:rFonts w:cs="Calibri"/>
        </w:rPr>
        <w:t>Tobii</w:t>
      </w:r>
      <w:proofErr w:type="spellEnd"/>
      <w:r w:rsidRPr="005F0BE0">
        <w:rPr>
          <w:rFonts w:cs="Calibri"/>
        </w:rPr>
        <w:t xml:space="preserve"> AB. (2024). </w:t>
      </w:r>
      <w:proofErr w:type="spellStart"/>
      <w:r w:rsidRPr="005F0BE0">
        <w:rPr>
          <w:rFonts w:cs="Calibri"/>
          <w:i/>
          <w:iCs/>
        </w:rPr>
        <w:t>Tobii</w:t>
      </w:r>
      <w:proofErr w:type="spellEnd"/>
      <w:r w:rsidRPr="005F0BE0">
        <w:rPr>
          <w:rFonts w:cs="Calibri"/>
          <w:i/>
          <w:iCs/>
        </w:rPr>
        <w:t xml:space="preserve"> Pro Lab User Manual v 24.21</w:t>
      </w:r>
      <w:r w:rsidRPr="005F0BE0">
        <w:rPr>
          <w:rFonts w:cs="Calibri"/>
        </w:rPr>
        <w:t>. https://go.tobii.com/tobii_pro_lab_user_manual</w:t>
      </w:r>
    </w:p>
    <w:p w14:paraId="547742F6" w14:textId="77777777" w:rsidR="005F0BE0" w:rsidRPr="005F0BE0" w:rsidRDefault="005F0BE0" w:rsidP="005F0BE0">
      <w:pPr>
        <w:pStyle w:val="Literaturverzeichnis"/>
        <w:rPr>
          <w:rFonts w:cs="Calibri"/>
          <w:lang w:val="de-DE"/>
        </w:rPr>
      </w:pPr>
      <w:r w:rsidRPr="005F0BE0">
        <w:rPr>
          <w:rFonts w:cs="Calibri"/>
          <w:lang w:val="de-DE"/>
        </w:rPr>
        <w:t xml:space="preserve">Van Den </w:t>
      </w:r>
      <w:proofErr w:type="spellStart"/>
      <w:r w:rsidRPr="005F0BE0">
        <w:rPr>
          <w:rFonts w:cs="Calibri"/>
          <w:lang w:val="de-DE"/>
        </w:rPr>
        <w:t>Bogert</w:t>
      </w:r>
      <w:proofErr w:type="spellEnd"/>
      <w:r w:rsidRPr="005F0BE0">
        <w:rPr>
          <w:rFonts w:cs="Calibri"/>
          <w:lang w:val="de-DE"/>
        </w:rPr>
        <w:t xml:space="preserve">, N., Van Bruggen, J., </w:t>
      </w:r>
      <w:proofErr w:type="spellStart"/>
      <w:r w:rsidRPr="005F0BE0">
        <w:rPr>
          <w:rFonts w:cs="Calibri"/>
          <w:lang w:val="de-DE"/>
        </w:rPr>
        <w:t>Kostons</w:t>
      </w:r>
      <w:proofErr w:type="spellEnd"/>
      <w:r w:rsidRPr="005F0BE0">
        <w:rPr>
          <w:rFonts w:cs="Calibri"/>
          <w:lang w:val="de-DE"/>
        </w:rPr>
        <w:t xml:space="preserve">, D., &amp; Jochems, W. (2014). </w:t>
      </w:r>
      <w:r w:rsidRPr="005F0BE0">
        <w:rPr>
          <w:rFonts w:cs="Calibri"/>
        </w:rPr>
        <w:t xml:space="preserve">First steps into understanding teachers’ visual perception of classroom events. </w:t>
      </w:r>
      <w:r w:rsidRPr="005F0BE0">
        <w:rPr>
          <w:rFonts w:cs="Calibri"/>
          <w:i/>
          <w:iCs/>
          <w:lang w:val="de-DE"/>
        </w:rPr>
        <w:t>Teaching and Teacher Education</w:t>
      </w:r>
      <w:r w:rsidRPr="005F0BE0">
        <w:rPr>
          <w:rFonts w:cs="Calibri"/>
          <w:lang w:val="de-DE"/>
        </w:rPr>
        <w:t xml:space="preserve">, </w:t>
      </w:r>
      <w:r w:rsidRPr="005F0BE0">
        <w:rPr>
          <w:rFonts w:cs="Calibri"/>
          <w:i/>
          <w:iCs/>
          <w:lang w:val="de-DE"/>
        </w:rPr>
        <w:t>37</w:t>
      </w:r>
      <w:r w:rsidRPr="005F0BE0">
        <w:rPr>
          <w:rFonts w:cs="Calibri"/>
          <w:lang w:val="de-DE"/>
        </w:rPr>
        <w:t>, 208–216. https://doi.org/10.1016/j.tate.2013.09.001</w:t>
      </w:r>
    </w:p>
    <w:p w14:paraId="7E50C7C2" w14:textId="77777777" w:rsidR="005F0BE0" w:rsidRPr="005F0BE0" w:rsidRDefault="005F0BE0" w:rsidP="005F0BE0">
      <w:pPr>
        <w:pStyle w:val="Literaturverzeichnis"/>
        <w:rPr>
          <w:rFonts w:cs="Calibri"/>
          <w:lang w:val="de-DE"/>
        </w:rPr>
      </w:pPr>
      <w:r w:rsidRPr="005F0BE0">
        <w:rPr>
          <w:rFonts w:cs="Calibri"/>
          <w:lang w:val="de-DE"/>
        </w:rPr>
        <w:lastRenderedPageBreak/>
        <w:t xml:space="preserve">Voss, T., Kunter, M., Seiz, J., </w:t>
      </w:r>
      <w:proofErr w:type="spellStart"/>
      <w:r w:rsidRPr="005F0BE0">
        <w:rPr>
          <w:rFonts w:cs="Calibri"/>
          <w:lang w:val="de-DE"/>
        </w:rPr>
        <w:t>Hoehne</w:t>
      </w:r>
      <w:proofErr w:type="spellEnd"/>
      <w:r w:rsidRPr="005F0BE0">
        <w:rPr>
          <w:rFonts w:cs="Calibri"/>
          <w:lang w:val="de-DE"/>
        </w:rPr>
        <w:t xml:space="preserve">, V., &amp; Baumert, J. (2014). Die Bedeutung des pädagogisch-psychologischen Wissens von angehenden Lehrkräften für die Unterrichtsqualität. </w:t>
      </w:r>
      <w:r w:rsidRPr="005F0BE0">
        <w:rPr>
          <w:rFonts w:cs="Calibri"/>
          <w:i/>
          <w:iCs/>
          <w:lang w:val="de-DE"/>
        </w:rPr>
        <w:t>Zeitschrift für Pädagogik</w:t>
      </w:r>
      <w:r w:rsidRPr="005F0BE0">
        <w:rPr>
          <w:rFonts w:cs="Calibri"/>
          <w:lang w:val="de-DE"/>
        </w:rPr>
        <w:t xml:space="preserve">, </w:t>
      </w:r>
      <w:r w:rsidRPr="005F0BE0">
        <w:rPr>
          <w:rFonts w:cs="Calibri"/>
          <w:i/>
          <w:iCs/>
          <w:lang w:val="de-DE"/>
        </w:rPr>
        <w:t>60</w:t>
      </w:r>
      <w:r w:rsidRPr="005F0BE0">
        <w:rPr>
          <w:rFonts w:cs="Calibri"/>
          <w:lang w:val="de-DE"/>
        </w:rPr>
        <w:t>(2), 184–201.</w:t>
      </w:r>
    </w:p>
    <w:p w14:paraId="7C0C48FF" w14:textId="77777777" w:rsidR="005F0BE0" w:rsidRPr="005F0BE0" w:rsidRDefault="005F0BE0" w:rsidP="005F0BE0">
      <w:pPr>
        <w:pStyle w:val="Literaturverzeichnis"/>
        <w:rPr>
          <w:rFonts w:cs="Calibri"/>
        </w:rPr>
      </w:pPr>
      <w:proofErr w:type="spellStart"/>
      <w:r w:rsidRPr="005F0BE0">
        <w:rPr>
          <w:rFonts w:cs="Calibri"/>
          <w:lang w:val="de-DE"/>
        </w:rPr>
        <w:t>Wickham</w:t>
      </w:r>
      <w:proofErr w:type="spellEnd"/>
      <w:r w:rsidRPr="005F0BE0">
        <w:rPr>
          <w:rFonts w:cs="Calibri"/>
          <w:lang w:val="de-DE"/>
        </w:rPr>
        <w:t xml:space="preserve">, H. (2016). </w:t>
      </w:r>
      <w:r w:rsidRPr="005F0BE0">
        <w:rPr>
          <w:rFonts w:cs="Calibri"/>
          <w:i/>
          <w:iCs/>
          <w:lang w:val="de-DE"/>
        </w:rPr>
        <w:t xml:space="preserve">ggplot2: Elegant Graphics </w:t>
      </w:r>
      <w:proofErr w:type="spellStart"/>
      <w:r w:rsidRPr="005F0BE0">
        <w:rPr>
          <w:rFonts w:cs="Calibri"/>
          <w:i/>
          <w:iCs/>
          <w:lang w:val="de-DE"/>
        </w:rPr>
        <w:t>for</w:t>
      </w:r>
      <w:proofErr w:type="spellEnd"/>
      <w:r w:rsidRPr="005F0BE0">
        <w:rPr>
          <w:rFonts w:cs="Calibri"/>
          <w:i/>
          <w:iCs/>
          <w:lang w:val="de-DE"/>
        </w:rPr>
        <w:t xml:space="preserve"> Data Analysis</w:t>
      </w:r>
      <w:r w:rsidRPr="005F0BE0">
        <w:rPr>
          <w:rFonts w:cs="Calibri"/>
          <w:lang w:val="de-DE"/>
        </w:rPr>
        <w:t xml:space="preserve">. </w:t>
      </w:r>
      <w:r w:rsidRPr="005F0BE0">
        <w:rPr>
          <w:rFonts w:cs="Calibri"/>
        </w:rPr>
        <w:t>Springer-Verlag New York. https://doi.org/10.1007/978-0-387-98141-3</w:t>
      </w:r>
    </w:p>
    <w:p w14:paraId="7E5951A6" w14:textId="77777777" w:rsidR="005F0BE0" w:rsidRPr="005F0BE0" w:rsidRDefault="005F0BE0" w:rsidP="005F0BE0">
      <w:pPr>
        <w:pStyle w:val="Literaturverzeichnis"/>
        <w:rPr>
          <w:rFonts w:cs="Calibri"/>
        </w:rPr>
      </w:pPr>
      <w:r w:rsidRPr="005F0BE0">
        <w:rPr>
          <w:rFonts w:cs="Calibri"/>
        </w:rPr>
        <w:t xml:space="preserve">Wolff, C. E., </w:t>
      </w:r>
      <w:proofErr w:type="spellStart"/>
      <w:r w:rsidRPr="005F0BE0">
        <w:rPr>
          <w:rFonts w:cs="Calibri"/>
        </w:rPr>
        <w:t>Jarodzka</w:t>
      </w:r>
      <w:proofErr w:type="spellEnd"/>
      <w:r w:rsidRPr="005F0BE0">
        <w:rPr>
          <w:rFonts w:cs="Calibri"/>
        </w:rPr>
        <w:t xml:space="preserve">, H., &amp; </w:t>
      </w:r>
      <w:proofErr w:type="spellStart"/>
      <w:r w:rsidRPr="005F0BE0">
        <w:rPr>
          <w:rFonts w:cs="Calibri"/>
        </w:rPr>
        <w:t>Boshuizen</w:t>
      </w:r>
      <w:proofErr w:type="spellEnd"/>
      <w:r w:rsidRPr="005F0BE0">
        <w:rPr>
          <w:rFonts w:cs="Calibri"/>
        </w:rPr>
        <w:t xml:space="preserve">, H. P. A. (2017). See and tell: Differences between expert and novice teachers’ interpretations of problematic classroom management events. </w:t>
      </w:r>
      <w:r w:rsidRPr="005F0BE0">
        <w:rPr>
          <w:rFonts w:cs="Calibri"/>
          <w:i/>
          <w:iCs/>
        </w:rPr>
        <w:t>Teaching and Teacher Education</w:t>
      </w:r>
      <w:r w:rsidRPr="005F0BE0">
        <w:rPr>
          <w:rFonts w:cs="Calibri"/>
        </w:rPr>
        <w:t xml:space="preserve">, </w:t>
      </w:r>
      <w:r w:rsidRPr="005F0BE0">
        <w:rPr>
          <w:rFonts w:cs="Calibri"/>
          <w:i/>
          <w:iCs/>
        </w:rPr>
        <w:t>66</w:t>
      </w:r>
      <w:r w:rsidRPr="005F0BE0">
        <w:rPr>
          <w:rFonts w:cs="Calibri"/>
        </w:rPr>
        <w:t>, 295–308. https://doi.org/10.1016/j.tate.2017.04.015</w:t>
      </w:r>
    </w:p>
    <w:p w14:paraId="439E469D" w14:textId="77777777" w:rsidR="005F0BE0" w:rsidRPr="005F0BE0" w:rsidRDefault="005F0BE0" w:rsidP="005F0BE0">
      <w:pPr>
        <w:pStyle w:val="Literaturverzeichnis"/>
        <w:rPr>
          <w:rFonts w:cs="Calibri"/>
          <w:lang w:val="de-DE"/>
        </w:rPr>
      </w:pPr>
      <w:r w:rsidRPr="005F0BE0">
        <w:rPr>
          <w:rFonts w:cs="Calibri"/>
        </w:rPr>
        <w:t xml:space="preserve">Wolff, C. E., </w:t>
      </w:r>
      <w:proofErr w:type="spellStart"/>
      <w:r w:rsidRPr="005F0BE0">
        <w:rPr>
          <w:rFonts w:cs="Calibri"/>
        </w:rPr>
        <w:t>Jarodzka</w:t>
      </w:r>
      <w:proofErr w:type="spellEnd"/>
      <w:r w:rsidRPr="005F0BE0">
        <w:rPr>
          <w:rFonts w:cs="Calibri"/>
        </w:rPr>
        <w:t xml:space="preserve">, H., &amp; </w:t>
      </w:r>
      <w:proofErr w:type="spellStart"/>
      <w:r w:rsidRPr="005F0BE0">
        <w:rPr>
          <w:rFonts w:cs="Calibri"/>
        </w:rPr>
        <w:t>Boshuizen</w:t>
      </w:r>
      <w:proofErr w:type="spellEnd"/>
      <w:r w:rsidRPr="005F0BE0">
        <w:rPr>
          <w:rFonts w:cs="Calibri"/>
        </w:rPr>
        <w:t xml:space="preserve">, H. P. A. (2021). Classroom management scripts: A theoretical model contrasting expert and novice teachers’ knowledge and awareness of classroom events. </w:t>
      </w:r>
      <w:r w:rsidRPr="005F0BE0">
        <w:rPr>
          <w:rFonts w:cs="Calibri"/>
          <w:i/>
          <w:iCs/>
          <w:lang w:val="de-DE"/>
        </w:rPr>
        <w:t xml:space="preserve">Educational </w:t>
      </w:r>
      <w:proofErr w:type="spellStart"/>
      <w:r w:rsidRPr="005F0BE0">
        <w:rPr>
          <w:rFonts w:cs="Calibri"/>
          <w:i/>
          <w:iCs/>
          <w:lang w:val="de-DE"/>
        </w:rPr>
        <w:t>Psychology</w:t>
      </w:r>
      <w:proofErr w:type="spellEnd"/>
      <w:r w:rsidRPr="005F0BE0">
        <w:rPr>
          <w:rFonts w:cs="Calibri"/>
          <w:i/>
          <w:iCs/>
          <w:lang w:val="de-DE"/>
        </w:rPr>
        <w:t xml:space="preserve"> Review</w:t>
      </w:r>
      <w:r w:rsidRPr="005F0BE0">
        <w:rPr>
          <w:rFonts w:cs="Calibri"/>
          <w:lang w:val="de-DE"/>
        </w:rPr>
        <w:t xml:space="preserve">, </w:t>
      </w:r>
      <w:r w:rsidRPr="005F0BE0">
        <w:rPr>
          <w:rFonts w:cs="Calibri"/>
          <w:i/>
          <w:iCs/>
          <w:lang w:val="de-DE"/>
        </w:rPr>
        <w:t>33</w:t>
      </w:r>
      <w:r w:rsidRPr="005F0BE0">
        <w:rPr>
          <w:rFonts w:cs="Calibri"/>
          <w:lang w:val="de-DE"/>
        </w:rPr>
        <w:t>(1), 131–148. https://doi.org/10.1007/s10648-020-09542-0</w:t>
      </w:r>
    </w:p>
    <w:p w14:paraId="2A07D1DF" w14:textId="77777777" w:rsidR="005F0BE0" w:rsidRPr="005F0BE0" w:rsidRDefault="005F0BE0" w:rsidP="005F0BE0">
      <w:pPr>
        <w:pStyle w:val="Literaturverzeichnis"/>
        <w:rPr>
          <w:rFonts w:cs="Calibri"/>
          <w:lang w:val="de-DE"/>
        </w:rPr>
      </w:pPr>
      <w:r w:rsidRPr="005F0BE0">
        <w:rPr>
          <w:rFonts w:cs="Calibri"/>
          <w:lang w:val="de-DE"/>
        </w:rPr>
        <w:t xml:space="preserve">Zierer, K. (2015). </w:t>
      </w:r>
      <w:r w:rsidRPr="005F0BE0">
        <w:rPr>
          <w:rFonts w:cs="Calibri"/>
          <w:i/>
          <w:iCs/>
          <w:lang w:val="de-DE"/>
        </w:rPr>
        <w:t>Jahrbuch für Allgemeine Didaktik 2015: Thementeil: Klassenmanagement / Klassenführung - Perspektiven, Befunde, Kontroversen</w:t>
      </w:r>
      <w:r w:rsidRPr="005F0BE0">
        <w:rPr>
          <w:rFonts w:cs="Calibri"/>
          <w:lang w:val="de-DE"/>
        </w:rPr>
        <w:t xml:space="preserve">. </w:t>
      </w:r>
      <w:proofErr w:type="spellStart"/>
      <w:r w:rsidRPr="005F0BE0">
        <w:rPr>
          <w:rFonts w:cs="Calibri"/>
          <w:lang w:val="de-DE"/>
        </w:rPr>
        <w:t>wbv</w:t>
      </w:r>
      <w:proofErr w:type="spellEnd"/>
      <w:r w:rsidRPr="005F0BE0">
        <w:rPr>
          <w:rFonts w:cs="Calibri"/>
          <w:lang w:val="de-DE"/>
        </w:rPr>
        <w:t xml:space="preserve"> Media GmbH &amp; Company KG.</w:t>
      </w:r>
    </w:p>
    <w:p w14:paraId="4CCAF52A" w14:textId="487FCE16"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3-25T11:37:00Z" w:initials="MK">
    <w:p w14:paraId="11DE2606" w14:textId="0ED88526" w:rsidR="00F909D3" w:rsidRPr="00F909D3" w:rsidRDefault="00F909D3">
      <w:pPr>
        <w:pStyle w:val="Kommentartext"/>
        <w:rPr>
          <w:lang w:val="de-DE"/>
        </w:rPr>
      </w:pPr>
      <w:r>
        <w:rPr>
          <w:rStyle w:val="Kommentarzeichen"/>
        </w:rPr>
        <w:annotationRef/>
      </w:r>
      <w:r w:rsidRPr="00F909D3">
        <w:rPr>
          <w:lang w:val="de-DE"/>
        </w:rPr>
        <w:t>Ich weiß nicht, ob d</w:t>
      </w:r>
      <w:r>
        <w:rPr>
          <w:lang w:val="de-DE"/>
        </w:rPr>
        <w:t xml:space="preserve">as überhaupt wichtig ist. Ich habe es mit aufgenommen, um </w:t>
      </w:r>
      <w:r w:rsidR="00C60580">
        <w:rPr>
          <w:lang w:val="de-DE"/>
        </w:rPr>
        <w:t xml:space="preserve">bereits einen Bezug </w:t>
      </w:r>
      <w:r w:rsidR="009B6C83">
        <w:rPr>
          <w:lang w:val="de-DE"/>
        </w:rPr>
        <w:t xml:space="preserve">zu </w:t>
      </w:r>
      <w:r>
        <w:rPr>
          <w:lang w:val="de-DE"/>
        </w:rPr>
        <w:t>unsere</w:t>
      </w:r>
      <w:r w:rsidR="00C60580">
        <w:rPr>
          <w:lang w:val="de-DE"/>
        </w:rPr>
        <w:t>n</w:t>
      </w:r>
      <w:r>
        <w:rPr>
          <w:lang w:val="de-DE"/>
        </w:rPr>
        <w:t xml:space="preserve"> Ratingskalen </w:t>
      </w:r>
      <w:r w:rsidR="00C60580">
        <w:rPr>
          <w:lang w:val="de-DE"/>
        </w:rPr>
        <w:t>zu haben, die ja auf die subjektive</w:t>
      </w:r>
      <w:r w:rsidR="0061787C">
        <w:rPr>
          <w:lang w:val="de-DE"/>
        </w:rPr>
        <w:t xml:space="preserve"> Selbsteinschätzung und</w:t>
      </w:r>
      <w:r w:rsidR="00C60580">
        <w:rPr>
          <w:lang w:val="de-DE"/>
        </w:rPr>
        <w:t xml:space="preserve"> </w:t>
      </w:r>
      <w:r w:rsidR="0061787C">
        <w:rPr>
          <w:lang w:val="de-DE"/>
        </w:rPr>
        <w:t xml:space="preserve">-erfassung </w:t>
      </w:r>
      <w:r w:rsidR="004D23EA">
        <w:rPr>
          <w:lang w:val="de-DE"/>
        </w:rPr>
        <w:t xml:space="preserve">der </w:t>
      </w:r>
      <w:proofErr w:type="spellStart"/>
      <w:r w:rsidR="004D23EA">
        <w:rPr>
          <w:lang w:val="de-DE"/>
        </w:rPr>
        <w:t>Disruptiveness</w:t>
      </w:r>
      <w:proofErr w:type="spellEnd"/>
      <w:r w:rsidR="004D23EA">
        <w:rPr>
          <w:lang w:val="de-DE"/>
        </w:rPr>
        <w:t xml:space="preserve"> </w:t>
      </w:r>
      <w:r w:rsidR="0061787C">
        <w:rPr>
          <w:lang w:val="de-DE"/>
        </w:rPr>
        <w:t>von Störungen abzielen…</w:t>
      </w:r>
    </w:p>
  </w:comment>
  <w:comment w:id="1" w:author="Deiglmayr, Anne" w:date="2025-03-17T09:07:00Z" w:initials="DA">
    <w:p w14:paraId="5D3565BB" w14:textId="78608731" w:rsidR="008A0AF7" w:rsidRPr="008A0AF7" w:rsidRDefault="008A0AF7">
      <w:pPr>
        <w:pStyle w:val="Kommentartext"/>
        <w:rPr>
          <w:lang w:val="de-DE"/>
        </w:rPr>
      </w:pPr>
      <w:r>
        <w:rPr>
          <w:rStyle w:val="Kommentarzeichen"/>
        </w:rPr>
        <w:annotationRef/>
      </w:r>
      <w:r w:rsidRPr="008A0AF7">
        <w:rPr>
          <w:lang w:val="de-DE"/>
        </w:rPr>
        <w:t>Kannst du diesen Abschnitt g</w:t>
      </w:r>
      <w:r>
        <w:rPr>
          <w:lang w:val="de-DE"/>
        </w:rPr>
        <w:t xml:space="preserve">gf. auch an den drei „Säulen“ in Fig 1 orientieren? </w:t>
      </w:r>
      <w:r w:rsidRPr="008A0AF7">
        <w:rPr>
          <w:lang w:val="de-DE"/>
        </w:rPr>
        <w:t xml:space="preserve">Also: </w:t>
      </w:r>
      <w:proofErr w:type="spellStart"/>
      <w:r w:rsidRPr="008A0AF7">
        <w:rPr>
          <w:lang w:val="de-DE"/>
        </w:rPr>
        <w:t>differences</w:t>
      </w:r>
      <w:proofErr w:type="spellEnd"/>
      <w:r w:rsidRPr="008A0AF7">
        <w:rPr>
          <w:lang w:val="de-DE"/>
        </w:rPr>
        <w:t xml:space="preserve"> in </w:t>
      </w:r>
      <w:proofErr w:type="spellStart"/>
      <w:r>
        <w:rPr>
          <w:lang w:val="de-DE"/>
        </w:rPr>
        <w:t>k</w:t>
      </w:r>
      <w:r w:rsidRPr="008A0AF7">
        <w:rPr>
          <w:lang w:val="de-DE"/>
        </w:rPr>
        <w:t>nowledge</w:t>
      </w:r>
      <w:proofErr w:type="spellEnd"/>
      <w:r w:rsidRPr="008A0AF7">
        <w:rPr>
          <w:lang w:val="de-DE"/>
        </w:rPr>
        <w:t xml:space="preserve">, </w:t>
      </w:r>
      <w:proofErr w:type="spellStart"/>
      <w:r w:rsidRPr="008A0AF7">
        <w:rPr>
          <w:lang w:val="de-DE"/>
        </w:rPr>
        <w:t>differences</w:t>
      </w:r>
      <w:proofErr w:type="spellEnd"/>
      <w:r w:rsidRPr="008A0AF7">
        <w:rPr>
          <w:lang w:val="de-DE"/>
        </w:rPr>
        <w:t xml:space="preserve"> in professional Vision, </w:t>
      </w:r>
      <w:proofErr w:type="spellStart"/>
      <w:r w:rsidRPr="008A0AF7">
        <w:rPr>
          <w:lang w:val="de-DE"/>
        </w:rPr>
        <w:t>differences</w:t>
      </w:r>
      <w:proofErr w:type="spellEnd"/>
      <w:r w:rsidRPr="008A0AF7">
        <w:rPr>
          <w:lang w:val="de-DE"/>
        </w:rPr>
        <w:t xml:space="preserve"> in observable </w:t>
      </w:r>
      <w:proofErr w:type="spellStart"/>
      <w:r w:rsidRPr="008A0AF7">
        <w:rPr>
          <w:lang w:val="de-DE"/>
        </w:rPr>
        <w:t>beha</w:t>
      </w:r>
      <w:r>
        <w:rPr>
          <w:lang w:val="de-DE"/>
        </w:rPr>
        <w:t>v</w:t>
      </w:r>
      <w:r w:rsidRPr="008A0AF7">
        <w:rPr>
          <w:lang w:val="de-DE"/>
        </w:rPr>
        <w:t>iour</w:t>
      </w:r>
      <w:proofErr w:type="spellEnd"/>
      <w:r w:rsidRPr="008A0AF7">
        <w:rPr>
          <w:lang w:val="de-DE"/>
        </w:rPr>
        <w:t xml:space="preserve"> (nicht zwingend in diese Reihenfolge, aber mi</w:t>
      </w:r>
      <w:r>
        <w:rPr>
          <w:lang w:val="de-DE"/>
        </w:rPr>
        <w:t>t klarem Bezug zu oben)</w:t>
      </w:r>
    </w:p>
  </w:comment>
  <w:comment w:id="2" w:author="Deiglmayr, Anne" w:date="2025-03-17T09:10:00Z" w:initials="DA">
    <w:p w14:paraId="4B8D0C3F" w14:textId="2B7DE8F4" w:rsidR="008A0AF7" w:rsidRPr="008A0AF7" w:rsidRDefault="008A0AF7">
      <w:pPr>
        <w:pStyle w:val="Kommentartext"/>
        <w:rPr>
          <w:lang w:val="de-DE"/>
        </w:rPr>
      </w:pPr>
      <w:r>
        <w:rPr>
          <w:rStyle w:val="Kommentarzeichen"/>
        </w:rPr>
        <w:annotationRef/>
      </w:r>
      <w:r w:rsidRPr="008A0AF7">
        <w:rPr>
          <w:lang w:val="de-DE"/>
        </w:rPr>
        <w:t>Ggf. Kannst du auch a</w:t>
      </w:r>
      <w:r>
        <w:rPr>
          <w:lang w:val="de-DE"/>
        </w:rPr>
        <w:t>uf die anderen beiden „Säulen“ (</w:t>
      </w:r>
      <w:proofErr w:type="spellStart"/>
      <w:r>
        <w:rPr>
          <w:lang w:val="de-DE"/>
        </w:rPr>
        <w:t>knowledge</w:t>
      </w:r>
      <w:proofErr w:type="spellEnd"/>
      <w:r>
        <w:rPr>
          <w:lang w:val="de-DE"/>
        </w:rPr>
        <w:t xml:space="preserve">; observable </w:t>
      </w:r>
      <w:proofErr w:type="spellStart"/>
      <w:r>
        <w:rPr>
          <w:lang w:val="de-DE"/>
        </w:rPr>
        <w:t>behaviour</w:t>
      </w:r>
      <w:proofErr w:type="spellEnd"/>
      <w:r>
        <w:rPr>
          <w:lang w:val="de-DE"/>
        </w:rPr>
        <w:t xml:space="preserve">) eingehen und etwas zu deren </w:t>
      </w:r>
      <w:proofErr w:type="spellStart"/>
      <w:r>
        <w:rPr>
          <w:lang w:val="de-DE"/>
        </w:rPr>
        <w:t>assessment</w:t>
      </w:r>
      <w:proofErr w:type="spellEnd"/>
      <w:r>
        <w:rPr>
          <w:lang w:val="de-DE"/>
        </w:rPr>
        <w:t xml:space="preserve"> sagen? Zumindest zum Assessment des CM </w:t>
      </w:r>
      <w:proofErr w:type="spellStart"/>
      <w:r>
        <w:rPr>
          <w:lang w:val="de-DE"/>
        </w:rPr>
        <w:t>Kowledge</w:t>
      </w:r>
      <w:proofErr w:type="spellEnd"/>
      <w:r>
        <w:rPr>
          <w:lang w:val="de-DE"/>
        </w:rPr>
        <w:t xml:space="preserve">, denn das </w:t>
      </w:r>
      <w:proofErr w:type="spellStart"/>
      <w:r>
        <w:rPr>
          <w:lang w:val="de-DE"/>
        </w:rPr>
        <w:t>berauchst</w:t>
      </w:r>
      <w:proofErr w:type="spellEnd"/>
      <w:r>
        <w:rPr>
          <w:lang w:val="de-DE"/>
        </w:rPr>
        <w:t xml:space="preserve"> du ja für deine Studie… </w:t>
      </w:r>
    </w:p>
  </w:comment>
  <w:comment w:id="3" w:author="Deiglmayr, Anne" w:date="2025-03-17T09:11:00Z" w:initials="DA">
    <w:p w14:paraId="185E9EB4" w14:textId="2D7C65C8" w:rsidR="008A0AF7" w:rsidRPr="008A0AF7" w:rsidRDefault="008A0AF7">
      <w:pPr>
        <w:pStyle w:val="Kommentartext"/>
        <w:rPr>
          <w:lang w:val="de-DE"/>
        </w:rPr>
      </w:pPr>
      <w:r>
        <w:rPr>
          <w:rStyle w:val="Kommentarzeichen"/>
        </w:rPr>
        <w:annotationRef/>
      </w:r>
      <w:r w:rsidRPr="008A0AF7">
        <w:rPr>
          <w:lang w:val="de-DE"/>
        </w:rPr>
        <w:t xml:space="preserve">Zwei </w:t>
      </w:r>
      <w:proofErr w:type="spellStart"/>
      <w:r w:rsidRPr="008A0AF7">
        <w:rPr>
          <w:lang w:val="de-DE"/>
        </w:rPr>
        <w:t>Möglickeiten</w:t>
      </w:r>
      <w:proofErr w:type="spellEnd"/>
      <w:r w:rsidRPr="008A0AF7">
        <w:rPr>
          <w:lang w:val="de-DE"/>
        </w:rPr>
        <w:t>: Assessment in d</w:t>
      </w:r>
      <w:r>
        <w:rPr>
          <w:lang w:val="de-DE"/>
        </w:rPr>
        <w:t xml:space="preserve">as vorherige Teilkapitel integrieren ODER ein eigenes </w:t>
      </w:r>
      <w:proofErr w:type="spellStart"/>
      <w:r>
        <w:rPr>
          <w:lang w:val="de-DE"/>
        </w:rPr>
        <w:t>Assessing</w:t>
      </w:r>
      <w:proofErr w:type="spellEnd"/>
      <w:r>
        <w:rPr>
          <w:lang w:val="de-DE"/>
        </w:rPr>
        <w:t xml:space="preserve"> cm </w:t>
      </w:r>
      <w:proofErr w:type="spellStart"/>
      <w:r>
        <w:rPr>
          <w:lang w:val="de-DE"/>
        </w:rPr>
        <w:t>competencies</w:t>
      </w:r>
      <w:proofErr w:type="spellEnd"/>
      <w:r>
        <w:rPr>
          <w:lang w:val="de-DE"/>
        </w:rPr>
        <w:t xml:space="preserve"> Teilkapitel, in dem zumindest Knowledge und professional </w:t>
      </w:r>
      <w:proofErr w:type="spellStart"/>
      <w:r>
        <w:rPr>
          <w:lang w:val="de-DE"/>
        </w:rPr>
        <w:t>vision</w:t>
      </w:r>
      <w:proofErr w:type="spellEnd"/>
      <w:r>
        <w:rPr>
          <w:lang w:val="de-DE"/>
        </w:rPr>
        <w:t xml:space="preserve"> abgehandelt werden</w:t>
      </w:r>
    </w:p>
  </w:comment>
  <w:comment w:id="4" w:author="Deiglmayr, Anne" w:date="2025-03-17T09:12:00Z" w:initials="DA">
    <w:p w14:paraId="0CEE4455" w14:textId="5C1C4376" w:rsidR="008A0AF7" w:rsidRPr="008A0AF7" w:rsidRDefault="008A0AF7">
      <w:pPr>
        <w:pStyle w:val="Kommentartext"/>
        <w:rPr>
          <w:lang w:val="de-DE"/>
        </w:rPr>
      </w:pPr>
      <w:r>
        <w:rPr>
          <w:rStyle w:val="Kommentarzeichen"/>
        </w:rPr>
        <w:annotationRef/>
      </w:r>
      <w:r w:rsidRPr="008A0AF7">
        <w:rPr>
          <w:lang w:val="de-DE"/>
        </w:rPr>
        <w:t>Abgrenzung zum vorherigen Teilkapitel w</w:t>
      </w:r>
      <w:r>
        <w:rPr>
          <w:lang w:val="de-DE"/>
        </w:rPr>
        <w:t>ird nicht deutlich genug. Unterkapitel machen? Integrieren?</w:t>
      </w:r>
      <w:r w:rsidR="00B954B5">
        <w:rPr>
          <w:lang w:val="de-DE"/>
        </w:rPr>
        <w:t xml:space="preserve">  Inhaltlich auf jeden Fall sehr wichtig!</w:t>
      </w:r>
    </w:p>
  </w:comment>
  <w:comment w:id="18"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19" w:author="Deiglmayr, Anne" w:date="2025-03-17T08:43:00Z" w:initials="DA">
    <w:p w14:paraId="53F9F15D" w14:textId="55F91A2E" w:rsidR="003A4EEE" w:rsidRPr="003A4EEE" w:rsidRDefault="003A4EEE">
      <w:pPr>
        <w:pStyle w:val="Kommentartext"/>
        <w:rPr>
          <w:lang w:val="de-DE"/>
        </w:rPr>
      </w:pPr>
      <w:r>
        <w:rPr>
          <w:rStyle w:val="Kommentarzeichen"/>
        </w:rPr>
        <w:annotationRef/>
      </w:r>
      <w:r>
        <w:rPr>
          <w:lang w:val="de-DE"/>
        </w:rPr>
        <w:t>Ich wäre auch dafür, Fußnoten möglichst zu vermeiden. N</w:t>
      </w:r>
      <w:r w:rsidRPr="003A4EEE">
        <w:rPr>
          <w:lang w:val="de-DE"/>
        </w:rPr>
        <w:t xml:space="preserve">imm </w:t>
      </w:r>
      <w:r>
        <w:rPr>
          <w:lang w:val="de-DE"/>
        </w:rPr>
        <w:t xml:space="preserve">die Info doch hier in den Fließtext. Zum Word Count zählt sie so oder so </w:t>
      </w:r>
      <w:r w:rsidRPr="003A4EEE">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comment>
  <w:comment w:id="22"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23" w:author="Deiglmayr, Anne" w:date="2025-03-17T08:45:00Z" w:initials="DA">
    <w:p w14:paraId="506E3964" w14:textId="28ACCBFC" w:rsidR="003A4EEE" w:rsidRPr="00AD2C7D" w:rsidRDefault="003A4EEE">
      <w:pPr>
        <w:pStyle w:val="Kommentartext"/>
        <w:rPr>
          <w:lang w:val="de-DE"/>
        </w:rPr>
      </w:pPr>
      <w:r>
        <w:rPr>
          <w:rStyle w:val="Kommentarzeichen"/>
        </w:rPr>
        <w:annotationRef/>
      </w:r>
      <w:r w:rsidRPr="00AD2C7D">
        <w:rPr>
          <w:lang w:val="de-DE"/>
        </w:rPr>
        <w:t>Lass es besser drin</w:t>
      </w:r>
    </w:p>
  </w:comment>
  <w:comment w:id="2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proofErr w:type="gramStart"/>
      <w:r w:rsidR="000C1808">
        <w:rPr>
          <w:lang w:val="de-DE"/>
        </w:rPr>
        <w:t>die Wordings</w:t>
      </w:r>
      <w:proofErr w:type="gramEnd"/>
      <w:r w:rsidR="000C1808">
        <w:rPr>
          <w:lang w:val="de-DE"/>
        </w:rPr>
        <w:t xml:space="preserve"> der Measures benutzen (Disruptiveness / Confidence Rating, usw.)</w:t>
      </w:r>
    </w:p>
  </w:comment>
  <w:comment w:id="25" w:author="Deiglmayr, Anne" w:date="2025-03-17T08:45:00Z" w:initials="DA">
    <w:p w14:paraId="081A3953" w14:textId="188F79BD" w:rsidR="003A4EEE" w:rsidRPr="003A4EEE" w:rsidRDefault="003A4EEE">
      <w:pPr>
        <w:pStyle w:val="Kommentartext"/>
        <w:rPr>
          <w:lang w:val="de-DE"/>
        </w:rPr>
      </w:pPr>
      <w:r>
        <w:rPr>
          <w:rStyle w:val="Kommentarzeichen"/>
        </w:rPr>
        <w:annotationRef/>
      </w:r>
      <w:r w:rsidRPr="003A4EEE">
        <w:rPr>
          <w:lang w:val="de-DE"/>
        </w:rPr>
        <w:t>Ich finde es gut so,</w:t>
      </w:r>
      <w:r>
        <w:rPr>
          <w:lang w:val="de-DE"/>
        </w:rPr>
        <w:t xml:space="preserve"> wie es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E2606" w15:done="0"/>
  <w15:commentEx w15:paraId="5D3565BB" w15:done="0"/>
  <w15:commentEx w15:paraId="4B8D0C3F" w15:done="0"/>
  <w15:commentEx w15:paraId="185E9EB4" w15:paraIdParent="4B8D0C3F" w15:done="0"/>
  <w15:commentEx w15:paraId="0CEE4455" w15:done="0"/>
  <w15:commentEx w15:paraId="7508995E" w15:done="0"/>
  <w15:commentEx w15:paraId="53F9F15D" w15:paraIdParent="7508995E" w15:done="0"/>
  <w15:commentEx w15:paraId="034C75FF" w15:done="0"/>
  <w15:commentEx w15:paraId="506E3964" w15:paraIdParent="034C75FF" w15:done="0"/>
  <w15:commentEx w15:paraId="1133A381" w15:done="0"/>
  <w15:commentEx w15:paraId="081A3953" w15:paraIdParent="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D1408" w16cex:dateUtc="2025-03-25T10:37:00Z"/>
  <w16cex:commentExtensible w16cex:durableId="2B8264ED" w16cex:dateUtc="2025-03-17T08:07:00Z"/>
  <w16cex:commentExtensible w16cex:durableId="2B826576" w16cex:dateUtc="2025-03-17T08:10:00Z"/>
  <w16cex:commentExtensible w16cex:durableId="2B8265C8" w16cex:dateUtc="2025-03-17T08:11:00Z"/>
  <w16cex:commentExtensible w16cex:durableId="2B82660C" w16cex:dateUtc="2025-03-17T08:12:00Z"/>
  <w16cex:commentExtensible w16cex:durableId="2B5A044D" w16cex:dateUtc="2025-02-14T17:05:00Z"/>
  <w16cex:commentExtensible w16cex:durableId="2B825F18" w16cex:dateUtc="2025-03-17T07:43:00Z"/>
  <w16cex:commentExtensible w16cex:durableId="2B5F1A4F" w16cex:dateUtc="2025-02-18T13:40:00Z"/>
  <w16cex:commentExtensible w16cex:durableId="2B825F8E" w16cex:dateUtc="2025-03-17T07:45:00Z"/>
  <w16cex:commentExtensible w16cex:durableId="2B5F1E2D" w16cex:dateUtc="2025-02-18T13:56:00Z"/>
  <w16cex:commentExtensible w16cex:durableId="2B825FB8" w16cex:dateUtc="2025-03-1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E2606" w16cid:durableId="2B8D1408"/>
  <w16cid:commentId w16cid:paraId="5D3565BB" w16cid:durableId="2B8264ED"/>
  <w16cid:commentId w16cid:paraId="4B8D0C3F" w16cid:durableId="2B826576"/>
  <w16cid:commentId w16cid:paraId="185E9EB4" w16cid:durableId="2B8265C8"/>
  <w16cid:commentId w16cid:paraId="0CEE4455" w16cid:durableId="2B82660C"/>
  <w16cid:commentId w16cid:paraId="7508995E" w16cid:durableId="2B5A044D"/>
  <w16cid:commentId w16cid:paraId="53F9F15D" w16cid:durableId="2B825F18"/>
  <w16cid:commentId w16cid:paraId="034C75FF" w16cid:durableId="2B5F1A4F"/>
  <w16cid:commentId w16cid:paraId="506E3964" w16cid:durableId="2B825F8E"/>
  <w16cid:commentId w16cid:paraId="1133A381" w16cid:durableId="2B5F1E2D"/>
  <w16cid:commentId w16cid:paraId="081A3953" w16cid:durableId="2B825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74451" w14:textId="77777777" w:rsidR="00C3078B" w:rsidRDefault="00C3078B" w:rsidP="00E102C3">
      <w:r>
        <w:separator/>
      </w:r>
    </w:p>
    <w:p w14:paraId="4F04B6E2" w14:textId="77777777" w:rsidR="00C3078B" w:rsidRDefault="00C3078B" w:rsidP="00E102C3"/>
  </w:endnote>
  <w:endnote w:type="continuationSeparator" w:id="0">
    <w:p w14:paraId="3BBFF511" w14:textId="77777777" w:rsidR="00C3078B" w:rsidRDefault="00C3078B" w:rsidP="00E102C3">
      <w:r>
        <w:continuationSeparator/>
      </w:r>
    </w:p>
    <w:p w14:paraId="4E295123" w14:textId="77777777" w:rsidR="00C3078B" w:rsidRDefault="00C3078B" w:rsidP="00E102C3"/>
  </w:endnote>
  <w:endnote w:type="continuationNotice" w:id="1">
    <w:p w14:paraId="7082133C" w14:textId="77777777" w:rsidR="00C3078B" w:rsidRDefault="00C307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6ADD" w14:textId="77777777" w:rsidR="00C3078B" w:rsidRDefault="00C3078B" w:rsidP="00E102C3">
      <w:r>
        <w:separator/>
      </w:r>
    </w:p>
    <w:p w14:paraId="2CCB66CB" w14:textId="77777777" w:rsidR="00C3078B" w:rsidRDefault="00C3078B" w:rsidP="00E102C3"/>
  </w:footnote>
  <w:footnote w:type="continuationSeparator" w:id="0">
    <w:p w14:paraId="55AA5835" w14:textId="77777777" w:rsidR="00C3078B" w:rsidRDefault="00C3078B" w:rsidP="00E102C3">
      <w:r>
        <w:continuationSeparator/>
      </w:r>
    </w:p>
    <w:p w14:paraId="0306C9EA" w14:textId="77777777" w:rsidR="00C3078B" w:rsidRDefault="00C3078B" w:rsidP="00E102C3"/>
  </w:footnote>
  <w:footnote w:type="continuationNotice" w:id="1">
    <w:p w14:paraId="6E1C16C5" w14:textId="77777777" w:rsidR="00C3078B" w:rsidRDefault="00C3078B">
      <w:pPr>
        <w:spacing w:line="240" w:lineRule="auto"/>
      </w:pPr>
    </w:p>
  </w:footnote>
  <w:footnote w:id="2">
    <w:p w14:paraId="4C62983B" w14:textId="6C28E9B4" w:rsidR="001007D7" w:rsidRPr="001007D7" w:rsidRDefault="001007D7">
      <w:pPr>
        <w:pStyle w:val="Funotentext"/>
      </w:pPr>
      <w:r>
        <w:rPr>
          <w:rStyle w:val="Funotenzeichen"/>
        </w:rPr>
        <w:footnoteRef/>
      </w:r>
      <w:r>
        <w:t xml:space="preserve"> </w:t>
      </w:r>
      <w:r w:rsidRPr="001007D7">
        <w:rPr>
          <w:rFonts w:ascii="Times New Roman" w:hAnsi="Times New Roman" w:cs="Times New Roman"/>
        </w:rPr>
        <w:t>The present study intentionally excludes aggressive behaviors due to ethical considerations, as simulating or provoking such disruptions would compromise participant safety and well-being.</w:t>
      </w:r>
    </w:p>
  </w:footnote>
  <w:footnote w:id="3">
    <w:p w14:paraId="12F0CD29" w14:textId="2FA60AA8" w:rsidR="00877D19" w:rsidRPr="00877D19" w:rsidRDefault="00877D19">
      <w:pPr>
        <w:pStyle w:val="Funotentext"/>
      </w:pPr>
      <w:r w:rsidRPr="00877D19">
        <w:rPr>
          <w:rStyle w:val="Funotenzeichen"/>
          <w:rFonts w:ascii="Times New Roman" w:hAnsi="Times New Roman" w:cs="Times New Roman"/>
        </w:rPr>
        <w:footnoteRef/>
      </w:r>
      <w:r w:rsidRPr="00877D19">
        <w:rPr>
          <w:rFonts w:ascii="Times New Roman" w:hAnsi="Times New Roman" w:cs="Times New Roman"/>
        </w:rPr>
        <w:t xml:space="preserve"> While proactive strategies are paramount in preventing classroom disruptions</w:t>
      </w:r>
      <w:r>
        <w:rPr>
          <w:rFonts w:ascii="Times New Roman" w:hAnsi="Times New Roman" w:cs="Times New Roman"/>
        </w:rPr>
        <w:t xml:space="preserve"> (</w:t>
      </w:r>
      <w:proofErr w:type="spellStart"/>
      <w:r>
        <w:rPr>
          <w:rFonts w:ascii="Times New Roman" w:hAnsi="Times New Roman" w:cs="Times New Roman"/>
        </w:rPr>
        <w:t>Kounin</w:t>
      </w:r>
      <w:proofErr w:type="spellEnd"/>
      <w:r>
        <w:rPr>
          <w:rFonts w:ascii="Times New Roman" w:hAnsi="Times New Roman" w:cs="Times New Roman"/>
        </w:rPr>
        <w:t xml:space="preserve"> 2006)</w:t>
      </w:r>
      <w:r w:rsidRPr="00877D19">
        <w:rPr>
          <w:rFonts w:ascii="Times New Roman" w:hAnsi="Times New Roman" w:cs="Times New Roman"/>
        </w:rPr>
        <w:t>, this study primarily focuses on reactive strategies due to its design.</w:t>
      </w:r>
      <w:r w:rsidRPr="00877D19">
        <w:t xml:space="preserve"> </w:t>
      </w:r>
    </w:p>
  </w:footnote>
  <w:footnote w:id="4">
    <w:p w14:paraId="4E975C66" w14:textId="455AFF6C"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DD3A5A">
        <w:rPr>
          <w:rFonts w:ascii="Times New Roman" w:hAnsi="Times New Roman" w:cs="Times New Roman"/>
        </w:rPr>
        <w:instrText xml:space="preserve"> ADDIN ZOTERO_ITEM CSL_CITATION {"citationID":"cWPV9vus","properties":{"formattedCitation":"(Tobii AB, 2024)","plainCitation":"(Tobii AB, 2024)","noteIndex":3},"citationItems":[{"id":966,"uris":["http://zotero.org/groups/5349517/items/NEV3K4XP"],"itemData":{"id":966,"type":"webpage","title":"Tobii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w:t>
      </w:r>
      <w:proofErr w:type="spellStart"/>
      <w:r w:rsidRPr="00DD7BBF">
        <w:rPr>
          <w:rFonts w:ascii="Times New Roman" w:hAnsi="Times New Roman" w:cs="Times New Roman"/>
        </w:rPr>
        <w:t>Tobii</w:t>
      </w:r>
      <w:proofErr w:type="spellEnd"/>
      <w:r w:rsidRPr="00DD7BBF">
        <w:rPr>
          <w:rFonts w:ascii="Times New Roman" w:hAnsi="Times New Roman" w:cs="Times New Roman"/>
        </w:rPr>
        <w:t xml:space="preserve"> AB, 2024)</w:t>
      </w:r>
      <w:r w:rsidRPr="00DD7BBF">
        <w:rPr>
          <w:rFonts w:ascii="Times New Roman" w:hAnsi="Times New Roman" w:cs="Times New Roman"/>
        </w:rPr>
        <w:fldChar w:fldCharType="end"/>
      </w:r>
      <w:r w:rsidRPr="00DD7BBF">
        <w:rPr>
          <w:rFonts w:ascii="Times New Roman" w:hAnsi="Times New Roman" w:cs="Times New Roman"/>
        </w:rPr>
        <w:t>.</w:t>
      </w:r>
    </w:p>
  </w:footnote>
  <w:footnote w:id="5">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6">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7">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8">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9">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07930"/>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FE6"/>
    <w:rsid w:val="000475ED"/>
    <w:rsid w:val="00047BB8"/>
    <w:rsid w:val="00047EDD"/>
    <w:rsid w:val="00051337"/>
    <w:rsid w:val="00051BD9"/>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7B0"/>
    <w:rsid w:val="000A6CAF"/>
    <w:rsid w:val="000A7152"/>
    <w:rsid w:val="000A7AF5"/>
    <w:rsid w:val="000A7DA3"/>
    <w:rsid w:val="000B06C9"/>
    <w:rsid w:val="000B2A7A"/>
    <w:rsid w:val="000B3030"/>
    <w:rsid w:val="000B3FB2"/>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7D7"/>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635"/>
    <w:rsid w:val="001437B3"/>
    <w:rsid w:val="00146C9B"/>
    <w:rsid w:val="00147635"/>
    <w:rsid w:val="001504F8"/>
    <w:rsid w:val="0015208A"/>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2C0"/>
    <w:rsid w:val="001C1C88"/>
    <w:rsid w:val="001C2344"/>
    <w:rsid w:val="001C29B0"/>
    <w:rsid w:val="001C4CDF"/>
    <w:rsid w:val="001C554E"/>
    <w:rsid w:val="001C5725"/>
    <w:rsid w:val="001C5E35"/>
    <w:rsid w:val="001C7F49"/>
    <w:rsid w:val="001D00DC"/>
    <w:rsid w:val="001D2472"/>
    <w:rsid w:val="001D3051"/>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E30"/>
    <w:rsid w:val="001E4EFD"/>
    <w:rsid w:val="001E7569"/>
    <w:rsid w:val="001E7830"/>
    <w:rsid w:val="001F0012"/>
    <w:rsid w:val="001F0C2D"/>
    <w:rsid w:val="001F19CB"/>
    <w:rsid w:val="001F1EF2"/>
    <w:rsid w:val="001F2224"/>
    <w:rsid w:val="001F228F"/>
    <w:rsid w:val="001F29E3"/>
    <w:rsid w:val="001F3D80"/>
    <w:rsid w:val="001F4175"/>
    <w:rsid w:val="001F4468"/>
    <w:rsid w:val="001F464C"/>
    <w:rsid w:val="001F468D"/>
    <w:rsid w:val="001F4777"/>
    <w:rsid w:val="001F4788"/>
    <w:rsid w:val="001F4D12"/>
    <w:rsid w:val="001F5086"/>
    <w:rsid w:val="00201437"/>
    <w:rsid w:val="00202B49"/>
    <w:rsid w:val="00203386"/>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5F2C"/>
    <w:rsid w:val="002C6546"/>
    <w:rsid w:val="002D0D46"/>
    <w:rsid w:val="002D1D14"/>
    <w:rsid w:val="002D3CD3"/>
    <w:rsid w:val="002D48DD"/>
    <w:rsid w:val="002D64F1"/>
    <w:rsid w:val="002D6522"/>
    <w:rsid w:val="002D686C"/>
    <w:rsid w:val="002D6E3B"/>
    <w:rsid w:val="002D6EA3"/>
    <w:rsid w:val="002D7DA2"/>
    <w:rsid w:val="002D7E93"/>
    <w:rsid w:val="002E11F7"/>
    <w:rsid w:val="002E187C"/>
    <w:rsid w:val="002E1A0C"/>
    <w:rsid w:val="002E2C54"/>
    <w:rsid w:val="002E4344"/>
    <w:rsid w:val="002E4FFA"/>
    <w:rsid w:val="002E5BA2"/>
    <w:rsid w:val="002E7BCF"/>
    <w:rsid w:val="002F04BB"/>
    <w:rsid w:val="002F04F8"/>
    <w:rsid w:val="002F06C2"/>
    <w:rsid w:val="002F3CAF"/>
    <w:rsid w:val="002F4959"/>
    <w:rsid w:val="002F4C4B"/>
    <w:rsid w:val="002F5057"/>
    <w:rsid w:val="002F590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367E9"/>
    <w:rsid w:val="00340295"/>
    <w:rsid w:val="003409D1"/>
    <w:rsid w:val="00340AE8"/>
    <w:rsid w:val="0034141C"/>
    <w:rsid w:val="0034182B"/>
    <w:rsid w:val="00342C89"/>
    <w:rsid w:val="00343166"/>
    <w:rsid w:val="00343A48"/>
    <w:rsid w:val="00343FFD"/>
    <w:rsid w:val="0034519D"/>
    <w:rsid w:val="00345BD7"/>
    <w:rsid w:val="00345DED"/>
    <w:rsid w:val="00346EDB"/>
    <w:rsid w:val="003474A0"/>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4EEE"/>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5A0"/>
    <w:rsid w:val="00404BA6"/>
    <w:rsid w:val="00404D82"/>
    <w:rsid w:val="0040638D"/>
    <w:rsid w:val="00406F86"/>
    <w:rsid w:val="00406FA2"/>
    <w:rsid w:val="004075B8"/>
    <w:rsid w:val="004079A1"/>
    <w:rsid w:val="00407DA4"/>
    <w:rsid w:val="00410648"/>
    <w:rsid w:val="00411A0D"/>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BCA"/>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07BE8"/>
    <w:rsid w:val="00511E4A"/>
    <w:rsid w:val="0051240B"/>
    <w:rsid w:val="0051346D"/>
    <w:rsid w:val="0051386A"/>
    <w:rsid w:val="00514267"/>
    <w:rsid w:val="00515ACD"/>
    <w:rsid w:val="00515ADE"/>
    <w:rsid w:val="0051642E"/>
    <w:rsid w:val="0051720B"/>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2490"/>
    <w:rsid w:val="005A3907"/>
    <w:rsid w:val="005A3BF3"/>
    <w:rsid w:val="005A47F0"/>
    <w:rsid w:val="005B00BD"/>
    <w:rsid w:val="005B02C8"/>
    <w:rsid w:val="005B18FE"/>
    <w:rsid w:val="005B3278"/>
    <w:rsid w:val="005B5503"/>
    <w:rsid w:val="005B6569"/>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20A"/>
    <w:rsid w:val="005D6A6A"/>
    <w:rsid w:val="005D7557"/>
    <w:rsid w:val="005E0AE4"/>
    <w:rsid w:val="005E1B48"/>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2EA0"/>
    <w:rsid w:val="006548DC"/>
    <w:rsid w:val="00654F93"/>
    <w:rsid w:val="00655787"/>
    <w:rsid w:val="00656901"/>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676AA"/>
    <w:rsid w:val="00670E5C"/>
    <w:rsid w:val="00671016"/>
    <w:rsid w:val="00672324"/>
    <w:rsid w:val="00672C2A"/>
    <w:rsid w:val="0067309C"/>
    <w:rsid w:val="00674056"/>
    <w:rsid w:val="006742D5"/>
    <w:rsid w:val="00674BAE"/>
    <w:rsid w:val="006750D0"/>
    <w:rsid w:val="006751D3"/>
    <w:rsid w:val="006766A0"/>
    <w:rsid w:val="00677073"/>
    <w:rsid w:val="006772CF"/>
    <w:rsid w:val="00680551"/>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88D"/>
    <w:rsid w:val="008916F5"/>
    <w:rsid w:val="00891762"/>
    <w:rsid w:val="00892681"/>
    <w:rsid w:val="00893B31"/>
    <w:rsid w:val="00893C22"/>
    <w:rsid w:val="008942F5"/>
    <w:rsid w:val="00895D90"/>
    <w:rsid w:val="008A02EA"/>
    <w:rsid w:val="008A0AF7"/>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30C"/>
    <w:rsid w:val="00936648"/>
    <w:rsid w:val="0093709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879"/>
    <w:rsid w:val="00997A8E"/>
    <w:rsid w:val="00997BEE"/>
    <w:rsid w:val="009A0C38"/>
    <w:rsid w:val="009A4E8F"/>
    <w:rsid w:val="009A7A08"/>
    <w:rsid w:val="009B1774"/>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62E6"/>
    <w:rsid w:val="009C65F9"/>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5CB"/>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39B"/>
    <w:rsid w:val="00A24476"/>
    <w:rsid w:val="00A2496F"/>
    <w:rsid w:val="00A24A9C"/>
    <w:rsid w:val="00A24E10"/>
    <w:rsid w:val="00A24F39"/>
    <w:rsid w:val="00A25CAE"/>
    <w:rsid w:val="00A2737B"/>
    <w:rsid w:val="00A30A68"/>
    <w:rsid w:val="00A30B7C"/>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3864"/>
    <w:rsid w:val="00B042AF"/>
    <w:rsid w:val="00B04A88"/>
    <w:rsid w:val="00B05BD7"/>
    <w:rsid w:val="00B066BA"/>
    <w:rsid w:val="00B07AB1"/>
    <w:rsid w:val="00B07B7E"/>
    <w:rsid w:val="00B07BDE"/>
    <w:rsid w:val="00B11696"/>
    <w:rsid w:val="00B13024"/>
    <w:rsid w:val="00B13488"/>
    <w:rsid w:val="00B13C79"/>
    <w:rsid w:val="00B1462F"/>
    <w:rsid w:val="00B151C0"/>
    <w:rsid w:val="00B15926"/>
    <w:rsid w:val="00B15AB5"/>
    <w:rsid w:val="00B15BD1"/>
    <w:rsid w:val="00B16D06"/>
    <w:rsid w:val="00B21ECB"/>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19F"/>
    <w:rsid w:val="00B50BCD"/>
    <w:rsid w:val="00B518F6"/>
    <w:rsid w:val="00B51FFE"/>
    <w:rsid w:val="00B52B21"/>
    <w:rsid w:val="00B531FA"/>
    <w:rsid w:val="00B53C8C"/>
    <w:rsid w:val="00B5444D"/>
    <w:rsid w:val="00B56731"/>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137A"/>
    <w:rsid w:val="00B914F8"/>
    <w:rsid w:val="00B91CC4"/>
    <w:rsid w:val="00B922B4"/>
    <w:rsid w:val="00B92BCD"/>
    <w:rsid w:val="00B933D0"/>
    <w:rsid w:val="00B93BB3"/>
    <w:rsid w:val="00B941B1"/>
    <w:rsid w:val="00B949B4"/>
    <w:rsid w:val="00B954B5"/>
    <w:rsid w:val="00B95776"/>
    <w:rsid w:val="00B95829"/>
    <w:rsid w:val="00B96F1C"/>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F16"/>
    <w:rsid w:val="00BE5152"/>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0580"/>
    <w:rsid w:val="00C60A0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1837"/>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D1B"/>
    <w:rsid w:val="00D05142"/>
    <w:rsid w:val="00D052DE"/>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DAF"/>
    <w:rsid w:val="00DB4895"/>
    <w:rsid w:val="00DB4946"/>
    <w:rsid w:val="00DB69B7"/>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27EC0"/>
    <w:rsid w:val="00E30BF2"/>
    <w:rsid w:val="00E31B69"/>
    <w:rsid w:val="00E3378B"/>
    <w:rsid w:val="00E3428E"/>
    <w:rsid w:val="00E343E9"/>
    <w:rsid w:val="00E3518A"/>
    <w:rsid w:val="00E3539B"/>
    <w:rsid w:val="00E36C16"/>
    <w:rsid w:val="00E425E8"/>
    <w:rsid w:val="00E4270A"/>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353"/>
    <w:rsid w:val="00E66DF5"/>
    <w:rsid w:val="00E67061"/>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222"/>
    <w:rsid w:val="00E84490"/>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804"/>
    <w:rsid w:val="00ED4011"/>
    <w:rsid w:val="00ED41F7"/>
    <w:rsid w:val="00ED4E5F"/>
    <w:rsid w:val="00ED55B2"/>
    <w:rsid w:val="00ED5FB2"/>
    <w:rsid w:val="00ED6105"/>
    <w:rsid w:val="00ED6AA1"/>
    <w:rsid w:val="00ED779B"/>
    <w:rsid w:val="00EE07B8"/>
    <w:rsid w:val="00EE081B"/>
    <w:rsid w:val="00EE0D57"/>
    <w:rsid w:val="00EE227B"/>
    <w:rsid w:val="00EE2C0E"/>
    <w:rsid w:val="00EE32DA"/>
    <w:rsid w:val="00EE44BC"/>
    <w:rsid w:val="00EE47F1"/>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6DB"/>
    <w:rsid w:val="00F25F05"/>
    <w:rsid w:val="00F26D3A"/>
    <w:rsid w:val="00F26FF8"/>
    <w:rsid w:val="00F27413"/>
    <w:rsid w:val="00F30EEC"/>
    <w:rsid w:val="00F30F57"/>
    <w:rsid w:val="00F32FF3"/>
    <w:rsid w:val="00F33B84"/>
    <w:rsid w:val="00F34E9F"/>
    <w:rsid w:val="00F403DD"/>
    <w:rsid w:val="00F41058"/>
    <w:rsid w:val="00F416DD"/>
    <w:rsid w:val="00F4180E"/>
    <w:rsid w:val="00F41861"/>
    <w:rsid w:val="00F42C7D"/>
    <w:rsid w:val="00F43701"/>
    <w:rsid w:val="00F45115"/>
    <w:rsid w:val="00F45852"/>
    <w:rsid w:val="00F50BDC"/>
    <w:rsid w:val="00F52740"/>
    <w:rsid w:val="00F52B4D"/>
    <w:rsid w:val="00F53957"/>
    <w:rsid w:val="00F546A8"/>
    <w:rsid w:val="00F54B08"/>
    <w:rsid w:val="00F55032"/>
    <w:rsid w:val="00F57372"/>
    <w:rsid w:val="00F6064C"/>
    <w:rsid w:val="00F6210D"/>
    <w:rsid w:val="00F63E2A"/>
    <w:rsid w:val="00F64015"/>
    <w:rsid w:val="00F64B37"/>
    <w:rsid w:val="00F64D47"/>
    <w:rsid w:val="00F65191"/>
    <w:rsid w:val="00F65621"/>
    <w:rsid w:val="00F65A3D"/>
    <w:rsid w:val="00F67594"/>
    <w:rsid w:val="00F7080A"/>
    <w:rsid w:val="00F71867"/>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D8A"/>
    <w:rsid w:val="00F90594"/>
    <w:rsid w:val="00F909D3"/>
    <w:rsid w:val="00F91590"/>
    <w:rsid w:val="00F91C40"/>
    <w:rsid w:val="00F91E21"/>
    <w:rsid w:val="00F923BA"/>
    <w:rsid w:val="00F93690"/>
    <w:rsid w:val="00F940F2"/>
    <w:rsid w:val="00F94A3D"/>
    <w:rsid w:val="00F95478"/>
    <w:rsid w:val="00F96136"/>
    <w:rsid w:val="00F97D45"/>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46DE"/>
    <w:rsid w:val="00FB5E42"/>
    <w:rsid w:val="00FB69C6"/>
    <w:rsid w:val="00FC2368"/>
    <w:rsid w:val="00FC32C8"/>
    <w:rsid w:val="00FC3A9D"/>
    <w:rsid w:val="00FC4591"/>
    <w:rsid w:val="00FC5276"/>
    <w:rsid w:val="00FC568B"/>
    <w:rsid w:val="00FC61F0"/>
    <w:rsid w:val="00FC6296"/>
    <w:rsid w:val="00FC66F7"/>
    <w:rsid w:val="00FD08E8"/>
    <w:rsid w:val="00FD1BB0"/>
    <w:rsid w:val="00FD1BD6"/>
    <w:rsid w:val="00FD2789"/>
    <w:rsid w:val="00FD2F36"/>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21401</Words>
  <Characters>134403</Characters>
  <Application>Microsoft Office Word</Application>
  <DocSecurity>0</DocSecurity>
  <Lines>2986</Lines>
  <Paragraphs>1558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154246</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128</cp:revision>
  <dcterms:created xsi:type="dcterms:W3CDTF">2025-03-18T13:52:00Z</dcterms:created>
  <dcterms:modified xsi:type="dcterms:W3CDTF">2025-03-26T13:20:00Z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id="kFbwipvB"/&gt;&lt;style id="http://www.zotero.org/styles/apa" locale="en-US" hasBibliography="1" bibliographyStyleHasBeenSet="1"/&gt;&lt;prefs&gt;&lt;pref name="fieldType" value="Field"/&gt;&lt;/prefs&gt;&lt;/data&gt;</vt:lpwstr>
  </property>
</Properties>
</file>