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33068F99"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w:t>
      </w:r>
      <w:r w:rsidR="003A4EEE">
        <w:rPr>
          <w:rFonts w:ascii="Times New Roman" w:hAnsi="Times New Roman" w:cs="Times New Roman"/>
          <w:sz w:val="24"/>
          <w:szCs w:val="24"/>
        </w:rPr>
        <w:t>–</w:t>
      </w:r>
      <w:r w:rsidR="00580D8C">
        <w:rPr>
          <w:rFonts w:ascii="Times New Roman" w:hAnsi="Times New Roman" w:cs="Times New Roman"/>
          <w:sz w:val="24"/>
          <w:szCs w:val="24"/>
        </w:rPr>
        <w:t xml:space="preserve"> </w:t>
      </w:r>
      <w:r w:rsidRPr="007814B5">
        <w:rPr>
          <w:rFonts w:ascii="Times New Roman" w:hAnsi="Times New Roman" w:cs="Times New Roman"/>
          <w:sz w:val="24"/>
          <w:szCs w:val="24"/>
        </w:rPr>
        <w:t>How</w:t>
      </w:r>
      <w:r w:rsidR="003A4EEE">
        <w:rPr>
          <w:rFonts w:ascii="Times New Roman" w:hAnsi="Times New Roman" w:cs="Times New Roman"/>
          <w:sz w:val="24"/>
          <w:szCs w:val="24"/>
        </w:rPr>
        <w:t xml:space="preserve"> Teacher</w:t>
      </w:r>
      <w:r w:rsidRPr="007814B5">
        <w:rPr>
          <w:rFonts w:ascii="Times New Roman" w:hAnsi="Times New Roman" w:cs="Times New Roman"/>
          <w:sz w:val="24"/>
          <w:szCs w:val="24"/>
        </w:rPr>
        <w:t xml:space="preserve">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07E2EB87"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4136DB" w:rsidRPr="006F0D88">
        <w:rPr>
          <w:rFonts w:ascii="Times New Roman" w:hAnsi="Times New Roman" w:cs="Times New Roman"/>
          <w:sz w:val="24"/>
          <w:szCs w:val="24"/>
        </w:rPr>
        <w:t>Class</w:t>
      </w:r>
      <w:r w:rsidR="004136DB">
        <w:rPr>
          <w:rFonts w:ascii="Times New Roman" w:hAnsi="Times New Roman" w:cs="Times New Roman"/>
          <w:sz w:val="24"/>
          <w:szCs w:val="24"/>
        </w:rPr>
        <w:t>room Management</w:t>
      </w:r>
      <w:r w:rsidR="00942613">
        <w:rPr>
          <w:rFonts w:ascii="Times New Roman" w:hAnsi="Times New Roman" w:cs="Times New Roman"/>
          <w:sz w:val="24"/>
          <w:szCs w:val="24"/>
        </w:rPr>
        <w:t xml:space="preserve"> </w:t>
      </w:r>
      <w:r w:rsidR="004136DB" w:rsidRPr="006F0D88">
        <w:rPr>
          <w:rFonts w:ascii="Times New Roman" w:hAnsi="Times New Roman" w:cs="Times New Roman"/>
          <w:sz w:val="24"/>
          <w:szCs w:val="24"/>
        </w:rPr>
        <w:t xml:space="preserve">and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6F7D9467" w14:textId="4BC003AB" w:rsidR="003C62E3" w:rsidRDefault="009C65F9" w:rsidP="003C62E3">
      <w:pPr>
        <w:rPr>
          <w:rFonts w:ascii="Times New Roman" w:hAnsi="Times New Roman" w:cs="Times New Roman"/>
          <w:sz w:val="24"/>
          <w:szCs w:val="22"/>
        </w:rPr>
      </w:pPr>
      <w:r w:rsidRPr="009C65F9">
        <w:rPr>
          <w:rFonts w:ascii="Times New Roman" w:hAnsi="Times New Roman" w:cs="Times New Roman"/>
          <w:sz w:val="24"/>
          <w:szCs w:val="22"/>
        </w:rPr>
        <w:t>Classroom disruptions, such as students chatting with neighbors or nervously clicking their pens, significantly hinder learning processes by consuming instructional time</w:t>
      </w:r>
      <w:r w:rsidR="00BE2D7B">
        <w:rPr>
          <w:rFonts w:ascii="Times New Roman" w:hAnsi="Times New Roman" w:cs="Times New Roman"/>
          <w:sz w:val="24"/>
          <w:szCs w:val="22"/>
        </w:rPr>
        <w:t xml:space="preserve"> </w:t>
      </w:r>
      <w:r w:rsidRPr="009C65F9">
        <w:rPr>
          <w:rFonts w:ascii="Times New Roman" w:hAnsi="Times New Roman" w:cs="Times New Roman"/>
          <w:sz w:val="24"/>
          <w:szCs w:val="22"/>
        </w:rPr>
        <w:t xml:space="preserve">(Keller, 2014). Managing these disruptions effectively is essential to successful classroom management (Helmke, 2022). </w:t>
      </w:r>
      <w:r w:rsidR="00891762">
        <w:rPr>
          <w:rFonts w:ascii="Times New Roman" w:hAnsi="Times New Roman" w:cs="Times New Roman"/>
          <w:sz w:val="24"/>
          <w:szCs w:val="22"/>
        </w:rPr>
        <w:t xml:space="preserve">Teachers’ professional vision is central to effective classroom management </w:t>
      </w:r>
      <w:r>
        <w:rPr>
          <w:rFonts w:ascii="Times New Roman" w:hAnsi="Times New Roman" w:cs="Times New Roman"/>
          <w:sz w:val="24"/>
          <w:szCs w:val="22"/>
        </w:rPr>
        <w:t>– th</w:t>
      </w:r>
      <w:r w:rsidRPr="009C65F9">
        <w:rPr>
          <w:rFonts w:ascii="Times New Roman" w:hAnsi="Times New Roman" w:cs="Times New Roman"/>
          <w:sz w:val="24"/>
          <w:szCs w:val="22"/>
        </w:rPr>
        <w:t xml:space="preserve">e capacity to selectively </w:t>
      </w:r>
      <w:r w:rsidR="003C62E3">
        <w:rPr>
          <w:rFonts w:ascii="Times New Roman" w:hAnsi="Times New Roman" w:cs="Times New Roman"/>
          <w:sz w:val="24"/>
          <w:szCs w:val="22"/>
        </w:rPr>
        <w:t>notice</w:t>
      </w:r>
      <w:r w:rsidRPr="009C65F9">
        <w:rPr>
          <w:rFonts w:ascii="Times New Roman" w:hAnsi="Times New Roman" w:cs="Times New Roman"/>
          <w:sz w:val="24"/>
          <w:szCs w:val="22"/>
        </w:rPr>
        <w:t xml:space="preserve">, interpret, and respond to critical classroom events based on their knowledge (Goodwin, 1994; </w:t>
      </w:r>
      <w:proofErr w:type="spellStart"/>
      <w:r w:rsidRPr="009C65F9">
        <w:rPr>
          <w:rFonts w:ascii="Times New Roman" w:hAnsi="Times New Roman" w:cs="Times New Roman"/>
          <w:sz w:val="24"/>
          <w:szCs w:val="22"/>
        </w:rPr>
        <w:t>Sherin</w:t>
      </w:r>
      <w:proofErr w:type="spellEnd"/>
      <w:r w:rsidRPr="009C65F9">
        <w:rPr>
          <w:rFonts w:ascii="Times New Roman" w:hAnsi="Times New Roman" w:cs="Times New Roman"/>
          <w:sz w:val="24"/>
          <w:szCs w:val="22"/>
        </w:rPr>
        <w:t xml:space="preserve"> &amp; van Es, 2009). Professional vision thus connects </w:t>
      </w:r>
      <w:r w:rsidR="0051720B">
        <w:rPr>
          <w:rFonts w:ascii="Times New Roman" w:hAnsi="Times New Roman" w:cs="Times New Roman"/>
          <w:sz w:val="24"/>
          <w:szCs w:val="22"/>
        </w:rPr>
        <w:t xml:space="preserve">(strategic) </w:t>
      </w:r>
      <w:r w:rsidRPr="009C65F9">
        <w:rPr>
          <w:rFonts w:ascii="Times New Roman" w:hAnsi="Times New Roman" w:cs="Times New Roman"/>
          <w:sz w:val="24"/>
          <w:szCs w:val="22"/>
        </w:rPr>
        <w:t>knowledge with action, enabling teachers to</w:t>
      </w:r>
      <w:r w:rsidR="00BE2D7B">
        <w:rPr>
          <w:rFonts w:ascii="Times New Roman" w:hAnsi="Times New Roman" w:cs="Times New Roman"/>
          <w:sz w:val="24"/>
          <w:szCs w:val="22"/>
        </w:rPr>
        <w:t xml:space="preserve"> </w:t>
      </w:r>
      <w:r w:rsidRPr="009C65F9">
        <w:rPr>
          <w:rFonts w:ascii="Times New Roman" w:hAnsi="Times New Roman" w:cs="Times New Roman"/>
          <w:sz w:val="24"/>
          <w:szCs w:val="22"/>
        </w:rPr>
        <w:t>anticipate and address potential disruptions</w:t>
      </w:r>
      <w:r w:rsidR="0051720B">
        <w:rPr>
          <w:rFonts w:ascii="Times New Roman" w:hAnsi="Times New Roman" w:cs="Times New Roman"/>
          <w:sz w:val="24"/>
          <w:szCs w:val="22"/>
        </w:rPr>
        <w:t xml:space="preserve"> – </w:t>
      </w:r>
      <w:r w:rsidRPr="009C65F9">
        <w:rPr>
          <w:rFonts w:ascii="Times New Roman" w:hAnsi="Times New Roman" w:cs="Times New Roman"/>
          <w:sz w:val="24"/>
          <w:szCs w:val="22"/>
        </w:rPr>
        <w:t xml:space="preserve">a skill known as </w:t>
      </w:r>
      <w:r w:rsidR="003C62E3">
        <w:rPr>
          <w:rFonts w:ascii="Times New Roman" w:hAnsi="Times New Roman" w:cs="Times New Roman"/>
          <w:sz w:val="24"/>
          <w:szCs w:val="22"/>
        </w:rPr>
        <w:t>“</w:t>
      </w:r>
      <w:r w:rsidRPr="009C65F9">
        <w:rPr>
          <w:rFonts w:ascii="Times New Roman" w:hAnsi="Times New Roman" w:cs="Times New Roman"/>
          <w:sz w:val="24"/>
          <w:szCs w:val="22"/>
        </w:rPr>
        <w:t>monitoring</w:t>
      </w:r>
      <w:r w:rsidR="003C62E3">
        <w:rPr>
          <w:rFonts w:ascii="Times New Roman" w:hAnsi="Times New Roman" w:cs="Times New Roman"/>
          <w:sz w:val="24"/>
          <w:szCs w:val="22"/>
        </w:rPr>
        <w:t>”</w:t>
      </w:r>
      <w:r w:rsidRPr="009C65F9">
        <w:rPr>
          <w:rFonts w:ascii="Times New Roman" w:hAnsi="Times New Roman" w:cs="Times New Roman"/>
          <w:sz w:val="24"/>
          <w:szCs w:val="22"/>
        </w:rPr>
        <w:t xml:space="preserve"> (Gold et al., 2016).</w:t>
      </w:r>
      <w:r w:rsidR="003C62E3">
        <w:rPr>
          <w:rFonts w:ascii="Times New Roman" w:hAnsi="Times New Roman" w:cs="Times New Roman"/>
          <w:sz w:val="24"/>
          <w:szCs w:val="22"/>
        </w:rPr>
        <w:t xml:space="preserve"> </w:t>
      </w:r>
    </w:p>
    <w:p w14:paraId="5462E421" w14:textId="35DF999D" w:rsidR="009C65F9" w:rsidRPr="009C65F9" w:rsidRDefault="009C65F9" w:rsidP="00F97D45">
      <w:pPr>
        <w:rPr>
          <w:rFonts w:ascii="Times New Roman" w:hAnsi="Times New Roman" w:cs="Times New Roman"/>
          <w:sz w:val="24"/>
          <w:szCs w:val="22"/>
        </w:rPr>
      </w:pPr>
      <w:r w:rsidRPr="009C65F9">
        <w:rPr>
          <w:rFonts w:ascii="Times New Roman" w:hAnsi="Times New Roman" w:cs="Times New Roman"/>
          <w:sz w:val="24"/>
          <w:szCs w:val="22"/>
        </w:rPr>
        <w:t xml:space="preserve">Expert teachers differ from novices particularly in their refined ability to filter relevant cues within complex classroom interactions (Barth, 2017; Berliner, 2001). Novices often struggle precisely because their professional vision is less developed (Berliner, 2004; Emmer &amp; </w:t>
      </w:r>
      <w:proofErr w:type="spellStart"/>
      <w:r w:rsidRPr="009C65F9">
        <w:rPr>
          <w:rFonts w:ascii="Times New Roman" w:hAnsi="Times New Roman" w:cs="Times New Roman"/>
          <w:sz w:val="24"/>
          <w:szCs w:val="22"/>
        </w:rPr>
        <w:t>Gerwels</w:t>
      </w:r>
      <w:proofErr w:type="spellEnd"/>
      <w:r w:rsidRPr="009C65F9">
        <w:rPr>
          <w:rFonts w:ascii="Times New Roman" w:hAnsi="Times New Roman" w:cs="Times New Roman"/>
          <w:sz w:val="24"/>
          <w:szCs w:val="22"/>
        </w:rPr>
        <w:t>, 2006)</w:t>
      </w:r>
      <w:r w:rsidR="003C62E3">
        <w:rPr>
          <w:rFonts w:ascii="Times New Roman" w:hAnsi="Times New Roman" w:cs="Times New Roman"/>
          <w:sz w:val="24"/>
          <w:szCs w:val="22"/>
        </w:rPr>
        <w:t xml:space="preserve">. </w:t>
      </w:r>
      <w:r w:rsidRPr="009C65F9">
        <w:rPr>
          <w:rFonts w:ascii="Times New Roman" w:hAnsi="Times New Roman" w:cs="Times New Roman"/>
          <w:sz w:val="24"/>
          <w:szCs w:val="22"/>
        </w:rPr>
        <w:t>Process-based research methods, such as eye-tracking, offer deeper insights into teachers</w:t>
      </w:r>
      <w:r w:rsidR="00B11696">
        <w:rPr>
          <w:rFonts w:ascii="Times New Roman" w:hAnsi="Times New Roman" w:cs="Times New Roman"/>
          <w:sz w:val="24"/>
          <w:szCs w:val="22"/>
        </w:rPr>
        <w:t xml:space="preserve">’ </w:t>
      </w:r>
      <w:r w:rsidRPr="009C65F9">
        <w:rPr>
          <w:rFonts w:ascii="Times New Roman" w:hAnsi="Times New Roman" w:cs="Times New Roman"/>
          <w:sz w:val="24"/>
          <w:szCs w:val="22"/>
        </w:rPr>
        <w:t xml:space="preserve">cognitive processing and visual attention during </w:t>
      </w:r>
      <w:r w:rsidR="0051720B">
        <w:rPr>
          <w:rFonts w:ascii="Times New Roman" w:hAnsi="Times New Roman" w:cs="Times New Roman"/>
          <w:sz w:val="24"/>
          <w:szCs w:val="22"/>
        </w:rPr>
        <w:t xml:space="preserve">teaching </w:t>
      </w:r>
      <w:r w:rsidRPr="009C65F9">
        <w:rPr>
          <w:rFonts w:ascii="Times New Roman" w:hAnsi="Times New Roman" w:cs="Times New Roman"/>
          <w:sz w:val="24"/>
          <w:szCs w:val="22"/>
        </w:rPr>
        <w:t xml:space="preserve">(Dessus et al., 2016; van den </w:t>
      </w:r>
      <w:proofErr w:type="spellStart"/>
      <w:r w:rsidRPr="009C65F9">
        <w:rPr>
          <w:rFonts w:ascii="Times New Roman" w:hAnsi="Times New Roman" w:cs="Times New Roman"/>
          <w:sz w:val="24"/>
          <w:szCs w:val="22"/>
        </w:rPr>
        <w:t>Bogert</w:t>
      </w:r>
      <w:proofErr w:type="spellEnd"/>
      <w:r w:rsidRPr="009C65F9">
        <w:rPr>
          <w:rFonts w:ascii="Times New Roman" w:hAnsi="Times New Roman" w:cs="Times New Roman"/>
          <w:sz w:val="24"/>
          <w:szCs w:val="22"/>
        </w:rPr>
        <w:t>, 2016). Studies demonstrate that expert teachers exhibit more efficient gaze patterns (</w:t>
      </w:r>
      <w:proofErr w:type="spellStart"/>
      <w:r w:rsidRPr="009C65F9">
        <w:rPr>
          <w:rFonts w:ascii="Times New Roman" w:hAnsi="Times New Roman" w:cs="Times New Roman"/>
          <w:sz w:val="24"/>
          <w:szCs w:val="22"/>
        </w:rPr>
        <w:t>Gegenfurtner</w:t>
      </w:r>
      <w:proofErr w:type="spellEnd"/>
      <w:r w:rsidRPr="009C65F9">
        <w:rPr>
          <w:rFonts w:ascii="Times New Roman" w:hAnsi="Times New Roman" w:cs="Times New Roman"/>
          <w:sz w:val="24"/>
          <w:szCs w:val="22"/>
        </w:rPr>
        <w:t xml:space="preserve"> et al., 2020; Wolff et al., 2016). Understanding how visual attention relates to effective classroom management thus holds significant potential for improving teacher education by enhancing professional vision and associated response strategies (Grub, 2023).</w:t>
      </w:r>
    </w:p>
    <w:p w14:paraId="0D1CD57D" w14:textId="1449BED4" w:rsidR="00B96F1C" w:rsidRPr="005F4B4F" w:rsidRDefault="005F4B4F" w:rsidP="008F7EA6">
      <w:pPr>
        <w:rPr>
          <w:rFonts w:ascii="Times New Roman" w:hAnsi="Times New Roman" w:cs="Times New Roman"/>
          <w:sz w:val="24"/>
          <w:szCs w:val="22"/>
        </w:rPr>
      </w:pPr>
      <w:r w:rsidRPr="005F4B4F">
        <w:rPr>
          <w:rFonts w:ascii="Times New Roman" w:hAnsi="Times New Roman" w:cs="Times New Roman"/>
          <w:sz w:val="24"/>
          <w:szCs w:val="22"/>
        </w:rPr>
        <w:t>This study examines differences in gaze behavior, self-reported classroom management, and strategic knowledge between experienced and inexperienced teachers in a controlled micro-teaching unit</w:t>
      </w:r>
      <w:r w:rsidR="00E27EC0">
        <w:rPr>
          <w:rFonts w:ascii="Times New Roman" w:hAnsi="Times New Roman" w:cs="Times New Roman"/>
          <w:sz w:val="24"/>
          <w:szCs w:val="22"/>
        </w:rPr>
        <w:t xml:space="preserve"> </w:t>
      </w:r>
      <w:r w:rsidR="00E27EC0" w:rsidRPr="00E27EC0">
        <w:rPr>
          <w:rFonts w:ascii="Times New Roman" w:hAnsi="Times New Roman" w:cs="Times New Roman"/>
          <w:sz w:val="24"/>
          <w:szCs w:val="22"/>
        </w:rPr>
        <w:t>involving classroom disruptions</w:t>
      </w:r>
      <w:r w:rsidRPr="005F4B4F">
        <w:rPr>
          <w:rFonts w:ascii="Times New Roman" w:hAnsi="Times New Roman" w:cs="Times New Roman"/>
          <w:sz w:val="24"/>
          <w:szCs w:val="22"/>
        </w:rPr>
        <w:t>. Using eye-tracking technology and self-report measures, it explores how expertise influences visual attention, disruption noticing, and management strategies</w:t>
      </w:r>
      <w:r w:rsidR="00DB4895">
        <w:rPr>
          <w:rFonts w:ascii="Times New Roman" w:hAnsi="Times New Roman" w:cs="Times New Roman"/>
          <w:sz w:val="24"/>
          <w:szCs w:val="22"/>
        </w:rPr>
        <w:t xml:space="preserve"> </w:t>
      </w:r>
      <w:r w:rsidR="00DB4895" w:rsidRPr="00DB4895">
        <w:rPr>
          <w:rFonts w:ascii="Times New Roman" w:hAnsi="Times New Roman" w:cs="Times New Roman"/>
          <w:sz w:val="24"/>
          <w:szCs w:val="22"/>
        </w:rPr>
        <w:t>toward classroom disruptions</w:t>
      </w:r>
      <w:r w:rsidR="00DB4895">
        <w:rPr>
          <w:rFonts w:ascii="Times New Roman" w:hAnsi="Times New Roman" w:cs="Times New Roman"/>
          <w:sz w:val="24"/>
          <w:szCs w:val="22"/>
        </w:rPr>
        <w:t>.</w:t>
      </w:r>
    </w:p>
    <w:p w14:paraId="1388B6CF" w14:textId="77777777" w:rsidR="0093630C" w:rsidRPr="0093630C" w:rsidRDefault="0093630C" w:rsidP="0093630C">
      <w:pPr>
        <w:tabs>
          <w:tab w:val="clear" w:pos="3068"/>
        </w:tabs>
        <w:ind w:firstLine="0"/>
        <w:outlineLvl w:val="1"/>
        <w:rPr>
          <w:rFonts w:ascii="Times New Roman" w:hAnsi="Times New Roman" w:cs="Times New Roman"/>
          <w:b/>
          <w:sz w:val="24"/>
          <w:szCs w:val="24"/>
        </w:rPr>
      </w:pPr>
      <w:r w:rsidRPr="0093630C">
        <w:rPr>
          <w:rFonts w:ascii="Times New Roman" w:hAnsi="Times New Roman" w:cs="Times New Roman"/>
          <w:b/>
          <w:sz w:val="24"/>
          <w:szCs w:val="24"/>
        </w:rPr>
        <w:lastRenderedPageBreak/>
        <w:t xml:space="preserve">Classroom Disruptions </w:t>
      </w:r>
    </w:p>
    <w:p w14:paraId="7ED9E7E8" w14:textId="68E34F03" w:rsidR="0093630C" w:rsidRPr="0093630C" w:rsidRDefault="0093630C" w:rsidP="0093630C">
      <w:pPr>
        <w:rPr>
          <w:rFonts w:ascii="Times New Roman" w:hAnsi="Times New Roman" w:cs="Times New Roman"/>
          <w:sz w:val="24"/>
          <w:szCs w:val="22"/>
        </w:rPr>
      </w:pPr>
      <w:r w:rsidRPr="0093630C">
        <w:rPr>
          <w:rFonts w:ascii="Times New Roman" w:hAnsi="Times New Roman" w:cs="Times New Roman"/>
          <w:sz w:val="24"/>
          <w:szCs w:val="22"/>
        </w:rPr>
        <w:t xml:space="preserve">The ability to anticipate and respond effectively is particularly vital when addressing one of the most persistent challenges in educational settings: classroom disruptions, which can impair instructional time, weaken student engagement, and hinder academic achievement </w:t>
      </w:r>
      <w:r w:rsidRPr="0093630C">
        <w:rPr>
          <w:rFonts w:ascii="Times New Roman" w:hAnsi="Times New Roman" w:cs="Times New Roman"/>
          <w:sz w:val="24"/>
          <w:szCs w:val="22"/>
        </w:rPr>
        <w:fldChar w:fldCharType="begin"/>
      </w:r>
      <w:r w:rsidRPr="0093630C">
        <w:rPr>
          <w:rFonts w:ascii="Times New Roman" w:hAnsi="Times New Roman" w:cs="Times New Roman"/>
          <w:sz w:val="24"/>
          <w:szCs w:val="22"/>
        </w:rPr>
        <w:instrText xml:space="preserve"> ADDIN ZOTERO_ITEM CSL_CITATION {"citationID":"DbyCbx1b","properties":{"formattedCitation":"(Chow et al., 2024; Kraft &amp; Monti-Nussbaum, 2021; Marder et al., 2023)","plainCitation":"(Chow et al., 2024; Kraft &amp; Monti-Nussbaum, 2021; Marder et al., 2023)","noteIndex":0},"citationItems":[{"id":998,"uris":["http://zotero.org/groups/5349517/items/DT5A2FWQ"],"itemData":{"id":998,"type":"article-journal","abstract":"The purpose of this study was to conduct a systematic meta-review with the goal of documenting the landscape of measures of classroom management in the school-based literature. Our systematic search for systematic reviews and extraction of primary studies in the classroom management research yielded 73 studies for inclusion that captured 76 different classroom management measures. We present an inclusive repository of measures from the field. Results revealed high levels of variability in aspects of both scales and observational measures across a range of domains assessed. We discuss our descriptive analysis of the landscape of classroom management measures and provide implications for future work.","container-title":"Assessment for Effective Intervention","DOI":"10.1177/15345084231208671","ISSN":"1534-5084","issue":"2","language":"en","note":"publisher: SAGE Publications Inc","page":"60-74","source":"SAGE Journals","title":"A Systematic Meta-Review of Measures of Classroom Management in School Settings","volume":"49","author":[{"family":"Chow","given":"Jason C."},{"family":"Sayers","given":"Robin"},{"family":"Fu","given":"Yang"},{"family":"Granger","given":"Kristen L."},{"family":"McCullough","given":"Shannon"},{"family":"Kingsbery","given":"Corinne"},{"family":"Morse","given":"Ashley"}],"issued":{"date-parts":[["2024",3,1]]}}},{"id":1000,"uris":["http://zotero.org/groups/5349517/items/HH5DS5W8"],"itemData":{"id":1000,"type":"article-journal","abstract":"Narrative accounts of classroom instruction suggest that external interruptions, such as intercom announcements and visits from staff, are a regular occurrence in U.S. public schools. We study the frequency, nature, duration, and consequences of external interruptions in the Providence Public School District (PPSD) using original data from a district-wide survey and classroom observations. We estimate that a typical classroom in the PPSD is interrupted more than 2,000 times per year and that these interruptions and the disruptions they cause result in the loss of between 10 and 20 days of instructional time. Several findings suggest that there exists substantial scope for reducing interruptions. Administrators appear to systematically underestimate the frequency and negative consequences of interruptions. Furthermore, interruptions vary widely across schools and are largely caused by school staff. Schools might reduce disruptions to the learning environment by creating a culture that prioritizes instructional time, instituting better communication protocols, and addressing the challenges posed by student tardiness.","container-title":"AERA Open","DOI":"10.1177/23328584211028856","ISSN":"2332-8584","language":"en","note":"publisher: SAGE Publications Inc","page":"23328584211028856","source":"SAGE Journals","title":"The Big Problem With Little Interruptions to Classroom Learning","volume":"7","author":[{"family":"Kraft","given":"Matthew A."},{"family":"Monti-Nussbaum","given":"Manuel"}],"issued":{"date-parts":[["2021",1,1]]}}},{"id":1002,"uris":["http://zotero.org/groups/5349517/items/BJ27YPPF"],"itemData":{"id":1002,"type":"article-journal","abstract":"Establishing a well-organized classroom conducive to learning is a key element of high-quality teaching. However, less is known about the degree to which the classroom management process is affected by the specific students in the classroom. Using two large-scale datasets of German secondary school students, the present two studies examined the effectiveness of teachers' classroom management in mathematics while taking into account students' disruptive behavior in the classroom. When controlling for the average level of disruptions in the classroom, both students' disruptive behavior and teachers' monitoring activity were negatively associated with students' mathematics achievement, whereas no associations occurred for teachers' structure and rule clarity. The results suggest that teachers' monitoring activity needs to take into account students’ disruptive behavior in the classroom, highlighting the complexity of effective classroom management.","container-title":"Learning and Instruction","DOI":"10.1016/j.learninstruc.2023.101746","ISSN":"0959-4752","journalAbbreviation":"Learning and Instruction","page":"101746","source":"ScienceDirect","title":"Classroom management and students' mathematics achievement: The role of students’ disruptive behavior and teacher classroom management","title-short":"Classroom management and students' mathematics achievement","volume":"86","author":[{"family":"Marder","given":"Johanna"},{"family":"Thiel","given":"Felicitas"},{"family":"Göllner","given":"Richard"}],"issued":{"date-parts":[["2023",8,1]]}}}],"schema":"https://github.com/citation-style-language/schema/raw/master/csl-citation.json"} </w:instrText>
      </w:r>
      <w:r w:rsidRPr="0093630C">
        <w:rPr>
          <w:rFonts w:ascii="Times New Roman" w:hAnsi="Times New Roman" w:cs="Times New Roman"/>
          <w:sz w:val="24"/>
          <w:szCs w:val="22"/>
        </w:rPr>
        <w:fldChar w:fldCharType="separate"/>
      </w:r>
      <w:r w:rsidRPr="0093630C">
        <w:rPr>
          <w:rFonts w:ascii="Times New Roman" w:hAnsi="Times New Roman" w:cs="Times New Roman"/>
          <w:sz w:val="24"/>
        </w:rPr>
        <w:t>(Chow et al., 2024; Kraft &amp; Monti-Nussbaum, 2021; Marder et al., 2023)</w:t>
      </w:r>
      <w:r w:rsidRPr="0093630C">
        <w:rPr>
          <w:rFonts w:ascii="Times New Roman" w:hAnsi="Times New Roman" w:cs="Times New Roman"/>
          <w:sz w:val="24"/>
          <w:szCs w:val="22"/>
        </w:rPr>
        <w:fldChar w:fldCharType="end"/>
      </w:r>
      <w:r w:rsidRPr="0093630C">
        <w:rPr>
          <w:rFonts w:ascii="Times New Roman" w:hAnsi="Times New Roman" w:cs="Times New Roman"/>
          <w:sz w:val="24"/>
          <w:szCs w:val="22"/>
        </w:rPr>
        <w:t>.</w:t>
      </w:r>
    </w:p>
    <w:p w14:paraId="08A29EC7" w14:textId="6355AF8B" w:rsidR="0093630C" w:rsidRPr="0093630C" w:rsidRDefault="0093630C" w:rsidP="0093630C">
      <w:pPr>
        <w:rPr>
          <w:rFonts w:ascii="Times New Roman" w:hAnsi="Times New Roman" w:cs="Times New Roman"/>
          <w:sz w:val="24"/>
          <w:szCs w:val="22"/>
        </w:rPr>
      </w:pPr>
      <w:r w:rsidRPr="0093630C">
        <w:rPr>
          <w:rFonts w:ascii="Times New Roman" w:hAnsi="Times New Roman" w:cs="Times New Roman"/>
          <w:sz w:val="24"/>
          <w:szCs w:val="22"/>
        </w:rPr>
        <w:t xml:space="preserve">Disruptions, as described by </w:t>
      </w:r>
      <w:r w:rsidRPr="0093630C">
        <w:rPr>
          <w:rFonts w:ascii="Times New Roman" w:hAnsi="Times New Roman" w:cs="Times New Roman"/>
          <w:sz w:val="24"/>
          <w:szCs w:val="22"/>
        </w:rPr>
        <w:fldChar w:fldCharType="begin"/>
      </w:r>
      <w:r w:rsidRPr="0093630C">
        <w:rPr>
          <w:rFonts w:ascii="Times New Roman" w:hAnsi="Times New Roman" w:cs="Times New Roman"/>
          <w:sz w:val="24"/>
          <w:szCs w:val="22"/>
        </w:rPr>
        <w:instrText xml:space="preserve"> ADDIN ZOTERO_ITEM CSL_CITATION {"citationID":"FdMkO3Ng","properties":{"formattedCitation":"(Lohmann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93630C">
        <w:rPr>
          <w:rFonts w:ascii="Times New Roman" w:hAnsi="Times New Roman" w:cs="Times New Roman"/>
          <w:sz w:val="24"/>
          <w:szCs w:val="22"/>
        </w:rPr>
        <w:fldChar w:fldCharType="separate"/>
      </w:r>
      <w:r w:rsidRPr="0093630C">
        <w:rPr>
          <w:rFonts w:ascii="Times New Roman" w:hAnsi="Times New Roman" w:cs="Times New Roman"/>
          <w:sz w:val="24"/>
        </w:rPr>
        <w:t>Lohmann &amp; Meyer (2003)</w:t>
      </w:r>
      <w:r w:rsidRPr="0093630C">
        <w:rPr>
          <w:rFonts w:ascii="Times New Roman" w:hAnsi="Times New Roman" w:cs="Times New Roman"/>
          <w:sz w:val="24"/>
          <w:szCs w:val="22"/>
        </w:rPr>
        <w:fldChar w:fldCharType="end"/>
      </w:r>
      <w:r w:rsidRPr="0093630C">
        <w:rPr>
          <w:rFonts w:ascii="Times New Roman" w:hAnsi="Times New Roman" w:cs="Times New Roman"/>
          <w:sz w:val="24"/>
          <w:szCs w:val="22"/>
        </w:rPr>
        <w:t xml:space="preserve">, are events that interfere with the essential conditions necessary for effective instruction and student participation. These behaviors can generally be categorized into four primary types, based on their nature and impact on classroom dynamics </w:t>
      </w:r>
      <w:r w:rsidRPr="0093630C">
        <w:rPr>
          <w:rFonts w:ascii="Times New Roman" w:hAnsi="Times New Roman" w:cs="Times New Roman"/>
          <w:sz w:val="24"/>
          <w:szCs w:val="22"/>
        </w:rPr>
        <w:fldChar w:fldCharType="begin"/>
      </w:r>
      <w:r w:rsidRPr="0093630C">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93630C">
        <w:rPr>
          <w:rFonts w:ascii="Times New Roman" w:hAnsi="Times New Roman" w:cs="Times New Roman"/>
          <w:sz w:val="24"/>
          <w:szCs w:val="22"/>
        </w:rPr>
        <w:fldChar w:fldCharType="separate"/>
      </w:r>
      <w:r w:rsidRPr="0093630C">
        <w:rPr>
          <w:rFonts w:ascii="Times New Roman" w:hAnsi="Times New Roman" w:cs="Times New Roman"/>
          <w:sz w:val="24"/>
        </w:rPr>
        <w:t>(Lohmann &amp; Meyer, 2003)</w:t>
      </w:r>
      <w:r w:rsidRPr="0093630C">
        <w:rPr>
          <w:rFonts w:ascii="Times New Roman" w:hAnsi="Times New Roman" w:cs="Times New Roman"/>
          <w:sz w:val="24"/>
          <w:szCs w:val="22"/>
        </w:rPr>
        <w:fldChar w:fldCharType="end"/>
      </w:r>
      <w:r w:rsidRPr="0093630C">
        <w:rPr>
          <w:rFonts w:ascii="Times New Roman" w:hAnsi="Times New Roman" w:cs="Times New Roman"/>
          <w:sz w:val="24"/>
          <w:szCs w:val="22"/>
        </w:rPr>
        <w:t xml:space="preserve">. </w:t>
      </w:r>
      <w:r w:rsidRPr="0093630C">
        <w:rPr>
          <w:rFonts w:ascii="Times New Roman" w:hAnsi="Times New Roman" w:cs="Times New Roman"/>
          <w:i/>
          <w:iCs/>
          <w:sz w:val="24"/>
          <w:szCs w:val="22"/>
        </w:rPr>
        <w:t>Verbal disruptions</w:t>
      </w:r>
      <w:r w:rsidRPr="0093630C">
        <w:rPr>
          <w:rFonts w:ascii="Times New Roman" w:hAnsi="Times New Roman" w:cs="Times New Roman"/>
          <w:sz w:val="24"/>
          <w:szCs w:val="22"/>
        </w:rPr>
        <w:t xml:space="preserve"> include spoken interruptions such as chatting, whispering, or heckling, which can disturb lesson flow and diminish focus. </w:t>
      </w:r>
      <w:r w:rsidRPr="0093630C">
        <w:rPr>
          <w:rFonts w:ascii="Times New Roman" w:hAnsi="Times New Roman" w:cs="Times New Roman"/>
          <w:i/>
          <w:iCs/>
          <w:sz w:val="24"/>
          <w:szCs w:val="22"/>
        </w:rPr>
        <w:t>Physical disruptions</w:t>
      </w:r>
      <w:r w:rsidRPr="0093630C">
        <w:rPr>
          <w:rFonts w:ascii="Times New Roman" w:hAnsi="Times New Roman" w:cs="Times New Roman"/>
          <w:sz w:val="24"/>
          <w:szCs w:val="22"/>
        </w:rPr>
        <w:t xml:space="preserve"> refer to motor restlessness or unnecessary physical activity, like drumming on desks, sn</w:t>
      </w:r>
      <w:r w:rsidR="003367E9">
        <w:rPr>
          <w:rFonts w:ascii="Times New Roman" w:hAnsi="Times New Roman" w:cs="Times New Roman"/>
          <w:sz w:val="24"/>
          <w:szCs w:val="22"/>
        </w:rPr>
        <w:t>i</w:t>
      </w:r>
      <w:r w:rsidRPr="0093630C">
        <w:rPr>
          <w:rFonts w:ascii="Times New Roman" w:hAnsi="Times New Roman" w:cs="Times New Roman"/>
          <w:sz w:val="24"/>
          <w:szCs w:val="22"/>
        </w:rPr>
        <w:t xml:space="preserve">pping fingers, or clicking pens, which distract both teachers and students. Indicators of </w:t>
      </w:r>
      <w:r w:rsidR="00BE352C">
        <w:rPr>
          <w:rFonts w:ascii="Times New Roman" w:hAnsi="Times New Roman" w:cs="Times New Roman"/>
          <w:sz w:val="24"/>
          <w:szCs w:val="22"/>
        </w:rPr>
        <w:t xml:space="preserve">a </w:t>
      </w:r>
      <w:r w:rsidRPr="0093630C">
        <w:rPr>
          <w:rFonts w:ascii="Times New Roman" w:hAnsi="Times New Roman" w:cs="Times New Roman"/>
          <w:i/>
          <w:iCs/>
          <w:sz w:val="24"/>
          <w:szCs w:val="22"/>
        </w:rPr>
        <w:t>lack of eagerness to learn</w:t>
      </w:r>
      <w:r w:rsidRPr="0093630C">
        <w:rPr>
          <w:rFonts w:ascii="Times New Roman" w:hAnsi="Times New Roman" w:cs="Times New Roman"/>
          <w:sz w:val="24"/>
          <w:szCs w:val="22"/>
        </w:rPr>
        <w:t xml:space="preserve"> </w:t>
      </w:r>
      <w:r w:rsidR="00BE352C">
        <w:rPr>
          <w:rFonts w:ascii="Times New Roman" w:hAnsi="Times New Roman" w:cs="Times New Roman"/>
          <w:sz w:val="24"/>
          <w:szCs w:val="22"/>
        </w:rPr>
        <w:t>manifest</w:t>
      </w:r>
      <w:r w:rsidRPr="0093630C">
        <w:rPr>
          <w:rFonts w:ascii="Times New Roman" w:hAnsi="Times New Roman" w:cs="Times New Roman"/>
          <w:sz w:val="24"/>
          <w:szCs w:val="22"/>
        </w:rPr>
        <w:t xml:space="preserve"> through disengagement behaviors, such as drawing, resting one’s head on the desk, or using a phone</w:t>
      </w:r>
      <w:r w:rsidR="00BE352C">
        <w:rPr>
          <w:rFonts w:ascii="Times New Roman" w:hAnsi="Times New Roman" w:cs="Times New Roman"/>
          <w:sz w:val="24"/>
          <w:szCs w:val="22"/>
        </w:rPr>
        <w:t>,</w:t>
      </w:r>
      <w:r w:rsidRPr="0093630C">
        <w:rPr>
          <w:rFonts w:ascii="Times New Roman" w:hAnsi="Times New Roman" w:cs="Times New Roman"/>
          <w:sz w:val="24"/>
          <w:szCs w:val="22"/>
        </w:rPr>
        <w:t xml:space="preserve"> actions that reduce participation and hinder comprehension. Finally, </w:t>
      </w:r>
      <w:r w:rsidRPr="0093630C">
        <w:rPr>
          <w:rFonts w:ascii="Times New Roman" w:hAnsi="Times New Roman" w:cs="Times New Roman"/>
          <w:i/>
          <w:iCs/>
          <w:sz w:val="24"/>
          <w:szCs w:val="22"/>
        </w:rPr>
        <w:t>aggressive behavior</w:t>
      </w:r>
      <w:r w:rsidRPr="0093630C">
        <w:rPr>
          <w:rFonts w:ascii="Times New Roman" w:hAnsi="Times New Roman" w:cs="Times New Roman"/>
          <w:sz w:val="24"/>
          <w:szCs w:val="22"/>
        </w:rPr>
        <w:t xml:space="preserve"> encompasses hostile actions or emotional outbursts, including yelling, defiance, or physical confrontations, all of which threaten the classroom’s safety.</w:t>
      </w:r>
      <w:r w:rsidR="001007D7">
        <w:rPr>
          <w:rStyle w:val="Funotenzeichen"/>
          <w:rFonts w:ascii="Times New Roman" w:hAnsi="Times New Roman" w:cs="Times New Roman"/>
          <w:sz w:val="24"/>
          <w:szCs w:val="22"/>
        </w:rPr>
        <w:footnoteReference w:id="2"/>
      </w:r>
    </w:p>
    <w:p w14:paraId="61B1F68F" w14:textId="6F4CC5F2" w:rsidR="0093630C" w:rsidRPr="0093630C" w:rsidRDefault="00B11696" w:rsidP="0093630C">
      <w:pPr>
        <w:rPr>
          <w:rFonts w:ascii="Times New Roman" w:hAnsi="Times New Roman" w:cs="Times New Roman"/>
          <w:sz w:val="24"/>
          <w:szCs w:val="22"/>
        </w:rPr>
      </w:pPr>
      <w:r w:rsidRPr="00B11696">
        <w:rPr>
          <w:rFonts w:ascii="Times New Roman" w:hAnsi="Times New Roman" w:cs="Times New Roman"/>
          <w:sz w:val="24"/>
          <w:szCs w:val="22"/>
        </w:rPr>
        <w:t xml:space="preserve">A crucial concept in understanding these disruptions is salience, which refers to how noticeable a behavior is within the classroom context </w:t>
      </w:r>
      <w:r w:rsidR="00541124" w:rsidRPr="0093630C">
        <w:rPr>
          <w:rFonts w:ascii="Times New Roman" w:hAnsi="Times New Roman" w:cs="Times New Roman"/>
          <w:sz w:val="24"/>
          <w:szCs w:val="22"/>
        </w:rPr>
        <w:fldChar w:fldCharType="begin"/>
      </w:r>
      <w:r w:rsidR="00541124" w:rsidRPr="0093630C">
        <w:rPr>
          <w:rFonts w:ascii="Times New Roman" w:hAnsi="Times New Roman" w:cs="Times New Roman"/>
          <w:sz w:val="24"/>
          <w:szCs w:val="22"/>
        </w:rPr>
        <w:instrText xml:space="preserve"> ADDIN ZOTERO_ITEM CSL_CITATION {"citationID":"MEF9HZGJ","properties":{"formattedCitation":"(Kilbury et al., 2024)","plainCitation":"(Kilbury et al., 2024)","noteIndex":0},"citationItems":[{"id":1028,"uris":["http://zotero.org/groups/5349517/items/F45CPWFN"],"itemData":{"id":1028,"type":"article-journal","container-title":"Computers in Human Behavior Reports","DOI":"10.1016/j.chbr.2024.100481","ISSN":"24519588","journalAbbreviation":"Computers in Human Behavior Reports","language":"en","page":"100481","source":"DOI.org (Crossref)","title":"The development and validation of a video tool for capturing teachers' noticing in salient and non-salient classroom disruptions","volume":"16","author":[{"family":"Kilbury","given":"Maxie"},{"family":"Böhnke","given":"Anja"},{"family":"Haase","given":"Sebastian"},{"family":"Thiel","given":"Felicitas"}],"issued":{"date-parts":[["2024",12]]}}}],"schema":"https://github.com/citation-style-language/schema/raw/master/csl-citation.json"} </w:instrText>
      </w:r>
      <w:r w:rsidR="00541124" w:rsidRPr="0093630C">
        <w:rPr>
          <w:rFonts w:ascii="Times New Roman" w:hAnsi="Times New Roman" w:cs="Times New Roman"/>
          <w:sz w:val="24"/>
          <w:szCs w:val="22"/>
        </w:rPr>
        <w:fldChar w:fldCharType="separate"/>
      </w:r>
      <w:r w:rsidR="00541124" w:rsidRPr="0093630C">
        <w:rPr>
          <w:rFonts w:ascii="Times New Roman" w:hAnsi="Times New Roman" w:cs="Times New Roman"/>
          <w:sz w:val="24"/>
        </w:rPr>
        <w:t>(Kilbury et al., 2024)</w:t>
      </w:r>
      <w:r w:rsidR="00541124" w:rsidRPr="0093630C">
        <w:rPr>
          <w:rFonts w:ascii="Times New Roman" w:hAnsi="Times New Roman" w:cs="Times New Roman"/>
          <w:sz w:val="24"/>
          <w:szCs w:val="22"/>
        </w:rPr>
        <w:fldChar w:fldCharType="end"/>
      </w:r>
      <w:r w:rsidR="00541124">
        <w:rPr>
          <w:rFonts w:ascii="Times New Roman" w:hAnsi="Times New Roman" w:cs="Times New Roman"/>
          <w:sz w:val="24"/>
          <w:szCs w:val="22"/>
        </w:rPr>
        <w:t xml:space="preserve"> </w:t>
      </w:r>
      <w:r w:rsidRPr="00B11696">
        <w:rPr>
          <w:rFonts w:ascii="Times New Roman" w:hAnsi="Times New Roman" w:cs="Times New Roman"/>
          <w:sz w:val="24"/>
          <w:szCs w:val="22"/>
        </w:rPr>
        <w:t>and thus directly influences teachers</w:t>
      </w:r>
      <w:r>
        <w:rPr>
          <w:rFonts w:ascii="Times New Roman" w:hAnsi="Times New Roman" w:cs="Times New Roman"/>
          <w:sz w:val="24"/>
          <w:szCs w:val="22"/>
        </w:rPr>
        <w:t xml:space="preserve">’ </w:t>
      </w:r>
      <w:r w:rsidRPr="00B11696">
        <w:rPr>
          <w:rFonts w:ascii="Times New Roman" w:hAnsi="Times New Roman" w:cs="Times New Roman"/>
          <w:sz w:val="24"/>
          <w:szCs w:val="22"/>
        </w:rPr>
        <w:t>noticing as a critical aspect of effective disruption management</w:t>
      </w:r>
      <w:r w:rsidR="00541124">
        <w:rPr>
          <w:rFonts w:ascii="Times New Roman" w:hAnsi="Times New Roman" w:cs="Times New Roman"/>
          <w:sz w:val="24"/>
          <w:szCs w:val="22"/>
        </w:rPr>
        <w:t>.</w:t>
      </w:r>
      <w:r w:rsidR="0093630C" w:rsidRPr="0093630C">
        <w:rPr>
          <w:rFonts w:ascii="Times New Roman" w:hAnsi="Times New Roman" w:cs="Times New Roman"/>
          <w:sz w:val="24"/>
          <w:szCs w:val="22"/>
        </w:rPr>
        <w:t xml:space="preserve"> Highly </w:t>
      </w:r>
      <w:r w:rsidR="0093630C" w:rsidRPr="0093630C">
        <w:rPr>
          <w:rFonts w:ascii="Times New Roman" w:hAnsi="Times New Roman" w:cs="Times New Roman"/>
          <w:sz w:val="24"/>
          <w:szCs w:val="22"/>
        </w:rPr>
        <w:lastRenderedPageBreak/>
        <w:t xml:space="preserve">salient behaviors, such as loud outbursts, naturally draw immediate attention, whereas subtle, non-salient behaviors can be equally detrimental over time if left unaddressed. </w:t>
      </w:r>
    </w:p>
    <w:p w14:paraId="034CA39F" w14:textId="77777777" w:rsidR="0093630C" w:rsidRPr="0093630C" w:rsidRDefault="0093630C" w:rsidP="0093630C">
      <w:pPr>
        <w:rPr>
          <w:rFonts w:ascii="Times New Roman" w:hAnsi="Times New Roman" w:cs="Times New Roman"/>
          <w:sz w:val="24"/>
          <w:szCs w:val="22"/>
        </w:rPr>
      </w:pPr>
      <w:commentRangeStart w:id="0"/>
      <w:r w:rsidRPr="0093630C">
        <w:rPr>
          <w:rFonts w:ascii="Times New Roman" w:hAnsi="Times New Roman" w:cs="Times New Roman"/>
          <w:sz w:val="24"/>
          <w:szCs w:val="22"/>
        </w:rPr>
        <w:t xml:space="preserve">The complexity of managing disruptive behavior is further intensified by its subjective interpretation, influenced by both the behavior and the perceptions of teachers and students </w:t>
      </w:r>
      <w:r w:rsidRPr="0093630C">
        <w:rPr>
          <w:rFonts w:ascii="Times New Roman" w:hAnsi="Times New Roman" w:cs="Times New Roman"/>
          <w:sz w:val="24"/>
          <w:szCs w:val="22"/>
        </w:rPr>
        <w:fldChar w:fldCharType="begin"/>
      </w:r>
      <w:r w:rsidRPr="0093630C">
        <w:rPr>
          <w:rFonts w:ascii="Times New Roman" w:hAnsi="Times New Roman" w:cs="Times New Roman"/>
          <w:sz w:val="24"/>
          <w:szCs w:val="22"/>
        </w:rPr>
        <w:instrText xml:space="preserve"> ADDIN ZOTERO_ITEM CSL_CITATION {"citationID":"hbsd7EFX","properties":{"formattedCitation":"(Eckstein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sidRPr="0093630C">
        <w:rPr>
          <w:rFonts w:ascii="Times New Roman" w:hAnsi="Times New Roman" w:cs="Times New Roman"/>
          <w:sz w:val="24"/>
          <w:szCs w:val="22"/>
        </w:rPr>
        <w:fldChar w:fldCharType="separate"/>
      </w:r>
      <w:r w:rsidRPr="0093630C">
        <w:rPr>
          <w:rFonts w:ascii="Times New Roman" w:hAnsi="Times New Roman" w:cs="Times New Roman"/>
          <w:sz w:val="24"/>
        </w:rPr>
        <w:t>(Eckstein et al., 2016)</w:t>
      </w:r>
      <w:r w:rsidRPr="0093630C">
        <w:rPr>
          <w:rFonts w:ascii="Times New Roman" w:hAnsi="Times New Roman" w:cs="Times New Roman"/>
          <w:sz w:val="24"/>
          <w:szCs w:val="22"/>
        </w:rPr>
        <w:fldChar w:fldCharType="end"/>
      </w:r>
      <w:r w:rsidRPr="0093630C">
        <w:rPr>
          <w:rFonts w:ascii="Times New Roman" w:hAnsi="Times New Roman" w:cs="Times New Roman"/>
          <w:sz w:val="24"/>
          <w:szCs w:val="22"/>
        </w:rPr>
        <w:t>. This dual perspective requires educators to develop an acute awareness of both conspicuous and subtle indicators of disruption.</w:t>
      </w:r>
      <w:commentRangeEnd w:id="0"/>
      <w:r w:rsidR="00F909D3">
        <w:rPr>
          <w:rStyle w:val="Kommentarzeichen"/>
        </w:rPr>
        <w:commentReference w:id="0"/>
      </w:r>
    </w:p>
    <w:p w14:paraId="4B16C401" w14:textId="5005CFDE" w:rsidR="00B56731" w:rsidRPr="00C60A09" w:rsidRDefault="00EA404B" w:rsidP="00C60A09">
      <w:pPr>
        <w:pStyle w:val="berschrift2"/>
        <w:rPr>
          <w:rFonts w:ascii="Times New Roman" w:hAnsi="Times New Roman" w:cs="Times New Roman"/>
          <w:sz w:val="24"/>
          <w:szCs w:val="24"/>
        </w:rPr>
      </w:pPr>
      <w:r w:rsidRPr="00234A36">
        <w:rPr>
          <w:rFonts w:ascii="Times New Roman" w:hAnsi="Times New Roman" w:cs="Times New Roman"/>
          <w:sz w:val="24"/>
          <w:szCs w:val="24"/>
        </w:rPr>
        <w:t xml:space="preserve">Classroom </w:t>
      </w:r>
      <w:r w:rsidR="000E6594">
        <w:rPr>
          <w:rFonts w:ascii="Times New Roman" w:hAnsi="Times New Roman" w:cs="Times New Roman"/>
          <w:sz w:val="24"/>
          <w:szCs w:val="24"/>
        </w:rPr>
        <w:t xml:space="preserve">Disruption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7068ADCB" w14:textId="68E8DF2D" w:rsidR="00042C3A" w:rsidRDefault="00EA032D" w:rsidP="00033CFF">
      <w:pPr>
        <w:rPr>
          <w:rFonts w:ascii="Times New Roman" w:hAnsi="Times New Roman" w:cs="Times New Roman"/>
          <w:sz w:val="24"/>
          <w:szCs w:val="22"/>
        </w:rPr>
      </w:pPr>
      <w:r w:rsidRPr="00EA032D">
        <w:rPr>
          <w:rFonts w:ascii="Times New Roman" w:hAnsi="Times New Roman" w:cs="Times New Roman"/>
          <w:sz w:val="24"/>
          <w:szCs w:val="22"/>
        </w:rPr>
        <w:t xml:space="preserve">Effective classroom management </w:t>
      </w:r>
      <w:r w:rsidR="00C33D6B">
        <w:rPr>
          <w:rFonts w:ascii="Times New Roman" w:hAnsi="Times New Roman" w:cs="Times New Roman"/>
          <w:sz w:val="24"/>
          <w:szCs w:val="22"/>
        </w:rPr>
        <w:t xml:space="preserve">is a core competence for teachers to </w:t>
      </w:r>
      <w:r w:rsidR="00C33D6B" w:rsidRPr="00EA032D">
        <w:rPr>
          <w:rFonts w:ascii="Times New Roman" w:hAnsi="Times New Roman" w:cs="Times New Roman"/>
          <w:sz w:val="24"/>
          <w:szCs w:val="22"/>
        </w:rPr>
        <w:t xml:space="preserve">contribute to </w:t>
      </w:r>
      <w:r w:rsidR="00C33D6B">
        <w:rPr>
          <w:rFonts w:ascii="Times New Roman" w:hAnsi="Times New Roman" w:cs="Times New Roman"/>
          <w:sz w:val="24"/>
          <w:szCs w:val="22"/>
        </w:rPr>
        <w:t>reducing</w:t>
      </w:r>
      <w:r w:rsidR="00C33D6B" w:rsidRPr="00EA032D">
        <w:rPr>
          <w:rFonts w:ascii="Times New Roman" w:hAnsi="Times New Roman" w:cs="Times New Roman"/>
          <w:sz w:val="24"/>
          <w:szCs w:val="22"/>
        </w:rPr>
        <w:t xml:space="preserve"> the frequency of disruptions, as lessons that are stimulating, individualized, and cognitively engaging are associated with fewer interruptions (</w:t>
      </w:r>
      <w:proofErr w:type="spellStart"/>
      <w:r w:rsidR="00C33D6B" w:rsidRPr="00EA032D">
        <w:rPr>
          <w:rFonts w:ascii="Times New Roman" w:hAnsi="Times New Roman" w:cs="Times New Roman"/>
          <w:sz w:val="24"/>
          <w:szCs w:val="22"/>
        </w:rPr>
        <w:t>Wettstein</w:t>
      </w:r>
      <w:proofErr w:type="spellEnd"/>
      <w:r w:rsidR="00C33D6B" w:rsidRPr="00EA032D">
        <w:rPr>
          <w:rFonts w:ascii="Times New Roman" w:hAnsi="Times New Roman" w:cs="Times New Roman"/>
          <w:sz w:val="24"/>
          <w:szCs w:val="22"/>
        </w:rPr>
        <w:t xml:space="preserve"> et al., 2010).</w:t>
      </w:r>
      <w:r w:rsidR="00C33D6B">
        <w:rPr>
          <w:rFonts w:ascii="Times New Roman" w:hAnsi="Times New Roman" w:cs="Times New Roman"/>
          <w:sz w:val="24"/>
          <w:szCs w:val="22"/>
        </w:rPr>
        <w:t xml:space="preserve"> </w:t>
      </w:r>
      <w:r w:rsidR="009B1774" w:rsidRPr="009B1774">
        <w:rPr>
          <w:rFonts w:ascii="Times New Roman" w:hAnsi="Times New Roman" w:cs="Times New Roman"/>
          <w:sz w:val="24"/>
          <w:szCs w:val="22"/>
        </w:rPr>
        <w:t>Thus, classroom management encompasses creating a positive learning environment, promoting student engagement, and establishing clear rules and routines (</w:t>
      </w:r>
      <w:proofErr w:type="spellStart"/>
      <w:r w:rsidR="009B1774" w:rsidRPr="009B1774">
        <w:rPr>
          <w:rFonts w:ascii="Times New Roman" w:hAnsi="Times New Roman" w:cs="Times New Roman"/>
          <w:sz w:val="24"/>
          <w:szCs w:val="22"/>
        </w:rPr>
        <w:t>Evertson</w:t>
      </w:r>
      <w:proofErr w:type="spellEnd"/>
      <w:r w:rsidR="009B1774" w:rsidRPr="009B1774">
        <w:rPr>
          <w:rFonts w:ascii="Times New Roman" w:hAnsi="Times New Roman" w:cs="Times New Roman"/>
          <w:sz w:val="24"/>
          <w:szCs w:val="22"/>
        </w:rPr>
        <w:t xml:space="preserve"> &amp; Weinstein, 2011). It also supports the development of a constructive classroom atmosphere and enhances student learning outcomes (</w:t>
      </w:r>
      <w:proofErr w:type="spellStart"/>
      <w:r w:rsidR="009B1774" w:rsidRPr="009B1774">
        <w:rPr>
          <w:rFonts w:ascii="Times New Roman" w:hAnsi="Times New Roman" w:cs="Times New Roman"/>
          <w:sz w:val="24"/>
          <w:szCs w:val="22"/>
        </w:rPr>
        <w:t>Djigic</w:t>
      </w:r>
      <w:proofErr w:type="spellEnd"/>
      <w:r w:rsidR="009B1774" w:rsidRPr="009B1774">
        <w:rPr>
          <w:rFonts w:ascii="Times New Roman" w:hAnsi="Times New Roman" w:cs="Times New Roman"/>
          <w:sz w:val="24"/>
          <w:szCs w:val="22"/>
        </w:rPr>
        <w:t xml:space="preserve"> &amp; </w:t>
      </w:r>
      <w:proofErr w:type="spellStart"/>
      <w:r w:rsidR="009B1774" w:rsidRPr="009B1774">
        <w:rPr>
          <w:rFonts w:ascii="Times New Roman" w:hAnsi="Times New Roman" w:cs="Times New Roman"/>
          <w:sz w:val="24"/>
          <w:szCs w:val="22"/>
        </w:rPr>
        <w:t>Stojiljkovic</w:t>
      </w:r>
      <w:proofErr w:type="spellEnd"/>
      <w:r w:rsidR="009B1774" w:rsidRPr="009B1774">
        <w:rPr>
          <w:rFonts w:ascii="Times New Roman" w:hAnsi="Times New Roman" w:cs="Times New Roman"/>
          <w:sz w:val="24"/>
          <w:szCs w:val="22"/>
        </w:rPr>
        <w:t>, 2011; Mitchell &amp; Bradshaw, 2013).</w:t>
      </w:r>
    </w:p>
    <w:p w14:paraId="612C5984" w14:textId="4930D28E" w:rsidR="00F6210D" w:rsidRDefault="00CD1837" w:rsidP="00B81559">
      <w:pPr>
        <w:rPr>
          <w:rFonts w:ascii="Times New Roman" w:hAnsi="Times New Roman" w:cs="Times New Roman"/>
          <w:sz w:val="24"/>
          <w:szCs w:val="22"/>
        </w:rPr>
      </w:pPr>
      <w:r>
        <w:rPr>
          <w:rFonts w:ascii="Times New Roman" w:hAnsi="Times New Roman" w:cs="Times New Roman"/>
          <w:sz w:val="24"/>
          <w:szCs w:val="22"/>
        </w:rPr>
        <w:t>T</w:t>
      </w:r>
      <w:r w:rsidR="00B81559" w:rsidRPr="00B81559">
        <w:rPr>
          <w:rFonts w:ascii="Times New Roman" w:hAnsi="Times New Roman" w:cs="Times New Roman"/>
          <w:sz w:val="24"/>
          <w:szCs w:val="22"/>
        </w:rPr>
        <w:t>he management of classroom disruptions is one essential aspect of effective classroom management</w:t>
      </w:r>
      <w:r w:rsidR="006D44BF">
        <w:rPr>
          <w:rFonts w:ascii="Times New Roman" w:hAnsi="Times New Roman" w:cs="Times New Roman"/>
          <w:sz w:val="24"/>
          <w:szCs w:val="22"/>
        </w:rPr>
        <w:t>,</w:t>
      </w:r>
      <w:r w:rsidR="00B81559" w:rsidRPr="00B81559">
        <w:rPr>
          <w:rFonts w:ascii="Times New Roman" w:hAnsi="Times New Roman" w:cs="Times New Roman"/>
          <w:sz w:val="24"/>
          <w:szCs w:val="22"/>
        </w:rPr>
        <w:t xml:space="preserve"> making it </w:t>
      </w:r>
      <w:r w:rsidR="00D10DF8">
        <w:rPr>
          <w:rFonts w:ascii="Times New Roman" w:hAnsi="Times New Roman" w:cs="Times New Roman"/>
          <w:sz w:val="24"/>
          <w:szCs w:val="22"/>
        </w:rPr>
        <w:t>important</w:t>
      </w:r>
      <w:r w:rsidR="00B81559" w:rsidRPr="00B81559">
        <w:rPr>
          <w:rFonts w:ascii="Times New Roman" w:hAnsi="Times New Roman" w:cs="Times New Roman"/>
          <w:sz w:val="24"/>
          <w:szCs w:val="22"/>
        </w:rPr>
        <w:t xml:space="preserve"> for teachers to develop appropriate strategies </w:t>
      </w:r>
      <w:r w:rsidR="00AF4C48">
        <w:rPr>
          <w:rFonts w:ascii="Times New Roman" w:hAnsi="Times New Roman" w:cs="Times New Roman"/>
          <w:sz w:val="24"/>
          <w:szCs w:val="22"/>
        </w:rPr>
        <w:t xml:space="preserve">in disruptive situations </w:t>
      </w:r>
      <w:r w:rsidR="00B81559" w:rsidRPr="00B81559">
        <w:rPr>
          <w:rFonts w:ascii="Times New Roman" w:hAnsi="Times New Roman" w:cs="Times New Roman"/>
          <w:sz w:val="24"/>
          <w:szCs w:val="22"/>
        </w:rPr>
        <w:fldChar w:fldCharType="begin"/>
      </w:r>
      <w:r w:rsidR="00B81559" w:rsidRPr="00B81559">
        <w:rPr>
          <w:rFonts w:ascii="Times New Roman" w:hAnsi="Times New Roman" w:cs="Times New Roman"/>
          <w:sz w:val="24"/>
          <w:szCs w:val="22"/>
        </w:rPr>
        <w:instrText xml:space="preserve"> ADDIN ZOTERO_ITEM CSL_CITATION {"citationID":"3xipLnnJ","properties":{"formattedCitation":"(Helmke,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B81559" w:rsidRPr="00B81559">
        <w:rPr>
          <w:rFonts w:ascii="Times New Roman" w:hAnsi="Times New Roman" w:cs="Times New Roman"/>
          <w:sz w:val="24"/>
          <w:szCs w:val="22"/>
        </w:rPr>
        <w:fldChar w:fldCharType="separate"/>
      </w:r>
      <w:r w:rsidR="00B81559" w:rsidRPr="00B81559">
        <w:rPr>
          <w:rFonts w:ascii="Times New Roman" w:hAnsi="Times New Roman" w:cs="Times New Roman"/>
          <w:sz w:val="24"/>
          <w:szCs w:val="22"/>
        </w:rPr>
        <w:t>(Helmke, 2022)</w:t>
      </w:r>
      <w:r w:rsidR="00B81559" w:rsidRPr="00B81559">
        <w:rPr>
          <w:rFonts w:ascii="Times New Roman" w:hAnsi="Times New Roman" w:cs="Times New Roman"/>
          <w:sz w:val="24"/>
          <w:szCs w:val="22"/>
        </w:rPr>
        <w:fldChar w:fldCharType="end"/>
      </w:r>
      <w:r w:rsidR="00B81559" w:rsidRPr="00B81559">
        <w:rPr>
          <w:rFonts w:ascii="Times New Roman" w:hAnsi="Times New Roman" w:cs="Times New Roman"/>
          <w:sz w:val="24"/>
          <w:szCs w:val="22"/>
        </w:rPr>
        <w:t xml:space="preserve">. </w:t>
      </w:r>
      <w:r w:rsidR="00E4270A" w:rsidRPr="00E4270A">
        <w:rPr>
          <w:rFonts w:ascii="Times New Roman" w:hAnsi="Times New Roman" w:cs="Times New Roman"/>
          <w:sz w:val="24"/>
          <w:szCs w:val="22"/>
        </w:rPr>
        <w:t xml:space="preserve">Achieving effective management </w:t>
      </w:r>
      <w:r w:rsidR="00B81559">
        <w:rPr>
          <w:rFonts w:ascii="Times New Roman" w:hAnsi="Times New Roman" w:cs="Times New Roman"/>
          <w:sz w:val="24"/>
          <w:szCs w:val="22"/>
        </w:rPr>
        <w:t xml:space="preserve">of disruptions </w:t>
      </w:r>
      <w:r w:rsidR="00E4270A" w:rsidRPr="00E4270A">
        <w:rPr>
          <w:rFonts w:ascii="Times New Roman" w:hAnsi="Times New Roman" w:cs="Times New Roman"/>
          <w:sz w:val="24"/>
          <w:szCs w:val="22"/>
        </w:rPr>
        <w:t xml:space="preserve">requires teachers to handle the simultaneity and complexity of classroom interactions (Doyle, 1980) by developing skills like </w:t>
      </w:r>
      <w:r w:rsidR="00E4270A" w:rsidRPr="00E4270A">
        <w:rPr>
          <w:rFonts w:ascii="Times New Roman" w:hAnsi="Times New Roman" w:cs="Times New Roman"/>
          <w:i/>
          <w:iCs/>
          <w:sz w:val="24"/>
          <w:szCs w:val="22"/>
        </w:rPr>
        <w:t>withitness</w:t>
      </w:r>
      <w:r w:rsidR="00E4270A" w:rsidRPr="00E4270A">
        <w:rPr>
          <w:rFonts w:ascii="Times New Roman" w:hAnsi="Times New Roman" w:cs="Times New Roman"/>
          <w:sz w:val="24"/>
          <w:szCs w:val="22"/>
        </w:rPr>
        <w:t xml:space="preserve"> and </w:t>
      </w:r>
      <w:r w:rsidR="00E4270A" w:rsidRPr="00E4270A">
        <w:rPr>
          <w:rFonts w:ascii="Times New Roman" w:hAnsi="Times New Roman" w:cs="Times New Roman"/>
          <w:i/>
          <w:iCs/>
          <w:sz w:val="24"/>
          <w:szCs w:val="22"/>
        </w:rPr>
        <w:t>overlapping</w:t>
      </w:r>
      <w:r w:rsidR="00E4270A" w:rsidRPr="00E4270A">
        <w:rPr>
          <w:rFonts w:ascii="Times New Roman" w:hAnsi="Times New Roman" w:cs="Times New Roman"/>
          <w:sz w:val="24"/>
          <w:szCs w:val="22"/>
        </w:rPr>
        <w:t xml:space="preserve"> (</w:t>
      </w:r>
      <w:proofErr w:type="spellStart"/>
      <w:r w:rsidR="00E4270A" w:rsidRPr="00E4270A">
        <w:rPr>
          <w:rFonts w:ascii="Times New Roman" w:hAnsi="Times New Roman" w:cs="Times New Roman"/>
          <w:sz w:val="24"/>
          <w:szCs w:val="22"/>
        </w:rPr>
        <w:t>Kounin</w:t>
      </w:r>
      <w:proofErr w:type="spellEnd"/>
      <w:r w:rsidR="00E4270A" w:rsidRPr="00E4270A">
        <w:rPr>
          <w:rFonts w:ascii="Times New Roman" w:hAnsi="Times New Roman" w:cs="Times New Roman"/>
          <w:sz w:val="24"/>
          <w:szCs w:val="22"/>
        </w:rPr>
        <w:t xml:space="preserve">, 2006). Withitness refers to a teacher’s awareness of classroom dynamics, while overlapping involves managing multiple tasks without disrupting instructional flow. Gold and </w:t>
      </w:r>
      <w:proofErr w:type="spellStart"/>
      <w:r w:rsidR="00E4270A" w:rsidRPr="00E4270A">
        <w:rPr>
          <w:rFonts w:ascii="Times New Roman" w:hAnsi="Times New Roman" w:cs="Times New Roman"/>
          <w:sz w:val="24"/>
          <w:szCs w:val="22"/>
        </w:rPr>
        <w:t>Holodynski</w:t>
      </w:r>
      <w:proofErr w:type="spellEnd"/>
      <w:r w:rsidR="00E4270A" w:rsidRPr="00E4270A">
        <w:rPr>
          <w:rFonts w:ascii="Times New Roman" w:hAnsi="Times New Roman" w:cs="Times New Roman"/>
          <w:sz w:val="24"/>
          <w:szCs w:val="22"/>
        </w:rPr>
        <w:t xml:space="preserve"> (2015) group these under </w:t>
      </w:r>
      <w:r w:rsidR="00E4270A" w:rsidRPr="00E4270A">
        <w:rPr>
          <w:rFonts w:ascii="Times New Roman" w:hAnsi="Times New Roman" w:cs="Times New Roman"/>
          <w:i/>
          <w:iCs/>
          <w:sz w:val="24"/>
          <w:szCs w:val="22"/>
        </w:rPr>
        <w:t>monitoring</w:t>
      </w:r>
      <w:r w:rsidR="00E4270A" w:rsidRPr="00E4270A">
        <w:rPr>
          <w:rFonts w:ascii="Times New Roman" w:hAnsi="Times New Roman" w:cs="Times New Roman"/>
          <w:sz w:val="24"/>
          <w:szCs w:val="22"/>
        </w:rPr>
        <w:t>, which includes proactive strategies</w:t>
      </w:r>
      <w:r w:rsidR="00E4270A">
        <w:rPr>
          <w:rFonts w:ascii="Times New Roman" w:hAnsi="Times New Roman" w:cs="Times New Roman"/>
          <w:sz w:val="24"/>
          <w:szCs w:val="22"/>
        </w:rPr>
        <w:t xml:space="preserve">, </w:t>
      </w:r>
      <w:r w:rsidR="00E4270A" w:rsidRPr="00E4270A">
        <w:rPr>
          <w:rFonts w:ascii="Times New Roman" w:hAnsi="Times New Roman" w:cs="Times New Roman"/>
          <w:sz w:val="24"/>
          <w:szCs w:val="22"/>
        </w:rPr>
        <w:t>such as maintaining perceptible presence (Kiel et al., 2013)</w:t>
      </w:r>
      <w:r w:rsidR="00E4270A">
        <w:rPr>
          <w:rFonts w:ascii="Times New Roman" w:hAnsi="Times New Roman" w:cs="Times New Roman"/>
          <w:sz w:val="24"/>
          <w:szCs w:val="22"/>
        </w:rPr>
        <w:t xml:space="preserve">, </w:t>
      </w:r>
      <w:r w:rsidR="00E4270A" w:rsidRPr="00E4270A">
        <w:rPr>
          <w:rFonts w:ascii="Times New Roman" w:hAnsi="Times New Roman" w:cs="Times New Roman"/>
          <w:sz w:val="24"/>
          <w:szCs w:val="22"/>
        </w:rPr>
        <w:t xml:space="preserve">and reactive </w:t>
      </w:r>
      <w:r w:rsidR="00E4270A" w:rsidRPr="00E4270A">
        <w:rPr>
          <w:rFonts w:ascii="Times New Roman" w:hAnsi="Times New Roman" w:cs="Times New Roman"/>
          <w:sz w:val="24"/>
          <w:szCs w:val="22"/>
        </w:rPr>
        <w:lastRenderedPageBreak/>
        <w:t>strategies tailored to the context and severity of disruptions (</w:t>
      </w:r>
      <w:proofErr w:type="spellStart"/>
      <w:r w:rsidR="00E4270A" w:rsidRPr="00E4270A">
        <w:rPr>
          <w:rFonts w:ascii="Times New Roman" w:hAnsi="Times New Roman" w:cs="Times New Roman"/>
          <w:sz w:val="24"/>
          <w:szCs w:val="22"/>
        </w:rPr>
        <w:t>Kounin</w:t>
      </w:r>
      <w:proofErr w:type="spellEnd"/>
      <w:r w:rsidR="00E4270A" w:rsidRPr="00E4270A">
        <w:rPr>
          <w:rFonts w:ascii="Times New Roman" w:hAnsi="Times New Roman" w:cs="Times New Roman"/>
          <w:sz w:val="24"/>
          <w:szCs w:val="22"/>
        </w:rPr>
        <w:t>, 2006).</w:t>
      </w:r>
      <w:r w:rsidR="00877D19">
        <w:rPr>
          <w:rStyle w:val="Funotenzeichen"/>
          <w:rFonts w:ascii="Times New Roman" w:hAnsi="Times New Roman" w:cs="Times New Roman"/>
          <w:sz w:val="24"/>
          <w:szCs w:val="22"/>
        </w:rPr>
        <w:footnoteReference w:id="3"/>
      </w:r>
      <w:r w:rsidR="00B81559">
        <w:rPr>
          <w:rFonts w:ascii="Times New Roman" w:hAnsi="Times New Roman" w:cs="Times New Roman"/>
          <w:sz w:val="24"/>
          <w:szCs w:val="22"/>
        </w:rPr>
        <w:t xml:space="preserve"> </w:t>
      </w:r>
      <w:r w:rsidR="00051BD9">
        <w:rPr>
          <w:rFonts w:ascii="Times New Roman" w:hAnsi="Times New Roman" w:cs="Times New Roman"/>
          <w:sz w:val="24"/>
          <w:szCs w:val="22"/>
        </w:rPr>
        <w:t>R</w:t>
      </w:r>
      <w:r w:rsidR="00051BD9" w:rsidRPr="00051BD9">
        <w:rPr>
          <w:rFonts w:ascii="Times New Roman" w:hAnsi="Times New Roman" w:cs="Times New Roman"/>
          <w:sz w:val="24"/>
          <w:szCs w:val="22"/>
        </w:rPr>
        <w:t xml:space="preserve">eactive strategies should be timely, subtle, and escalate gradually (Borich, 2015; Keller, 2014; Lohmann, 2014; </w:t>
      </w:r>
      <w:proofErr w:type="spellStart"/>
      <w:r w:rsidR="00051BD9" w:rsidRPr="00051BD9">
        <w:rPr>
          <w:rFonts w:ascii="Times New Roman" w:hAnsi="Times New Roman" w:cs="Times New Roman"/>
          <w:sz w:val="24"/>
          <w:szCs w:val="22"/>
        </w:rPr>
        <w:t>Nolting</w:t>
      </w:r>
      <w:proofErr w:type="spellEnd"/>
      <w:r w:rsidR="00051BD9" w:rsidRPr="00051BD9">
        <w:rPr>
          <w:rFonts w:ascii="Times New Roman" w:hAnsi="Times New Roman" w:cs="Times New Roman"/>
          <w:sz w:val="24"/>
          <w:szCs w:val="22"/>
        </w:rPr>
        <w:t>, 2017). A low-profile approach</w:t>
      </w:r>
      <w:r w:rsidR="00A2439B">
        <w:rPr>
          <w:rFonts w:ascii="Times New Roman" w:hAnsi="Times New Roman" w:cs="Times New Roman"/>
          <w:sz w:val="24"/>
          <w:szCs w:val="22"/>
        </w:rPr>
        <w:t xml:space="preserve">, </w:t>
      </w:r>
      <w:r w:rsidR="00051BD9" w:rsidRPr="00051BD9">
        <w:rPr>
          <w:rFonts w:ascii="Times New Roman" w:hAnsi="Times New Roman" w:cs="Times New Roman"/>
          <w:sz w:val="24"/>
          <w:szCs w:val="22"/>
        </w:rPr>
        <w:t>such as responding early with minimal interruption</w:t>
      </w:r>
      <w:r w:rsidR="00A2439B">
        <w:rPr>
          <w:rFonts w:ascii="Times New Roman" w:hAnsi="Times New Roman" w:cs="Times New Roman"/>
          <w:sz w:val="24"/>
          <w:szCs w:val="22"/>
        </w:rPr>
        <w:t xml:space="preserve">, </w:t>
      </w:r>
      <w:r w:rsidR="00051BD9" w:rsidRPr="00051BD9">
        <w:rPr>
          <w:rFonts w:ascii="Times New Roman" w:hAnsi="Times New Roman" w:cs="Times New Roman"/>
          <w:sz w:val="24"/>
          <w:szCs w:val="22"/>
        </w:rPr>
        <w:t>has proven effective in managing minor disruptions without diverting attention from the learning process (Rinne, 1982; Borich, 2015; Helmke, 2021). Subtle verbal or nonverbal cues help preserve instructional flow and classroom climate, especially when addressing seemingly harmless behaviors like daydreaming or mobile phone use (</w:t>
      </w:r>
      <w:proofErr w:type="spellStart"/>
      <w:r w:rsidR="00051BD9" w:rsidRPr="00051BD9">
        <w:rPr>
          <w:rFonts w:ascii="Times New Roman" w:hAnsi="Times New Roman" w:cs="Times New Roman"/>
          <w:sz w:val="24"/>
          <w:szCs w:val="22"/>
        </w:rPr>
        <w:t>Grewe</w:t>
      </w:r>
      <w:proofErr w:type="spellEnd"/>
      <w:r w:rsidR="00051BD9" w:rsidRPr="00051BD9">
        <w:rPr>
          <w:rFonts w:ascii="Times New Roman" w:hAnsi="Times New Roman" w:cs="Times New Roman"/>
          <w:sz w:val="24"/>
          <w:szCs w:val="22"/>
        </w:rPr>
        <w:t xml:space="preserve">, 2002; Helmke, 2021). </w:t>
      </w:r>
    </w:p>
    <w:p w14:paraId="5010C01A" w14:textId="77777777" w:rsidR="00630FC4" w:rsidRPr="00630FC4" w:rsidRDefault="00630FC4" w:rsidP="00630FC4">
      <w:pPr>
        <w:pStyle w:val="berschrift2"/>
        <w:rPr>
          <w:rFonts w:ascii="Times New Roman" w:hAnsi="Times New Roman" w:cs="Times New Roman"/>
          <w:sz w:val="24"/>
          <w:szCs w:val="24"/>
          <w:shd w:val="clear" w:color="auto" w:fill="auto"/>
          <w:lang w:eastAsia="de-DE"/>
        </w:rPr>
      </w:pPr>
      <w:r w:rsidRPr="00630FC4">
        <w:rPr>
          <w:rFonts w:ascii="Times New Roman" w:hAnsi="Times New Roman" w:cs="Times New Roman"/>
          <w:sz w:val="24"/>
          <w:szCs w:val="24"/>
          <w:shd w:val="clear" w:color="auto" w:fill="auto"/>
          <w:lang w:eastAsia="de-DE"/>
        </w:rPr>
        <w:t xml:space="preserve">Competence Development in Classroom Disruption Management </w:t>
      </w:r>
    </w:p>
    <w:p w14:paraId="2C0EF7A1" w14:textId="05F34B6E" w:rsidR="00C356A7" w:rsidRDefault="00241AC9" w:rsidP="00630FC4">
      <w:pPr>
        <w:rPr>
          <w:rFonts w:ascii="Times New Roman" w:hAnsi="Times New Roman" w:cs="Times New Roman"/>
          <w:sz w:val="24"/>
          <w:szCs w:val="22"/>
        </w:rPr>
      </w:pPr>
      <w:r w:rsidRPr="00241AC9">
        <w:rPr>
          <w:rFonts w:ascii="Times New Roman" w:hAnsi="Times New Roman" w:cs="Times New Roman"/>
          <w:sz w:val="24"/>
          <w:szCs w:val="22"/>
        </w:rPr>
        <w:t>Effectively addressing classroom disruptions requires teachers to continuously monitor their environment for behaviors that may interfere with the learning process. Figure 1 presents a simplified model that illustrates how cognitive dispositions interact with perception processes</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conceptualized as </w:t>
      </w:r>
      <w:r w:rsidRPr="00241AC9">
        <w:rPr>
          <w:rFonts w:ascii="Times New Roman" w:hAnsi="Times New Roman" w:cs="Times New Roman"/>
          <w:i/>
          <w:iCs/>
          <w:sz w:val="24"/>
          <w:szCs w:val="22"/>
        </w:rPr>
        <w:t>professional vision</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and lead to observable teaching behavior. This model is adapted from the competence-to-performance transformation framework proposed by</w:t>
      </w:r>
      <w:r>
        <w:rPr>
          <w:rFonts w:ascii="Times New Roman" w:hAnsi="Times New Roman" w:cs="Times New Roman"/>
          <w:sz w:val="24"/>
          <w:szCs w:val="22"/>
        </w:rPr>
        <w:t xml:space="preserve"> </w:t>
      </w:r>
      <w:r w:rsidR="002E1A0C">
        <w:rPr>
          <w:rFonts w:ascii="Times New Roman" w:hAnsi="Times New Roman" w:cs="Times New Roman"/>
          <w:sz w:val="24"/>
          <w:szCs w:val="22"/>
        </w:rPr>
        <w:fldChar w:fldCharType="begin"/>
      </w:r>
      <w:r w:rsidR="002E1A0C">
        <w:rPr>
          <w:rFonts w:ascii="Times New Roman" w:hAnsi="Times New Roman" w:cs="Times New Roman"/>
          <w:sz w:val="24"/>
          <w:szCs w:val="22"/>
        </w:rPr>
        <w:instrText xml:space="preserve"> ADDIN ZOTERO_ITEM CSL_CITATION {"citationID":"ZdSHVcNw","properties":{"formattedCitation":"(Bl\\uc0\\u246{}meke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2E1A0C">
        <w:rPr>
          <w:rFonts w:ascii="Times New Roman" w:hAnsi="Times New Roman" w:cs="Times New Roman"/>
          <w:sz w:val="24"/>
          <w:szCs w:val="22"/>
        </w:rPr>
        <w:fldChar w:fldCharType="separate"/>
      </w:r>
      <w:proofErr w:type="spellStart"/>
      <w:r w:rsidR="002E1A0C" w:rsidRPr="00630FC4">
        <w:rPr>
          <w:rFonts w:ascii="Times New Roman" w:hAnsi="Times New Roman" w:cs="Times New Roman"/>
          <w:sz w:val="24"/>
          <w:szCs w:val="22"/>
        </w:rPr>
        <w:t>Blömeke</w:t>
      </w:r>
      <w:proofErr w:type="spellEnd"/>
      <w:r w:rsidR="002E1A0C" w:rsidRPr="00630FC4">
        <w:rPr>
          <w:rFonts w:ascii="Times New Roman" w:hAnsi="Times New Roman" w:cs="Times New Roman"/>
          <w:sz w:val="24"/>
          <w:szCs w:val="22"/>
        </w:rPr>
        <w:t xml:space="preserve"> et al. (2015)</w:t>
      </w:r>
      <w:r w:rsidR="002E1A0C">
        <w:rPr>
          <w:rFonts w:ascii="Times New Roman" w:hAnsi="Times New Roman" w:cs="Times New Roman"/>
          <w:sz w:val="24"/>
          <w:szCs w:val="22"/>
        </w:rPr>
        <w:fldChar w:fldCharType="end"/>
      </w:r>
      <w:r w:rsidR="005F0BE0">
        <w:rPr>
          <w:rFonts w:ascii="Times New Roman" w:hAnsi="Times New Roman" w:cs="Times New Roman"/>
          <w:sz w:val="24"/>
          <w:szCs w:val="22"/>
        </w:rPr>
        <w:t xml:space="preserve"> </w:t>
      </w:r>
      <w:r w:rsidR="001C6737" w:rsidRPr="001C6737">
        <w:rPr>
          <w:rFonts w:ascii="Times New Roman" w:hAnsi="Times New Roman" w:cs="Times New Roman"/>
          <w:sz w:val="24"/>
          <w:szCs w:val="22"/>
        </w:rPr>
        <w:t xml:space="preserve">and further developed by </w:t>
      </w:r>
      <w:r w:rsidR="005F0BE0">
        <w:rPr>
          <w:rFonts w:ascii="Times New Roman" w:hAnsi="Times New Roman" w:cs="Times New Roman"/>
          <w:sz w:val="24"/>
          <w:szCs w:val="22"/>
        </w:rPr>
        <w:fldChar w:fldCharType="begin"/>
      </w:r>
      <w:r w:rsidR="005F0BE0">
        <w:rPr>
          <w:rFonts w:ascii="Times New Roman" w:hAnsi="Times New Roman" w:cs="Times New Roman"/>
          <w:sz w:val="24"/>
          <w:szCs w:val="22"/>
        </w:rPr>
        <w:instrText xml:space="preserve"> ADDIN ZOTERO_ITEM CSL_CITATION {"citationID":"riz7V6qz","properties":{"formattedCitation":"(Grub,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5F0BE0">
        <w:rPr>
          <w:rFonts w:ascii="Times New Roman" w:hAnsi="Times New Roman" w:cs="Times New Roman"/>
          <w:sz w:val="24"/>
          <w:szCs w:val="22"/>
        </w:rPr>
        <w:fldChar w:fldCharType="separate"/>
      </w:r>
      <w:r w:rsidR="005F0BE0" w:rsidRPr="005F0BE0">
        <w:rPr>
          <w:rFonts w:ascii="Times New Roman" w:hAnsi="Times New Roman" w:cs="Times New Roman"/>
          <w:sz w:val="24"/>
        </w:rPr>
        <w:t>Grub</w:t>
      </w:r>
      <w:r w:rsidR="005F0BE0">
        <w:rPr>
          <w:rFonts w:ascii="Times New Roman" w:hAnsi="Times New Roman" w:cs="Times New Roman"/>
          <w:sz w:val="24"/>
        </w:rPr>
        <w:t xml:space="preserve"> (</w:t>
      </w:r>
      <w:r w:rsidR="005F0BE0" w:rsidRPr="005F0BE0">
        <w:rPr>
          <w:rFonts w:ascii="Times New Roman" w:hAnsi="Times New Roman" w:cs="Times New Roman"/>
          <w:sz w:val="24"/>
        </w:rPr>
        <w:t>2023)</w:t>
      </w:r>
      <w:r w:rsidR="005F0BE0">
        <w:rPr>
          <w:rFonts w:ascii="Times New Roman" w:hAnsi="Times New Roman" w:cs="Times New Roman"/>
          <w:sz w:val="24"/>
          <w:szCs w:val="22"/>
        </w:rPr>
        <w:fldChar w:fldCharType="end"/>
      </w:r>
      <w:r w:rsidR="00EE32DA">
        <w:rPr>
          <w:rFonts w:ascii="Times New Roman" w:hAnsi="Times New Roman" w:cs="Times New Roman"/>
          <w:sz w:val="24"/>
          <w:szCs w:val="22"/>
        </w:rPr>
        <w:t>.</w:t>
      </w:r>
    </w:p>
    <w:p w14:paraId="56014A91" w14:textId="77777777" w:rsidR="005343E9" w:rsidRPr="005343E9" w:rsidRDefault="005343E9" w:rsidP="00F403DD">
      <w:pPr>
        <w:ind w:firstLine="0"/>
        <w:rPr>
          <w:rFonts w:ascii="Times New Roman" w:hAnsi="Times New Roman" w:cs="Times New Roman"/>
          <w:b/>
          <w:bCs/>
          <w:sz w:val="24"/>
          <w:szCs w:val="22"/>
        </w:rPr>
      </w:pPr>
      <w:r w:rsidRPr="005343E9">
        <w:rPr>
          <w:rFonts w:ascii="Times New Roman" w:hAnsi="Times New Roman" w:cs="Times New Roman"/>
          <w:b/>
          <w:bCs/>
          <w:sz w:val="24"/>
          <w:szCs w:val="22"/>
        </w:rPr>
        <w:t xml:space="preserve">Figure 1 </w:t>
      </w:r>
    </w:p>
    <w:p w14:paraId="5CDFCAF3" w14:textId="22E121B9" w:rsidR="007F6EAE" w:rsidRDefault="006676AA" w:rsidP="006676AA">
      <w:pPr>
        <w:ind w:firstLine="0"/>
        <w:rPr>
          <w:rFonts w:ascii="Times New Roman" w:hAnsi="Times New Roman" w:cs="Times New Roman"/>
          <w:i/>
          <w:iCs/>
          <w:sz w:val="24"/>
          <w:szCs w:val="22"/>
        </w:rPr>
      </w:pPr>
      <w:r w:rsidRPr="006676AA">
        <w:rPr>
          <w:rFonts w:ascii="Times New Roman" w:hAnsi="Times New Roman" w:cs="Times New Roman"/>
          <w:i/>
          <w:iCs/>
          <w:sz w:val="24"/>
          <w:szCs w:val="22"/>
        </w:rPr>
        <w:t xml:space="preserve">Model of Professional Competence Development in Classroom </w:t>
      </w:r>
      <w:r>
        <w:rPr>
          <w:rFonts w:ascii="Times New Roman" w:hAnsi="Times New Roman" w:cs="Times New Roman"/>
          <w:i/>
          <w:iCs/>
          <w:sz w:val="24"/>
          <w:szCs w:val="22"/>
        </w:rPr>
        <w:t xml:space="preserve">Disruption </w:t>
      </w:r>
      <w:r w:rsidRPr="006676AA">
        <w:rPr>
          <w:rFonts w:ascii="Times New Roman" w:hAnsi="Times New Roman" w:cs="Times New Roman"/>
          <w:i/>
          <w:iCs/>
          <w:sz w:val="24"/>
          <w:szCs w:val="22"/>
        </w:rPr>
        <w:t>Management</w:t>
      </w:r>
      <w:r>
        <w:rPr>
          <w:rFonts w:ascii="Times New Roman" w:hAnsi="Times New Roman" w:cs="Times New Roman"/>
          <w:i/>
          <w:iCs/>
          <w:sz w:val="24"/>
          <w:szCs w:val="22"/>
        </w:rPr>
        <w:t xml:space="preserve"> </w:t>
      </w:r>
      <w:r w:rsidR="00F7080A">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Adapted </w:t>
      </w:r>
      <w:r w:rsidR="00F7080A" w:rsidRPr="00DD3A5A">
        <w:rPr>
          <w:rFonts w:ascii="Times New Roman" w:hAnsi="Times New Roman" w:cs="Times New Roman"/>
          <w:i/>
          <w:iCs/>
          <w:sz w:val="24"/>
          <w:szCs w:val="22"/>
        </w:rPr>
        <w:t xml:space="preserve">From </w:t>
      </w:r>
      <w:r w:rsidR="00DD3A5A" w:rsidRPr="00DD3A5A">
        <w:rPr>
          <w:rFonts w:ascii="Times New Roman" w:hAnsi="Times New Roman" w:cs="Times New Roman"/>
          <w:i/>
          <w:iCs/>
          <w:sz w:val="24"/>
          <w:szCs w:val="22"/>
        </w:rPr>
        <w:fldChar w:fldCharType="begin"/>
      </w:r>
      <w:r w:rsidR="00DD3A5A" w:rsidRPr="00DD3A5A">
        <w:rPr>
          <w:rFonts w:ascii="Times New Roman" w:hAnsi="Times New Roman" w:cs="Times New Roman"/>
          <w:i/>
          <w:iCs/>
          <w:sz w:val="24"/>
          <w:szCs w:val="22"/>
        </w:rPr>
        <w:instrText xml:space="preserve"> ADDIN ZOTERO_ITEM CSL_CITATION {"citationID":"cPDvgyr6","properties":{"formattedCitation":"(Bl\\uc0\\u246{}meke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DD3A5A" w:rsidRPr="00DD3A5A">
        <w:rPr>
          <w:rFonts w:ascii="Times New Roman" w:hAnsi="Times New Roman" w:cs="Times New Roman"/>
          <w:i/>
          <w:iCs/>
          <w:sz w:val="24"/>
          <w:szCs w:val="22"/>
        </w:rPr>
        <w:fldChar w:fldCharType="separate"/>
      </w:r>
      <w:r w:rsidR="00DD3A5A" w:rsidRPr="00DD3A5A">
        <w:rPr>
          <w:rFonts w:ascii="Times New Roman" w:hAnsi="Times New Roman" w:cs="Times New Roman"/>
          <w:i/>
          <w:iCs/>
          <w:sz w:val="24"/>
          <w:szCs w:val="24"/>
        </w:rPr>
        <w:t>Blömeke et al. (2015)</w:t>
      </w:r>
      <w:r w:rsidR="00DD3A5A" w:rsidRPr="00DD3A5A">
        <w:rPr>
          <w:rFonts w:ascii="Times New Roman" w:hAnsi="Times New Roman" w:cs="Times New Roman"/>
          <w:i/>
          <w:iCs/>
          <w:sz w:val="24"/>
          <w:szCs w:val="22"/>
        </w:rPr>
        <w:fldChar w:fldCharType="end"/>
      </w:r>
      <w:r w:rsidR="001C12C0">
        <w:rPr>
          <w:rFonts w:ascii="Times New Roman" w:hAnsi="Times New Roman" w:cs="Times New Roman"/>
          <w:i/>
          <w:iCs/>
          <w:sz w:val="24"/>
          <w:szCs w:val="22"/>
        </w:rPr>
        <w:t xml:space="preserve"> and </w:t>
      </w:r>
      <w:r w:rsidR="001C12C0" w:rsidRPr="001C12C0">
        <w:rPr>
          <w:rFonts w:ascii="Times New Roman" w:hAnsi="Times New Roman" w:cs="Times New Roman"/>
          <w:i/>
          <w:iCs/>
          <w:sz w:val="24"/>
          <w:szCs w:val="22"/>
        </w:rPr>
        <w:fldChar w:fldCharType="begin"/>
      </w:r>
      <w:r w:rsidR="001C12C0" w:rsidRPr="001C12C0">
        <w:rPr>
          <w:rFonts w:ascii="Times New Roman" w:hAnsi="Times New Roman" w:cs="Times New Roman"/>
          <w:i/>
          <w:iCs/>
          <w:sz w:val="24"/>
          <w:szCs w:val="22"/>
        </w:rPr>
        <w:instrText xml:space="preserve"> ADDIN ZOTERO_ITEM CSL_CITATION {"citationID":"uV5XPgcj","properties":{"formattedCitation":"(Grub,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1C12C0" w:rsidRPr="001C12C0">
        <w:rPr>
          <w:rFonts w:ascii="Times New Roman" w:hAnsi="Times New Roman" w:cs="Times New Roman"/>
          <w:i/>
          <w:iCs/>
          <w:sz w:val="24"/>
          <w:szCs w:val="22"/>
        </w:rPr>
        <w:fldChar w:fldCharType="separate"/>
      </w:r>
      <w:r w:rsidR="001C12C0" w:rsidRPr="001C12C0">
        <w:rPr>
          <w:rFonts w:ascii="Times New Roman" w:hAnsi="Times New Roman" w:cs="Times New Roman"/>
          <w:i/>
          <w:iCs/>
          <w:sz w:val="24"/>
        </w:rPr>
        <w:t>Grub (2023)</w:t>
      </w:r>
      <w:r w:rsidR="001C12C0" w:rsidRPr="001C12C0">
        <w:rPr>
          <w:rFonts w:ascii="Times New Roman" w:hAnsi="Times New Roman" w:cs="Times New Roman"/>
          <w:i/>
          <w:iCs/>
          <w:sz w:val="24"/>
          <w:szCs w:val="22"/>
        </w:rPr>
        <w:fldChar w:fldCharType="end"/>
      </w:r>
      <w:r w:rsidR="00F7080A" w:rsidRPr="001C12C0">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 Modified by The Authors)</w:t>
      </w:r>
    </w:p>
    <w:p w14:paraId="2EC66C22" w14:textId="7F96505C" w:rsidR="0023707A" w:rsidRPr="0093630C" w:rsidRDefault="00AE2E42" w:rsidP="006676AA">
      <w:pPr>
        <w:ind w:firstLine="0"/>
        <w:rPr>
          <w:szCs w:val="22"/>
        </w:rPr>
      </w:pPr>
      <w:r>
        <w:rPr>
          <w:noProof/>
          <w:szCs w:val="22"/>
        </w:rPr>
        <w:lastRenderedPageBreak/>
        <w:drawing>
          <wp:inline distT="0" distB="0" distL="0" distR="0" wp14:anchorId="4495D98D" wp14:editId="6D32235B">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FD639A0" w14:textId="1079C43E" w:rsidR="005343E9" w:rsidRDefault="005343E9" w:rsidP="005343E9">
      <w:pPr>
        <w:rPr>
          <w:rFonts w:ascii="Times New Roman" w:hAnsi="Times New Roman" w:cs="Times New Roman"/>
          <w:sz w:val="24"/>
          <w:szCs w:val="22"/>
        </w:rPr>
      </w:pPr>
    </w:p>
    <w:p w14:paraId="61F39631" w14:textId="5DF1B462" w:rsidR="00043932" w:rsidRDefault="000D7DBB" w:rsidP="001D3051">
      <w:pPr>
        <w:rPr>
          <w:rFonts w:ascii="Times New Roman" w:hAnsi="Times New Roman" w:cs="Times New Roman"/>
          <w:sz w:val="24"/>
          <w:szCs w:val="22"/>
        </w:rPr>
      </w:pPr>
      <w:r>
        <w:rPr>
          <w:rFonts w:ascii="Times New Roman" w:hAnsi="Times New Roman" w:cs="Times New Roman"/>
          <w:sz w:val="24"/>
          <w:szCs w:val="22"/>
        </w:rPr>
        <w:t xml:space="preserve">As shown in Figure 1, </w:t>
      </w:r>
      <w:r w:rsidR="00FB762C">
        <w:rPr>
          <w:rFonts w:ascii="Times New Roman" w:hAnsi="Times New Roman" w:cs="Times New Roman"/>
          <w:sz w:val="24"/>
          <w:szCs w:val="22"/>
        </w:rPr>
        <w:t>a</w:t>
      </w:r>
      <w:r w:rsidR="00FB762C" w:rsidRPr="00FB762C">
        <w:rPr>
          <w:rFonts w:ascii="Times New Roman" w:hAnsi="Times New Roman" w:cs="Times New Roman"/>
          <w:sz w:val="24"/>
          <w:szCs w:val="22"/>
        </w:rPr>
        <w:t xml:space="preserve">t the foundation of professional teaching practice lie </w:t>
      </w:r>
      <w:r w:rsidR="00FB762C" w:rsidRPr="00FB762C">
        <w:rPr>
          <w:rFonts w:ascii="Times New Roman" w:hAnsi="Times New Roman" w:cs="Times New Roman"/>
          <w:i/>
          <w:iCs/>
          <w:sz w:val="24"/>
          <w:szCs w:val="22"/>
        </w:rPr>
        <w:t>cognitive dispositions</w:t>
      </w:r>
      <w:r w:rsidR="00FB762C" w:rsidRPr="00FB762C">
        <w:rPr>
          <w:rFonts w:ascii="Times New Roman" w:hAnsi="Times New Roman" w:cs="Times New Roman"/>
          <w:sz w:val="24"/>
          <w:szCs w:val="22"/>
        </w:rPr>
        <w:t>, such as well-structured and integrated knowledge of classroom management strategies</w:t>
      </w:r>
      <w:r w:rsidR="00FB762C">
        <w:rPr>
          <w:rFonts w:ascii="Times New Roman" w:hAnsi="Times New Roman" w:cs="Times New Roman"/>
          <w:sz w:val="24"/>
          <w:szCs w:val="22"/>
        </w:rPr>
        <w:t xml:space="preserve">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{"citationID":"euQrgBiG","properties":{"formattedCitation":"(Barth, 2017; Kunter et al., 2011; Voss et al., 2014; Zierer, 2015)","plainCitation":"(Barth, 2017; Kunter et al., 2011; Voss et al., 2014; Zierer, 2015)","noteIndex":0},"citationItems":[{"id":1059,"uris":["http://zotero.org/groups/5349517/items/P6DBFI5T"],"itemData":{"id":1059,"type":"book","collection-title":"Research","event-place":"Wiesbaden","ISBN":"978-3-658-16371-6","language":"ger","note":"DOI: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id":1086,"uris":["http://zotero.org/groups/5349517/items/I6EWEMJ3"],"itemData":{"id":1086,"type":"article-journal","abstract":"In der Arbeit wurde untersucht, ob das pädagogisch-psychologische Wissen (PPK) von angehenden Lehrkräften bedeutsam ist für deren späteren Unterrichtserfolg. PPK, definiert als Wissen, das zur Gestaltung des Unterrichts in verschiedenen Fächern notwendig ist, wurde anhand eines Testinstruments mit 39 Items erfasst [...]. 181 Lehramtskandidatinnen und -kandidaten wurden während des Referendariats getestet, und deren 7 968 Schülerinnen und Schüler bearbeiteten zwei Jahre später in einer Follow-up-Erhebung Fragebögen zur Unterrichtsqualität. Mithilfe von Mehrebenen-Strukturgleichungsmodellen wurde gezeigt, dass PPK der angehenden Lehrkräfte statistisch signifikant die spätere Effizienz der Klassenführung sowie die konstruktive Lernunterstützung vorhersagte. Für das Potenzial zur kognitiven Aktivierung im Unterricht erwies sich PPK hingegen als nicht bedeutsam. (DIPF/Orig.)","container-title":"Zeitschrift für Pädagogik","ISSN":"0044-3247","issue":"2","language":"Deutsch","note":"publisher: pedocs","page":"184-201","source":"Fachportal Pädagogik","title":"Die Bedeutung des pädagogisch-psychologischen Wissens von angehenden Lehrkräften für die Unterrichtsqualität","volume":"60","author":[{"family":"Voss","given":"Thamar"},{"f</w:instrText>
      </w:r>
      <w:r w:rsidR="00AA72CF" w:rsidRPr="00AA72CF">
        <w:rPr>
          <w:rFonts w:ascii="Times New Roman" w:hAnsi="Times New Roman" w:cs="Times New Roman"/>
          <w:sz w:val="24"/>
          <w:szCs w:val="22"/>
        </w:rPr>
        <w:instrText xml:space="preserve">amily":"Kunter","given":"Mareike"},{"family":"Seiz","given":"Johanna"},{"family":"Hoehne","given":"Verena"},{"family":"Baumert","given":"Jürgen"}],"issued":{"date-parts":[["2014"]]}}},{"id":1084,"uris":["http://zotero.org/groups/5349517/items/WTU3VL3P"],"itemData":{"id":1084,"type":"book","abstract":"Jahrbuch für Allgemeine Didaktik Das \"Jahrbuch für Allgemeine Didaktik\" (JfAD) ist ein Periodikum mit double-blind Peer-Review-Verfahren und versteht sich als ein wissenschaftliches Forum zur disziplinaren Selbstbestimmung und Weiterentwicklung der Allgemeinen Didaktik. Ihm liegt ein methodenübergreifendes, interdisziplinäres und international ausgerichtetes Leitbild zugrunde. Inhaltlich werden für jeden Jahrgang Schwerpunktthemen festgelegt, die durch einen allgemeinen Teil sowie durch Rezensionen und Hinweise ergänzt werden. Der Thementeil 201 5 beschäftigt sich mit \"Klassenmanagement / Klassenführung - Perspektiven, Befunde, Kontroversen\".","ISBN":"978-3-7639-6550-2","language":"de","note":"Google-Books-ID: bnqYEAAAQBAJ","number-of-pages":"129","publisher":"wbv Media GmbH &amp; Company KG","source":"Google Books","title":"Jahrbuch für Allgemeine Didaktik 2015: Thementeil: Klassenmanagement / Klassenführung - Perspektiven, Befunde, Kontroversen","title-short":"Jahrbuch für Allgemeine Didaktik 2015","author":[{"family":"Zierer","given":"Klaus"}],"issued":{"date-parts":[["2015",10,1]]}}}],"schema":"https://github.com/citation-style-language/schema/raw/master/csl-citation.json"}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rPr>
        <w:t xml:space="preserve">(Barth, 2017; </w:t>
      </w:r>
      <w:proofErr w:type="spellStart"/>
      <w:r w:rsidR="00AA72CF" w:rsidRPr="00AA72CF">
        <w:rPr>
          <w:rFonts w:ascii="Times New Roman" w:hAnsi="Times New Roman" w:cs="Times New Roman"/>
          <w:sz w:val="24"/>
        </w:rPr>
        <w:t>Kunter</w:t>
      </w:r>
      <w:proofErr w:type="spellEnd"/>
      <w:r w:rsidR="00AA72CF" w:rsidRPr="00AA72CF">
        <w:rPr>
          <w:rFonts w:ascii="Times New Roman" w:hAnsi="Times New Roman" w:cs="Times New Roman"/>
          <w:sz w:val="24"/>
        </w:rPr>
        <w:t xml:space="preserve"> et al., 2011; Voss et al., 2014; Zierer, 2015)</w:t>
      </w:r>
      <w:r w:rsidR="00AA72CF">
        <w:rPr>
          <w:rFonts w:ascii="Times New Roman" w:hAnsi="Times New Roman" w:cs="Times New Roman"/>
          <w:sz w:val="24"/>
          <w:szCs w:val="22"/>
        </w:rPr>
        <w:fldChar w:fldCharType="end"/>
      </w:r>
      <w:r w:rsidR="001D3051">
        <w:rPr>
          <w:rFonts w:ascii="Times New Roman" w:hAnsi="Times New Roman" w:cs="Times New Roman"/>
          <w:sz w:val="24"/>
          <w:szCs w:val="22"/>
        </w:rPr>
        <w:t xml:space="preserve">. </w:t>
      </w:r>
      <w:r w:rsidR="00F46D8E" w:rsidRPr="00F46D8E">
        <w:rPr>
          <w:rFonts w:ascii="Times New Roman" w:hAnsi="Times New Roman" w:cs="Times New Roman"/>
          <w:sz w:val="24"/>
          <w:szCs w:val="22"/>
        </w:rPr>
        <w:t>This strategic knowledge enables teachers to make informed, context-sensitive decisions in complex teaching situations (</w:t>
      </w:r>
      <w:proofErr w:type="spellStart"/>
      <w:r w:rsidR="00F46D8E" w:rsidRPr="00F46D8E">
        <w:rPr>
          <w:rFonts w:ascii="Times New Roman" w:hAnsi="Times New Roman" w:cs="Times New Roman"/>
          <w:sz w:val="24"/>
          <w:szCs w:val="22"/>
        </w:rPr>
        <w:t>Borko</w:t>
      </w:r>
      <w:proofErr w:type="spellEnd"/>
      <w:r w:rsidR="00F46D8E" w:rsidRPr="00F46D8E">
        <w:rPr>
          <w:rFonts w:ascii="Times New Roman" w:hAnsi="Times New Roman" w:cs="Times New Roman"/>
          <w:sz w:val="24"/>
          <w:szCs w:val="22"/>
        </w:rPr>
        <w:t xml:space="preserve">, 2004; </w:t>
      </w:r>
      <w:proofErr w:type="spellStart"/>
      <w:r w:rsidR="00F46D8E" w:rsidRPr="00F46D8E">
        <w:rPr>
          <w:rFonts w:ascii="Times New Roman" w:hAnsi="Times New Roman" w:cs="Times New Roman"/>
          <w:sz w:val="24"/>
          <w:szCs w:val="22"/>
        </w:rPr>
        <w:t>Fenstermacher</w:t>
      </w:r>
      <w:proofErr w:type="spellEnd"/>
      <w:r w:rsidR="00F46D8E" w:rsidRPr="00F46D8E">
        <w:rPr>
          <w:rFonts w:ascii="Times New Roman" w:hAnsi="Times New Roman" w:cs="Times New Roman"/>
          <w:sz w:val="24"/>
          <w:szCs w:val="22"/>
        </w:rPr>
        <w:t xml:space="preserve">, 1994; Goldman, 2007). It is considered a core component of instructional competence (Barth, 2017; D’Agostino &amp; </w:t>
      </w:r>
      <w:proofErr w:type="spellStart"/>
      <w:r w:rsidR="00F46D8E" w:rsidRPr="00F46D8E">
        <w:rPr>
          <w:rFonts w:ascii="Times New Roman" w:hAnsi="Times New Roman" w:cs="Times New Roman"/>
          <w:sz w:val="24"/>
          <w:szCs w:val="22"/>
        </w:rPr>
        <w:t>VanWinkle</w:t>
      </w:r>
      <w:proofErr w:type="spellEnd"/>
      <w:r w:rsidR="00F46D8E" w:rsidRPr="00F46D8E">
        <w:rPr>
          <w:rFonts w:ascii="Times New Roman" w:hAnsi="Times New Roman" w:cs="Times New Roman"/>
          <w:sz w:val="24"/>
          <w:szCs w:val="22"/>
        </w:rPr>
        <w:t xml:space="preserve">, 2007; </w:t>
      </w:r>
      <w:proofErr w:type="spellStart"/>
      <w:r w:rsidR="00F46D8E" w:rsidRPr="00F46D8E">
        <w:rPr>
          <w:rFonts w:ascii="Times New Roman" w:hAnsi="Times New Roman" w:cs="Times New Roman"/>
          <w:sz w:val="24"/>
          <w:szCs w:val="22"/>
        </w:rPr>
        <w:t>Kunter</w:t>
      </w:r>
      <w:proofErr w:type="spellEnd"/>
      <w:r w:rsidR="00F46D8E" w:rsidRPr="00F46D8E">
        <w:rPr>
          <w:rFonts w:ascii="Times New Roman" w:hAnsi="Times New Roman" w:cs="Times New Roman"/>
          <w:sz w:val="24"/>
          <w:szCs w:val="22"/>
        </w:rPr>
        <w:t xml:space="preserve"> et al., 2011; Voss et al., 2014), evolving through practical problem-solving experiences where declarative knowledge transforms into procedural knowledge (</w:t>
      </w:r>
      <w:proofErr w:type="spellStart"/>
      <w:r w:rsidR="00F46D8E" w:rsidRPr="00F46D8E">
        <w:rPr>
          <w:rFonts w:ascii="Times New Roman" w:hAnsi="Times New Roman" w:cs="Times New Roman"/>
          <w:sz w:val="24"/>
          <w:szCs w:val="22"/>
        </w:rPr>
        <w:t>Blömeke</w:t>
      </w:r>
      <w:proofErr w:type="spellEnd"/>
      <w:r w:rsidR="00F46D8E" w:rsidRPr="00F46D8E">
        <w:rPr>
          <w:rFonts w:ascii="Times New Roman" w:hAnsi="Times New Roman" w:cs="Times New Roman"/>
          <w:sz w:val="24"/>
          <w:szCs w:val="22"/>
        </w:rPr>
        <w:t xml:space="preserve"> et al., 2022; Gold &amp; </w:t>
      </w:r>
      <w:proofErr w:type="spellStart"/>
      <w:r w:rsidR="00F46D8E" w:rsidRPr="00F46D8E">
        <w:rPr>
          <w:rFonts w:ascii="Times New Roman" w:hAnsi="Times New Roman" w:cs="Times New Roman"/>
          <w:sz w:val="24"/>
          <w:szCs w:val="22"/>
        </w:rPr>
        <w:t>Holodynski</w:t>
      </w:r>
      <w:proofErr w:type="spellEnd"/>
      <w:r w:rsidR="00F46D8E" w:rsidRPr="00F46D8E">
        <w:rPr>
          <w:rFonts w:ascii="Times New Roman" w:hAnsi="Times New Roman" w:cs="Times New Roman"/>
          <w:sz w:val="24"/>
          <w:szCs w:val="22"/>
        </w:rPr>
        <w:t xml:space="preserve">, 2015; </w:t>
      </w:r>
      <w:proofErr w:type="spellStart"/>
      <w:r w:rsidR="00F46D8E" w:rsidRPr="00F46D8E">
        <w:rPr>
          <w:rFonts w:ascii="Times New Roman" w:hAnsi="Times New Roman" w:cs="Times New Roman"/>
          <w:sz w:val="24"/>
          <w:szCs w:val="22"/>
        </w:rPr>
        <w:t>Rauner</w:t>
      </w:r>
      <w:proofErr w:type="spellEnd"/>
      <w:r w:rsidR="00F46D8E" w:rsidRPr="00F46D8E">
        <w:rPr>
          <w:rFonts w:ascii="Times New Roman" w:hAnsi="Times New Roman" w:cs="Times New Roman"/>
          <w:sz w:val="24"/>
          <w:szCs w:val="22"/>
        </w:rPr>
        <w:t>, 2005).</w:t>
      </w:r>
    </w:p>
    <w:p w14:paraId="7ADE94C7" w14:textId="588895B4" w:rsidR="00C666B3" w:rsidRDefault="0037151C" w:rsidP="00C666B3">
      <w:pPr>
        <w:rPr>
          <w:rFonts w:ascii="Times New Roman" w:hAnsi="Times New Roman" w:cs="Times New Roman"/>
          <w:sz w:val="24"/>
          <w:szCs w:val="22"/>
        </w:rPr>
      </w:pPr>
      <w:r w:rsidRPr="0037151C">
        <w:rPr>
          <w:rFonts w:ascii="Times New Roman" w:hAnsi="Times New Roman" w:cs="Times New Roman"/>
          <w:i/>
          <w:iCs/>
          <w:sz w:val="24"/>
          <w:szCs w:val="22"/>
        </w:rPr>
        <w:t>Professional vision</w:t>
      </w:r>
      <w:r w:rsidRPr="0037151C">
        <w:rPr>
          <w:rFonts w:ascii="Times New Roman" w:hAnsi="Times New Roman" w:cs="Times New Roman"/>
          <w:sz w:val="24"/>
          <w:szCs w:val="22"/>
        </w:rPr>
        <w:t xml:space="preserve"> serves as a crucial mediating skill between teachers</w:t>
      </w:r>
      <w:r>
        <w:rPr>
          <w:rFonts w:ascii="Times New Roman" w:hAnsi="Times New Roman" w:cs="Times New Roman"/>
          <w:sz w:val="24"/>
          <w:szCs w:val="22"/>
        </w:rPr>
        <w:t>’</w:t>
      </w:r>
      <w:r w:rsidRPr="0037151C">
        <w:rPr>
          <w:rFonts w:ascii="Times New Roman" w:hAnsi="Times New Roman" w:cs="Times New Roman"/>
          <w:sz w:val="24"/>
          <w:szCs w:val="22"/>
        </w:rPr>
        <w:t xml:space="preserve"> dispositions and their classroom behavior. Originally introduced by Goodwin (1994) and adapted to teacher education by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xml:space="preserve"> (2007), professional vision encompasses the ability to selectively perceive </w:t>
      </w:r>
      <w:r w:rsidRPr="0037151C">
        <w:rPr>
          <w:rFonts w:ascii="Times New Roman" w:hAnsi="Times New Roman" w:cs="Times New Roman"/>
          <w:sz w:val="24"/>
          <w:szCs w:val="22"/>
        </w:rPr>
        <w:lastRenderedPageBreak/>
        <w:t xml:space="preserve">classroom events and interpret them based on pedagogical knowledge (Van Es &amp;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2002).</w:t>
      </w:r>
      <w:r w:rsidR="00ED270B">
        <w:rPr>
          <w:rFonts w:ascii="Times New Roman" w:hAnsi="Times New Roman" w:cs="Times New Roman"/>
          <w:sz w:val="24"/>
          <w:szCs w:val="22"/>
        </w:rPr>
        <w:t xml:space="preserve"> </w:t>
      </w:r>
      <w:r w:rsidR="00B90881">
        <w:rPr>
          <w:rFonts w:ascii="Times New Roman" w:hAnsi="Times New Roman" w:cs="Times New Roman"/>
          <w:sz w:val="24"/>
          <w:szCs w:val="22"/>
        </w:rPr>
        <w:t>In the</w:t>
      </w:r>
      <w:r w:rsidRPr="0037151C">
        <w:rPr>
          <w:rFonts w:ascii="Times New Roman" w:hAnsi="Times New Roman" w:cs="Times New Roman"/>
          <w:sz w:val="24"/>
          <w:szCs w:val="22"/>
        </w:rPr>
        <w:t xml:space="preserve"> initial stage</w:t>
      </w:r>
      <w:r w:rsidR="00BA0AF2">
        <w:rPr>
          <w:rFonts w:ascii="Times New Roman" w:hAnsi="Times New Roman" w:cs="Times New Roman"/>
          <w:sz w:val="24"/>
          <w:szCs w:val="22"/>
        </w:rPr>
        <w:t xml:space="preserve"> </w:t>
      </w:r>
      <w:r w:rsidR="00D71524">
        <w:rPr>
          <w:rFonts w:ascii="Times New Roman" w:hAnsi="Times New Roman" w:cs="Times New Roman"/>
          <w:sz w:val="24"/>
          <w:szCs w:val="22"/>
        </w:rPr>
        <w:t xml:space="preserve">of </w:t>
      </w:r>
      <w:r w:rsidR="006D1417">
        <w:rPr>
          <w:rFonts w:ascii="Times New Roman" w:hAnsi="Times New Roman" w:cs="Times New Roman"/>
          <w:sz w:val="24"/>
          <w:szCs w:val="22"/>
        </w:rPr>
        <w:t>professional vision</w:t>
      </w:r>
      <w:r w:rsidR="00C666B3">
        <w:rPr>
          <w:rFonts w:ascii="Times New Roman" w:hAnsi="Times New Roman" w:cs="Times New Roman"/>
          <w:sz w:val="24"/>
          <w:szCs w:val="22"/>
        </w:rPr>
        <w:t>,</w:t>
      </w:r>
      <w:r w:rsidR="006D1417">
        <w:rPr>
          <w:rFonts w:ascii="Times New Roman" w:hAnsi="Times New Roman" w:cs="Times New Roman"/>
          <w:sz w:val="24"/>
          <w:szCs w:val="22"/>
        </w:rPr>
        <w:t xml:space="preserve"> </w:t>
      </w:r>
      <w:r w:rsidR="00C666B3">
        <w:rPr>
          <w:rFonts w:ascii="Times New Roman" w:hAnsi="Times New Roman" w:cs="Times New Roman"/>
          <w:sz w:val="24"/>
          <w:szCs w:val="22"/>
        </w:rPr>
        <w:t>g</w:t>
      </w:r>
      <w:r w:rsidR="00C666B3" w:rsidRPr="00C666B3">
        <w:rPr>
          <w:rFonts w:ascii="Times New Roman" w:hAnsi="Times New Roman" w:cs="Times New Roman"/>
          <w:sz w:val="24"/>
          <w:szCs w:val="22"/>
        </w:rPr>
        <w:t>aze efficiency refers to the teacher’s ability to visually scan the classroom in a balanced and purposeful way. Eye-tracking studies show that expert teachers distribute their gaze more evenly across students, indicating greater situational awareness and attentional control. Cortina et al. (2015) demonstrated that mentors, compared to novices, had significantly lower GINI indices, reflecting a more uniform gaze distribution and frequent shifts of attention between students. Huang (2018) and McIntyre (2016) confirmed that experts focus more on learners and less on irrelevant stimuli, while novices are more easily distracted and tend to fixate longer on fewer, often non-instructional, areas. Dessus et al. (2016) further noted that novices exhibited less stable attention due to increased cognitive load.</w:t>
      </w:r>
      <w:r w:rsidR="00C666B3">
        <w:rPr>
          <w:rFonts w:ascii="Times New Roman" w:hAnsi="Times New Roman" w:cs="Times New Roman"/>
          <w:sz w:val="24"/>
          <w:szCs w:val="22"/>
        </w:rPr>
        <w:t xml:space="preserve"> </w:t>
      </w:r>
      <w:r w:rsidR="00C666B3" w:rsidRPr="00C666B3">
        <w:rPr>
          <w:rFonts w:ascii="Times New Roman" w:hAnsi="Times New Roman" w:cs="Times New Roman"/>
          <w:sz w:val="24"/>
          <w:szCs w:val="22"/>
        </w:rPr>
        <w:t xml:space="preserve">Complementing these findings, </w:t>
      </w:r>
      <w:proofErr w:type="spellStart"/>
      <w:r w:rsidR="00C666B3" w:rsidRPr="00C666B3">
        <w:rPr>
          <w:rFonts w:ascii="Times New Roman" w:hAnsi="Times New Roman" w:cs="Times New Roman"/>
          <w:sz w:val="24"/>
          <w:szCs w:val="22"/>
        </w:rPr>
        <w:t>Gegenfurtner</w:t>
      </w:r>
      <w:proofErr w:type="spellEnd"/>
      <w:r w:rsidR="00C666B3" w:rsidRPr="00C666B3">
        <w:rPr>
          <w:rFonts w:ascii="Times New Roman" w:hAnsi="Times New Roman" w:cs="Times New Roman"/>
          <w:sz w:val="24"/>
          <w:szCs w:val="22"/>
        </w:rPr>
        <w:t xml:space="preserve"> et al. (2020) introduced the Gaze Relational Index (GRI) as a measure of visual expertise. Experts showed more exploratory, top-down gaze patterns</w:t>
      </w:r>
      <w:r w:rsidR="00C666B3">
        <w:rPr>
          <w:rFonts w:ascii="Times New Roman" w:hAnsi="Times New Roman" w:cs="Times New Roman"/>
          <w:sz w:val="24"/>
          <w:szCs w:val="22"/>
        </w:rPr>
        <w:t xml:space="preserve"> with </w:t>
      </w:r>
      <w:r w:rsidR="00C666B3" w:rsidRPr="00C666B3">
        <w:rPr>
          <w:rFonts w:ascii="Times New Roman" w:hAnsi="Times New Roman" w:cs="Times New Roman"/>
          <w:sz w:val="24"/>
          <w:szCs w:val="22"/>
        </w:rPr>
        <w:t>shorter fixations and higher counts</w:t>
      </w:r>
      <w:r w:rsidR="00C666B3">
        <w:rPr>
          <w:rFonts w:ascii="Times New Roman" w:hAnsi="Times New Roman" w:cs="Times New Roman"/>
          <w:sz w:val="24"/>
          <w:szCs w:val="22"/>
        </w:rPr>
        <w:t xml:space="preserve">, </w:t>
      </w:r>
      <w:r w:rsidR="00C666B3" w:rsidRPr="00C666B3">
        <w:rPr>
          <w:rFonts w:ascii="Times New Roman" w:hAnsi="Times New Roman" w:cs="Times New Roman"/>
          <w:sz w:val="24"/>
          <w:szCs w:val="22"/>
        </w:rPr>
        <w:t xml:space="preserve">suggesting a more efficient search behavior aligned with task relevance. </w:t>
      </w:r>
      <w:r w:rsidR="00F22725">
        <w:rPr>
          <w:rFonts w:ascii="Times New Roman" w:hAnsi="Times New Roman" w:cs="Times New Roman"/>
          <w:sz w:val="24"/>
          <w:szCs w:val="22"/>
        </w:rPr>
        <w:t>Thus</w:t>
      </w:r>
      <w:r w:rsidR="00C666B3" w:rsidRPr="00C666B3">
        <w:rPr>
          <w:rFonts w:ascii="Times New Roman" w:hAnsi="Times New Roman" w:cs="Times New Roman"/>
          <w:sz w:val="24"/>
          <w:szCs w:val="22"/>
        </w:rPr>
        <w:t>, gaze efficiency reflects an important facet of professional vision that enables teachers to perceive relevant classroom events early and broadly, supporting proactive classroom management.</w:t>
      </w:r>
    </w:p>
    <w:p w14:paraId="7F98368C" w14:textId="6246F975" w:rsidR="009056E8" w:rsidRDefault="00A33B2E" w:rsidP="0099753A">
      <w:pPr>
        <w:rPr>
          <w:rFonts w:ascii="Times New Roman" w:hAnsi="Times New Roman" w:cs="Times New Roman"/>
          <w:sz w:val="24"/>
          <w:szCs w:val="22"/>
        </w:rPr>
      </w:pPr>
      <w:r w:rsidRPr="00A33B2E">
        <w:rPr>
          <w:rFonts w:ascii="Times New Roman" w:hAnsi="Times New Roman" w:cs="Times New Roman"/>
          <w:i/>
          <w:iCs/>
          <w:sz w:val="24"/>
          <w:szCs w:val="22"/>
        </w:rPr>
        <w:t>Knowledge-based noticing</w:t>
      </w:r>
      <w:r w:rsidRPr="00A33B2E">
        <w:rPr>
          <w:rFonts w:ascii="Times New Roman" w:hAnsi="Times New Roman" w:cs="Times New Roman"/>
          <w:sz w:val="24"/>
          <w:szCs w:val="22"/>
        </w:rPr>
        <w:t xml:space="preserve"> refers to teachers’ ability to selectively attend to and interpret pedagogically meaningful events in the classroom (van Es &amp; </w:t>
      </w:r>
      <w:proofErr w:type="spellStart"/>
      <w:r w:rsidRPr="00A33B2E">
        <w:rPr>
          <w:rFonts w:ascii="Times New Roman" w:hAnsi="Times New Roman" w:cs="Times New Roman"/>
          <w:sz w:val="24"/>
          <w:szCs w:val="22"/>
        </w:rPr>
        <w:t>Sherin</w:t>
      </w:r>
      <w:proofErr w:type="spellEnd"/>
      <w:r w:rsidRPr="00A33B2E">
        <w:rPr>
          <w:rFonts w:ascii="Times New Roman" w:hAnsi="Times New Roman" w:cs="Times New Roman"/>
          <w:sz w:val="24"/>
          <w:szCs w:val="22"/>
        </w:rPr>
        <w:t>, 2002; König et al., 2022). Rather than merely observing, noticing involves making sense of what is seen, guided by prior knowledge and teaching experience (</w:t>
      </w:r>
      <w:proofErr w:type="spellStart"/>
      <w:r w:rsidRPr="00A33B2E">
        <w:rPr>
          <w:rFonts w:ascii="Times New Roman" w:hAnsi="Times New Roman" w:cs="Times New Roman"/>
          <w:sz w:val="24"/>
          <w:szCs w:val="22"/>
        </w:rPr>
        <w:t>Sherin</w:t>
      </w:r>
      <w:proofErr w:type="spellEnd"/>
      <w:r w:rsidRPr="00A33B2E">
        <w:rPr>
          <w:rFonts w:ascii="Times New Roman" w:hAnsi="Times New Roman" w:cs="Times New Roman"/>
          <w:sz w:val="24"/>
          <w:szCs w:val="22"/>
        </w:rPr>
        <w:t xml:space="preserve"> et al., 2011). Biermann et al. (2023) demonstrated that teachers who consciously noticed disruptions showed increased fixation patterns and deeper engagement, although expertise differences were subtle. </w:t>
      </w:r>
      <w:r w:rsidR="009056E8">
        <w:rPr>
          <w:rFonts w:ascii="Times New Roman" w:hAnsi="Times New Roman" w:cs="Times New Roman"/>
          <w:sz w:val="24"/>
          <w:szCs w:val="22"/>
        </w:rPr>
        <w:t>Furthermore, r</w:t>
      </w:r>
      <w:r w:rsidR="009056E8" w:rsidRPr="009056E8">
        <w:rPr>
          <w:rFonts w:ascii="Times New Roman" w:hAnsi="Times New Roman" w:cs="Times New Roman"/>
          <w:sz w:val="24"/>
          <w:szCs w:val="22"/>
        </w:rPr>
        <w:t xml:space="preserve">esearch shows that expert teachers recognize pivotal classroom moments more precisely and interpret them more deeply </w:t>
      </w:r>
      <w:r w:rsidR="009056E8" w:rsidRPr="009056E8">
        <w:rPr>
          <w:rFonts w:ascii="Times New Roman" w:hAnsi="Times New Roman" w:cs="Times New Roman"/>
          <w:sz w:val="24"/>
          <w:szCs w:val="22"/>
        </w:rPr>
        <w:lastRenderedPageBreak/>
        <w:t>than novices (Gibson &amp; Ross, 2016). Their noticing includes hypothesizing about students’ thinking and adjusting instruction accordingly</w:t>
      </w:r>
      <w:r w:rsidR="009056E8">
        <w:rPr>
          <w:rFonts w:ascii="Times New Roman" w:hAnsi="Times New Roman" w:cs="Times New Roman"/>
          <w:sz w:val="24"/>
          <w:szCs w:val="22"/>
        </w:rPr>
        <w:t xml:space="preserve"> – </w:t>
      </w:r>
      <w:r w:rsidR="009056E8" w:rsidRPr="009056E8">
        <w:rPr>
          <w:rFonts w:ascii="Times New Roman" w:hAnsi="Times New Roman" w:cs="Times New Roman"/>
          <w:sz w:val="24"/>
          <w:szCs w:val="22"/>
        </w:rPr>
        <w:t>an ability essential for adaptive classroom management. Notably, such noticing is not simply a result of teaching experience, but must be explicitly developed through targeted professional training (Gibson &amp; Ross, 2016). Thus, noticing functions as a central link between perception and informed teaching action.</w:t>
      </w:r>
      <w:r w:rsidR="009056E8">
        <w:rPr>
          <w:rFonts w:ascii="Times New Roman" w:hAnsi="Times New Roman" w:cs="Times New Roman"/>
          <w:sz w:val="24"/>
          <w:szCs w:val="22"/>
        </w:rPr>
        <w:t xml:space="preserve"> </w:t>
      </w:r>
    </w:p>
    <w:p w14:paraId="1F1F4361" w14:textId="042D0A4C" w:rsidR="0099753A" w:rsidRPr="0099753A" w:rsidRDefault="0099753A" w:rsidP="0099753A">
      <w:pPr>
        <w:rPr>
          <w:rFonts w:ascii="Times New Roman" w:hAnsi="Times New Roman" w:cs="Times New Roman"/>
          <w:sz w:val="24"/>
          <w:szCs w:val="22"/>
        </w:rPr>
      </w:pPr>
      <w:r w:rsidRPr="0099753A">
        <w:rPr>
          <w:rFonts w:ascii="Times New Roman" w:hAnsi="Times New Roman" w:cs="Times New Roman"/>
          <w:sz w:val="24"/>
          <w:szCs w:val="22"/>
          <w:highlight w:val="yellow"/>
        </w:rPr>
        <w:t xml:space="preserve">After noticing, teachers engage in </w:t>
      </w:r>
      <w:r w:rsidRPr="0099753A">
        <w:rPr>
          <w:rFonts w:ascii="Times New Roman" w:hAnsi="Times New Roman" w:cs="Times New Roman"/>
          <w:i/>
          <w:iCs/>
          <w:sz w:val="24"/>
          <w:szCs w:val="22"/>
          <w:highlight w:val="yellow"/>
        </w:rPr>
        <w:t>knowledge-based reasoning</w:t>
      </w:r>
      <w:r w:rsidR="000478AE" w:rsidRPr="000478AE">
        <w:rPr>
          <w:rFonts w:ascii="Times New Roman" w:hAnsi="Times New Roman" w:cs="Times New Roman"/>
          <w:sz w:val="24"/>
          <w:szCs w:val="22"/>
          <w:highlight w:val="yellow"/>
        </w:rPr>
        <w:t xml:space="preserve"> that </w:t>
      </w:r>
      <w:r w:rsidR="000478AE" w:rsidRPr="000478AE">
        <w:rPr>
          <w:rFonts w:ascii="Times New Roman" w:hAnsi="Times New Roman" w:cs="Times New Roman"/>
          <w:sz w:val="24"/>
          <w:szCs w:val="22"/>
          <w:highlight w:val="yellow"/>
        </w:rPr>
        <w:t xml:space="preserve">describes how teachers interpret what they notice and use their knowledge to decide how to act. Van Es and </w:t>
      </w:r>
      <w:proofErr w:type="spellStart"/>
      <w:r w:rsidR="000478AE" w:rsidRPr="000478AE">
        <w:rPr>
          <w:rFonts w:ascii="Times New Roman" w:hAnsi="Times New Roman" w:cs="Times New Roman"/>
          <w:sz w:val="24"/>
          <w:szCs w:val="22"/>
          <w:highlight w:val="yellow"/>
        </w:rPr>
        <w:t>Sherin</w:t>
      </w:r>
      <w:proofErr w:type="spellEnd"/>
      <w:r w:rsidR="000478AE" w:rsidRPr="000478AE">
        <w:rPr>
          <w:rFonts w:ascii="Times New Roman" w:hAnsi="Times New Roman" w:cs="Times New Roman"/>
          <w:sz w:val="24"/>
          <w:szCs w:val="22"/>
          <w:highlight w:val="yellow"/>
        </w:rPr>
        <w:t xml:space="preserve"> (2002) define it as a key step in professional vision. Expert teachers reason more deeply about student thinking and adjust instruction accordingly (Gibson &amp; Ross, 2016).</w:t>
      </w:r>
    </w:p>
    <w:p w14:paraId="0D6896DD" w14:textId="3BB8EEA4" w:rsidR="0099753A" w:rsidRPr="0099753A" w:rsidRDefault="0099753A" w:rsidP="0099753A">
      <w:pPr>
        <w:rPr>
          <w:rFonts w:ascii="Times New Roman" w:hAnsi="Times New Roman" w:cs="Times New Roman"/>
          <w:sz w:val="24"/>
          <w:szCs w:val="22"/>
        </w:rPr>
      </w:pPr>
      <w:r w:rsidRPr="0099753A">
        <w:rPr>
          <w:rFonts w:ascii="Times New Roman" w:hAnsi="Times New Roman" w:cs="Times New Roman"/>
          <w:sz w:val="24"/>
          <w:szCs w:val="22"/>
        </w:rPr>
        <w:t>Together, these three processes</w:t>
      </w:r>
      <w:r>
        <w:rPr>
          <w:rFonts w:ascii="Times New Roman" w:hAnsi="Times New Roman" w:cs="Times New Roman"/>
          <w:sz w:val="24"/>
          <w:szCs w:val="22"/>
        </w:rPr>
        <w:t xml:space="preserve"> – </w:t>
      </w:r>
      <w:r w:rsidRPr="0099753A">
        <w:rPr>
          <w:rFonts w:ascii="Times New Roman" w:hAnsi="Times New Roman" w:cs="Times New Roman"/>
          <w:sz w:val="24"/>
          <w:szCs w:val="22"/>
        </w:rPr>
        <w:t>gaze efficiency, knowledge-based noticing, and knowledge-based reasoning</w:t>
      </w:r>
      <w:r>
        <w:rPr>
          <w:rFonts w:ascii="Times New Roman" w:hAnsi="Times New Roman" w:cs="Times New Roman"/>
          <w:sz w:val="24"/>
          <w:szCs w:val="22"/>
        </w:rPr>
        <w:t xml:space="preserve"> – </w:t>
      </w:r>
      <w:r w:rsidRPr="0099753A">
        <w:rPr>
          <w:rFonts w:ascii="Times New Roman" w:hAnsi="Times New Roman" w:cs="Times New Roman"/>
          <w:sz w:val="24"/>
          <w:szCs w:val="22"/>
        </w:rPr>
        <w:t xml:space="preserve">constitute a situated, knowledge-driven perceptual cycle that enables teachers to detect, interpret, and respond to classroom disruptions effectively. They bridge the gap between </w:t>
      </w:r>
      <w:r w:rsidR="00C26B49">
        <w:rPr>
          <w:rFonts w:ascii="Times New Roman" w:hAnsi="Times New Roman" w:cs="Times New Roman"/>
          <w:sz w:val="24"/>
          <w:szCs w:val="22"/>
        </w:rPr>
        <w:t>(strategic)</w:t>
      </w:r>
      <w:r w:rsidRPr="0099753A">
        <w:rPr>
          <w:rFonts w:ascii="Times New Roman" w:hAnsi="Times New Roman" w:cs="Times New Roman"/>
          <w:sz w:val="24"/>
          <w:szCs w:val="22"/>
        </w:rPr>
        <w:t xml:space="preserve"> knowledge and visible classroom action and are therefore pivotal for the development and demonstration of professional teaching competence.</w:t>
      </w:r>
    </w:p>
    <w:p w14:paraId="7B2A7932" w14:textId="77777777" w:rsidR="005F5918" w:rsidRDefault="00F37CC7" w:rsidP="00F37CC7">
      <w:pPr>
        <w:rPr>
          <w:rFonts w:ascii="Times New Roman" w:hAnsi="Times New Roman" w:cs="Times New Roman"/>
          <w:sz w:val="24"/>
          <w:szCs w:val="22"/>
        </w:rPr>
      </w:pPr>
      <w:r w:rsidRPr="00F37CC7">
        <w:rPr>
          <w:rFonts w:ascii="Times New Roman" w:hAnsi="Times New Roman" w:cs="Times New Roman"/>
          <w:sz w:val="24"/>
          <w:szCs w:val="22"/>
        </w:rPr>
        <w:t xml:space="preserve">The third component of the model, </w:t>
      </w:r>
      <w:r w:rsidRPr="00F37CC7">
        <w:rPr>
          <w:rFonts w:ascii="Times New Roman" w:hAnsi="Times New Roman" w:cs="Times New Roman"/>
          <w:i/>
          <w:iCs/>
          <w:sz w:val="24"/>
          <w:szCs w:val="22"/>
        </w:rPr>
        <w:t>observable behavior</w:t>
      </w:r>
      <w:r w:rsidRPr="00F37CC7">
        <w:rPr>
          <w:rFonts w:ascii="Times New Roman" w:hAnsi="Times New Roman" w:cs="Times New Roman"/>
          <w:sz w:val="24"/>
          <w:szCs w:val="22"/>
        </w:rPr>
        <w:t xml:space="preserve">, refers to the visible application of classroom management strategies. </w:t>
      </w:r>
      <w:r w:rsidR="005F5918" w:rsidRPr="005F5918">
        <w:rPr>
          <w:rFonts w:ascii="Times New Roman" w:hAnsi="Times New Roman" w:cs="Times New Roman"/>
          <w:sz w:val="24"/>
          <w:szCs w:val="22"/>
        </w:rPr>
        <w:t>Research has shown that novice teachers differ significantly from experienced teachers in their classroom management, particularly in handling disruptions (</w:t>
      </w:r>
      <w:proofErr w:type="spellStart"/>
      <w:r w:rsidR="005F5918" w:rsidRPr="005F5918">
        <w:rPr>
          <w:rFonts w:ascii="Times New Roman" w:hAnsi="Times New Roman" w:cs="Times New Roman"/>
          <w:sz w:val="24"/>
          <w:szCs w:val="22"/>
        </w:rPr>
        <w:t>Leinhardt</w:t>
      </w:r>
      <w:proofErr w:type="spellEnd"/>
      <w:r w:rsidR="005F5918" w:rsidRPr="005F5918">
        <w:rPr>
          <w:rFonts w:ascii="Times New Roman" w:hAnsi="Times New Roman" w:cs="Times New Roman"/>
          <w:sz w:val="24"/>
          <w:szCs w:val="22"/>
        </w:rPr>
        <w:t xml:space="preserve"> &amp; </w:t>
      </w:r>
      <w:proofErr w:type="spellStart"/>
      <w:r w:rsidR="005F5918" w:rsidRPr="005F5918">
        <w:rPr>
          <w:rFonts w:ascii="Times New Roman" w:hAnsi="Times New Roman" w:cs="Times New Roman"/>
          <w:sz w:val="24"/>
          <w:szCs w:val="22"/>
        </w:rPr>
        <w:t>Greeno</w:t>
      </w:r>
      <w:proofErr w:type="spellEnd"/>
      <w:r w:rsidR="005F5918" w:rsidRPr="005F5918">
        <w:rPr>
          <w:rFonts w:ascii="Times New Roman" w:hAnsi="Times New Roman" w:cs="Times New Roman"/>
          <w:sz w:val="24"/>
          <w:szCs w:val="22"/>
        </w:rPr>
        <w:t xml:space="preserve">, 1986; Berliner, 1987; </w:t>
      </w:r>
      <w:proofErr w:type="spellStart"/>
      <w:r w:rsidR="005F5918" w:rsidRPr="005F5918">
        <w:rPr>
          <w:rFonts w:ascii="Times New Roman" w:hAnsi="Times New Roman" w:cs="Times New Roman"/>
          <w:sz w:val="24"/>
          <w:szCs w:val="22"/>
        </w:rPr>
        <w:t>Bromme</w:t>
      </w:r>
      <w:proofErr w:type="spellEnd"/>
      <w:r w:rsidR="005F5918" w:rsidRPr="005F5918">
        <w:rPr>
          <w:rFonts w:ascii="Times New Roman" w:hAnsi="Times New Roman" w:cs="Times New Roman"/>
          <w:sz w:val="24"/>
          <w:szCs w:val="22"/>
        </w:rPr>
        <w:t xml:space="preserve">, 1992). While experienced teachers can rely on established routines and cognitive schemas that help them manage disruptions efficiently (Thiel et al., 2012; Berliner, 2004), novice teachers often struggle with complex student behavior and tend to lose sight of overall classroom dynamics (Barth, 2017; Thiel et al., 2012). Experts use their monitoring skills to detect disruptions early and intervene effectively (Emmer &amp; </w:t>
      </w:r>
      <w:proofErr w:type="spellStart"/>
      <w:r w:rsidR="005F5918" w:rsidRPr="005F5918">
        <w:rPr>
          <w:rFonts w:ascii="Times New Roman" w:hAnsi="Times New Roman" w:cs="Times New Roman"/>
          <w:sz w:val="24"/>
          <w:szCs w:val="22"/>
        </w:rPr>
        <w:t>Gerwels</w:t>
      </w:r>
      <w:proofErr w:type="spellEnd"/>
      <w:r w:rsidR="005F5918" w:rsidRPr="005F5918">
        <w:rPr>
          <w:rFonts w:ascii="Times New Roman" w:hAnsi="Times New Roman" w:cs="Times New Roman"/>
          <w:sz w:val="24"/>
          <w:szCs w:val="22"/>
        </w:rPr>
        <w:t xml:space="preserve">, 2006), whereas novices frequently overlook such signals or react </w:t>
      </w:r>
      <w:r w:rsidR="005F5918" w:rsidRPr="005F5918">
        <w:rPr>
          <w:rFonts w:ascii="Times New Roman" w:hAnsi="Times New Roman" w:cs="Times New Roman"/>
          <w:sz w:val="24"/>
          <w:szCs w:val="22"/>
        </w:rPr>
        <w:lastRenderedPageBreak/>
        <w:t>too late. Novices also tend to rely on less effective reprimands, interrupting the lesson flow (</w:t>
      </w:r>
      <w:proofErr w:type="spellStart"/>
      <w:r w:rsidR="005F5918" w:rsidRPr="005F5918">
        <w:rPr>
          <w:rFonts w:ascii="Times New Roman" w:hAnsi="Times New Roman" w:cs="Times New Roman"/>
          <w:sz w:val="24"/>
          <w:szCs w:val="22"/>
        </w:rPr>
        <w:t>Westerman</w:t>
      </w:r>
      <w:proofErr w:type="spellEnd"/>
      <w:r w:rsidR="005F5918" w:rsidRPr="005F5918">
        <w:rPr>
          <w:rFonts w:ascii="Times New Roman" w:hAnsi="Times New Roman" w:cs="Times New Roman"/>
          <w:sz w:val="24"/>
          <w:szCs w:val="22"/>
        </w:rPr>
        <w:t>, 1991; Thiel et al., 2012), and focus on quick fixes (Swanson, O’Connor &amp; Cooney, 1990). Experienced teachers, by contrast, avoid escalating interactions and may employ techniques such as ostentatious ignoring – using paraverbal and nonverbal cues to signal that inappropriate behavior has been noticed but will not be addressed directly (Thiel et al., 2012).</w:t>
      </w:r>
    </w:p>
    <w:p w14:paraId="291C7E7D" w14:textId="77777777" w:rsidR="00F37CC7" w:rsidRPr="00F37CC7" w:rsidRDefault="00F37CC7" w:rsidP="00F37CC7">
      <w:pPr>
        <w:rPr>
          <w:rFonts w:ascii="Times New Roman" w:hAnsi="Times New Roman" w:cs="Times New Roman"/>
          <w:sz w:val="24"/>
          <w:szCs w:val="22"/>
        </w:rPr>
      </w:pPr>
      <w:r w:rsidRPr="00F37CC7">
        <w:rPr>
          <w:rFonts w:ascii="Times New Roman" w:hAnsi="Times New Roman" w:cs="Times New Roman"/>
          <w:sz w:val="24"/>
          <w:szCs w:val="22"/>
        </w:rPr>
        <w:t>In summary, the model illustrates that managing classroom disruptions effectively relies not solely on theoretical knowledge but significantly on the ability to perceive and interpret classroom dynamics in real-time. Integrating these components provides a comprehensive framework for describing and systematically enhancing teacher competence in classroom management.</w:t>
      </w:r>
    </w:p>
    <w:p w14:paraId="799F9A54" w14:textId="43FE006D" w:rsidR="00A65C17" w:rsidRDefault="00A65C17" w:rsidP="006B67A9">
      <w:pPr>
        <w:pStyle w:val="berschrift2"/>
        <w:rPr>
          <w:rFonts w:ascii="Times New Roman" w:hAnsi="Times New Roman" w:cs="Times New Roman"/>
          <w:sz w:val="24"/>
          <w:szCs w:val="24"/>
        </w:rPr>
      </w:pPr>
      <w:commentRangeStart w:id="1"/>
      <w:r w:rsidRPr="00901AE5">
        <w:rPr>
          <w:rFonts w:ascii="Times New Roman" w:hAnsi="Times New Roman" w:cs="Times New Roman"/>
          <w:sz w:val="24"/>
          <w:szCs w:val="24"/>
        </w:rPr>
        <w:t>Expertise Differences in Classroom Management</w:t>
      </w:r>
      <w:r w:rsidR="004B5CBC" w:rsidRPr="00901AE5">
        <w:rPr>
          <w:rFonts w:ascii="Times New Roman" w:hAnsi="Times New Roman" w:cs="Times New Roman"/>
          <w:sz w:val="24"/>
          <w:szCs w:val="24"/>
        </w:rPr>
        <w:t xml:space="preserve"> </w:t>
      </w:r>
      <w:commentRangeEnd w:id="1"/>
      <w:r w:rsidR="008A0AF7">
        <w:rPr>
          <w:rStyle w:val="Kommentarzeichen"/>
          <w:rFonts w:ascii="Calibri" w:hAnsi="Calibri" w:cs="Arial"/>
          <w:b w:val="0"/>
        </w:rPr>
        <w:commentReference w:id="1"/>
      </w:r>
    </w:p>
    <w:p w14:paraId="1AF44D35" w14:textId="7109D024"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Research on expertise shows clear differences between novice and expert teachers in classroom management</w:t>
      </w:r>
      <w:r w:rsidR="00234B6C">
        <w:rPr>
          <w:rFonts w:ascii="Times New Roman" w:hAnsi="Times New Roman" w:cs="Times New Roman"/>
          <w:sz w:val="24"/>
          <w:szCs w:val="22"/>
        </w:rPr>
        <w:t xml:space="preserve">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{"citationID":"xwiUF2ON","properties":{"formattedCitation":"(Lachner et al., 2016; Van Den Bogert et al., 2014; Wolff et al., 2017, 2021)","plainCitation":"(Lachner et al., 2016; Van Den Bogert et al., 2014; Wolff et al., 2017, 2021)","noteIndex":0},"citationItems":[{"id":1138,"uris":["http://zotero.org/groups/5349517/items/47QV9UT3"],"itemData":{"id":1138,"type":"article-journal","container-title":"Instructional Science","DOI":"10.1007/s11251-016-9376-y","ISSN":"1573-1952","issue":"3","journalAbbreviation":"Instr Sci","language":"en","page":"197-203","source":"Springer Link","title":"What makes an expert teacher? Investigating teachers’ professional vision and discourse abilities","title-short":"What makes an expert teacher?","volume":"44","author":[{"family":"Lachner","given":"Andreas"},{"family":"Jarodzka","given":"Halszka"},{"family":"Nückles","given":"Matthias"}],"issued":{"date-parts":[["2016",6,1]]}}},{"id":1040,"uris":["http://zotero.org/groups/5349517/items/HFY28B49"],"itemData":{"id":1040,"type":"article-journal","container-title":"Teaching and Teacher Education","DOI":"10.1016/j.tate.2013.09.001","ISSN":"0742051X","journalAbbreviation":"Teaching and Teacher Education","language":"en","page":"208-216","source":"DOI.org (Crossref)","title":"First steps into understanding teachers' visual perception of classroom events","volume":"37","author":[{"family":"Van Den Bogert","given":"Niek"},{"fami</w:instrText>
      </w:r>
      <w:r w:rsidR="00234B6C" w:rsidRPr="0020338B">
        <w:rPr>
          <w:rFonts w:ascii="Times New Roman" w:hAnsi="Times New Roman" w:cs="Times New Roman"/>
          <w:sz w:val="24"/>
          <w:szCs w:val="22"/>
          <w:lang w:val="de-DE"/>
        </w:rPr>
        <w:instrText>ly":"Van Bruggen","given":"Jan"},{"family":"Kostons","given":"Danny"},{"family":"Jochems","given":"Wim"}],"issued":{"date-parts":[["2014",1]]}}},{"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P.A."}],"issued":{"date-parts":[["2017",8]]}}},{"id":817,"uris":["http://zotero.org/groups/5349517/items/3828MWXL"],"itemData":{"id":817,"type":"article-journal","container-title":"Educational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w:instrText>
      </w:r>
      <w:r w:rsidR="00234B6C" w:rsidRPr="00234B6C">
        <w:rPr>
          <w:rFonts w:ascii="Times New Roman" w:hAnsi="Times New Roman" w:cs="Times New Roman"/>
          <w:sz w:val="24"/>
          <w:szCs w:val="22"/>
          <w:lang w:val="de-DE"/>
        </w:rPr>
        <w:instrText xml:space="preserve">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lang w:val="de-DE"/>
        </w:rPr>
        <w:t>(Lachner et al., 2016; Van Den Bogert et al., 2014; Wolff et al., 2017, 2021)</w:t>
      </w:r>
      <w:r w:rsidR="00234B6C">
        <w:rPr>
          <w:rFonts w:ascii="Times New Roman" w:hAnsi="Times New Roman" w:cs="Times New Roman"/>
          <w:sz w:val="24"/>
          <w:szCs w:val="22"/>
        </w:rPr>
        <w:fldChar w:fldCharType="end"/>
      </w:r>
      <w:r w:rsidRPr="00234B6C">
        <w:rPr>
          <w:rFonts w:ascii="Times New Roman" w:hAnsi="Times New Roman" w:cs="Times New Roman"/>
          <w:sz w:val="24"/>
          <w:szCs w:val="22"/>
          <w:lang w:val="de-DE"/>
        </w:rPr>
        <w:t xml:space="preserve">. </w:t>
      </w:r>
      <w:r w:rsidRPr="001740A1">
        <w:rPr>
          <w:rFonts w:ascii="Times New Roman" w:hAnsi="Times New Roman" w:cs="Times New Roman"/>
          <w:sz w:val="24"/>
          <w:szCs w:val="22"/>
        </w:rPr>
        <w:t xml:space="preserve">While novices often perceive classroom management as enforcing discipline and </w:t>
      </w:r>
      <w:r w:rsidR="005D3F3F">
        <w:rPr>
          <w:rFonts w:ascii="Times New Roman" w:hAnsi="Times New Roman" w:cs="Times New Roman"/>
          <w:sz w:val="24"/>
          <w:szCs w:val="22"/>
        </w:rPr>
        <w:t>reacting</w:t>
      </w:r>
      <w:r w:rsidRPr="001740A1">
        <w:rPr>
          <w:rFonts w:ascii="Times New Roman" w:hAnsi="Times New Roman" w:cs="Times New Roman"/>
          <w:sz w:val="24"/>
          <w:szCs w:val="22"/>
        </w:rPr>
        <w:t xml:space="preserve"> to disruptions, experts apply </w:t>
      </w:r>
      <w:r w:rsidR="00D77C49">
        <w:rPr>
          <w:rFonts w:ascii="Times New Roman" w:hAnsi="Times New Roman" w:cs="Times New Roman"/>
          <w:sz w:val="24"/>
          <w:szCs w:val="22"/>
        </w:rPr>
        <w:t>(</w:t>
      </w:r>
      <w:r w:rsidRPr="001740A1">
        <w:rPr>
          <w:rFonts w:ascii="Times New Roman" w:hAnsi="Times New Roman" w:cs="Times New Roman"/>
          <w:sz w:val="24"/>
          <w:szCs w:val="22"/>
        </w:rPr>
        <w:t>strategic</w:t>
      </w:r>
      <w:r w:rsidR="00D77C49">
        <w:rPr>
          <w:rFonts w:ascii="Times New Roman" w:hAnsi="Times New Roman" w:cs="Times New Roman"/>
          <w:sz w:val="24"/>
          <w:szCs w:val="22"/>
        </w:rPr>
        <w:t>)</w:t>
      </w:r>
      <w:r w:rsidRPr="001740A1">
        <w:rPr>
          <w:rFonts w:ascii="Times New Roman" w:hAnsi="Times New Roman" w:cs="Times New Roman"/>
          <w:sz w:val="24"/>
          <w:szCs w:val="22"/>
        </w:rPr>
        <w:t xml:space="preserve"> knowledge to establish behavioral norms early, ensuring a proactive approach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{"citationID":"zzfiYsET","properties":{"formattedCitation":"(Helmke,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(Helmke, 2022)</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These differences stem from the organization of their knowledge, experience, and cognitive processing mechanisms, which significantly influence their ability to maintain a productive learning environment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{"citationID":"Y12fBERF","properties":{"formattedCitation":"(Berliner, 2001; Shulman, 1987)","plainCitation":"(Berliner, 2001; Shulman, 1987)","noteIndex":0},"citationItems":[{"id":1078,"uris":["http://zotero.org/groups/5349517/items/25CI8WDA"],"itemData":{"id":1078,"type":"article-journal","abstract":"Studies of expertise in teaching have been informative, despite problems. One problem is determining the relative roles of talent vs. deliberate practice in the acquisition of expertise. When studying teachers, however, a third factor must be considered, that of context. The working conditions of teachers exert a powerful influence on the development of expertise. A second problem is that of definition because expertise in teaching takes different forms in different cultures, and its characteristics change by decade. A distinction is drawn between the good teacher and the successful teacher, characteristics of expertise that are often confused. A prototypical model of expertise is described and found to identify teachers who were both good and successful. Discussed also is the importance of understanding adaptive or fluid expertise, automaticity and flexibility. Finally, the development of teacher expertise is seen as an increase in agency over time.","container-title":"International Journal of Educational Research","DOI":"10.1016/S0883-0355(02)00004-6","ISSN":"0883-0355","issue":"5","journalAbbreviation":"International Journal of Educational Research","page":"463-482","source":"ScienceDirect","title":"Learning about and learning from expert teachers","volume":"35","author":[{"family":"Berliner","given":"David C."}],"issued":{"date-parts":[["2001",1,1]]}}},{"id":1125,"uris":["http://zotero.org/groups/5349517/items/UFXAZR8S"],"itemData":{"id":1125,"type":"article-journal","abstract":"Lee S. Shulman builds his foundation for teaching reform on an idea of teaching that emphasizes comprehension and reasoning, transformation and reflection. \"This emphasis is justified,\" he writes, \"by the resoluteness with which research and policy have so blatantly ignored those aspects of teaching in the past.\" To articulate and justify this conception, Shulman responds to four questions: What are the sources of the knowledge base for teaching?In what terms can these sources be conceptualized? What are the processes of pedagogical reasoning and action? and What are the implications for teaching policy and educational reform? The answers — informed by philosophy, psychology, and a growing body of casework based on young and experienced practitioners — go far beyond current reform assumptions and initiatives. The outcome for educational practitioners, scholars, and policymakers is a major redirection in how teaching is to be understood and teachers are to be trained and evaluated.\n            This article was selected for the November 1986 special issue on \"Teachers, Teaching,and Teacher Education,\" but appears here because of the exigencies of publishing.","container-title":"Harvard Educational Review","DOI":"10.17763/haer.57.1.j463w79r56455411","ISSN":"0017-8055, 1943-5045","issue":"1","language":"en","page":"1-23","source":"DOI.org (Crossref)","title":"Knowledge and Teaching:Foundations of the New Reform","title-short":"Knowledge and Teaching","volume":"57","author":[{"family":"Shulman","given":"Lee"}],"issued":{"date-parts":[["1987",4,1]]}}}],"schema":"https://github.com/citation-style-language/schema/raw/master/csl-citation.json"}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(Berliner, 2001; Shulman, 1987)</w:t>
      </w:r>
      <w:r w:rsidR="00234B6C">
        <w:rPr>
          <w:rFonts w:ascii="Times New Roman" w:hAnsi="Times New Roman" w:cs="Times New Roman"/>
          <w:sz w:val="24"/>
          <w:szCs w:val="22"/>
        </w:rPr>
        <w:fldChar w:fldCharType="end"/>
      </w:r>
      <w:r w:rsidR="00234B6C">
        <w:rPr>
          <w:rFonts w:ascii="Times New Roman" w:hAnsi="Times New Roman" w:cs="Times New Roman"/>
          <w:sz w:val="24"/>
          <w:szCs w:val="22"/>
        </w:rPr>
        <w:t>.</w:t>
      </w:r>
    </w:p>
    <w:p w14:paraId="2942A320" w14:textId="2C97F4B0"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Experts possess highly structured and interconnected knowledge, allowing them to recognize patterns, anticipate challenges, and adapt their strategies efficiently</w:t>
      </w:r>
      <w:r w:rsidR="00234B6C">
        <w:rPr>
          <w:rFonts w:ascii="Times New Roman" w:hAnsi="Times New Roman" w:cs="Times New Roman"/>
          <w:sz w:val="24"/>
          <w:szCs w:val="22"/>
        </w:rPr>
        <w:t xml:space="preserve">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{"citationID":"XmnhFlck","properties":{"formattedCitation":"(Baumert &amp; Kunter, 2013; Livingston &amp; Borko, 1989)","plainCitation":"(Baumert &amp; Kunter, 2013; Livingston &amp; Borko, 1989)","noteIndex":0},"citationItems":[{"id":1110,"uris":["http://zotero.org/groups/5349517/items/D4DSZIWQ"],"itemData":{"id":1110,"type":"chapter","container-title":"Stichwort: Zeitschrift für Erziehungswissenschaft","event-place":"Wiesbaden","ISBN":"978-3-658-00907-6","language":"de","note":"DOI: 10.1007/978-3-658-00908-3_13","page":"277-337","publisher":"Springer Fachmedien Wiesbaden","publisher-place":"Wiesbaden","source":"DOI.org (Crossref)","title":"Professionelle Kompetenz von Lehrkräften","URL":"https://link.springer.com/10.1007/978-3-658-00908-3_13","editor":[{"family":"Gogolin","given":"Ingrid"},{"family":"Kuper","given":"Harm"},{"family":"Krüger","given":"Heinz-Hermann"},{"family":"Baumert","given":"Jürgen"}],"author":[{"family":"Baumert","given":"Jürgen"},{"family":"Kunter","given":"Mareike"}],"accessed":{"date-parts":[["2025",3,3]]},"issued":{"date-parts":[["2013"]]}}},{"id":1115,"uris":["http://zotero.org/groups/5349517/items/UKY87DDZ"],"itemData":{"id":1115,"type":"article-journal","abstract":"Livingston and Borko examine the implications of theory and research on pedagogical expertise for teacher education. They describe an investigation of the thoughts and actions of a small number of expert and novice teachers. Differences among the teachers are analyzed from two perspectives: teach ing as a complex cognitive skill and improvisational perfor mance. They then offer recommendations for teacher educa tion practice.","container-title":"Journal of Teacher Education","DOI":"10.1177/002248718904000407","ISSN":"0022-4871, 1552-7816","issue":"4","journalAbbreviation":"Journal of Teacher Education","language":"en","license":"https://journals.sagepub.com/page/policies/text-and-data-mining-license","page":"36-42","source":"DOI.org (Crossref)","title":"Expert-Novice Differences in Teaching: A Cognitive Analysis and Implications for Teacher Education","title-short":"Expert-Novice Differences in Teaching","volume":"40","author":[{"family":"Livingston","given":"Carol"},{"family":"Borko","given":"Hilda"}],"issued":{"date-parts":[["1989",7]]}}}],"schema":"https://github.com/citation-style-language/schema/raw/master/csl-citation.json"}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(Baumert &amp; Kunter, 2013; Livingston &amp; Borko, 1989)</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Their long-term working memory facilitates faster knowledge retrieval, enabling them to process information rapidly and make precise decisions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{"citationID":"RV4YjkVS","properties":{"formattedCitation":"(Ericsson &amp; Kintsch, 1995; Kirchhof, 2007)","plainCitation":"(Ericsson &amp; Kintsch, 1995; Kirchhof, 2007)","noteIndex":0},"citationItems":[{"id":1123,"uris":["http://zotero.org/groups/5349517/items/Q5FSU5HC"],"itemData":{"id":1123,"type":"article-journal","container-title":"Psychological Review","DOI":"10.1037/0033-295X.102.2.211","ISSN":"1939-1471, 0033-295X","issue":"2","journalAbbreviation":"Psychological Review","language":"en","page":"211-245","source":"DOI.org (Crossref)","title":"Long-term working memory.","volume":"102","author":[{"family":"Ericsson","given":"K. Anders"},{"family":"Kintsch","given":"Walter"}],"issued":{"date-parts":[["1995"]]}}},{"id":1119,"uris":["http://zotero.org/groups/5349517/items/EI2F9RPE"],"itemData":{"id":1119,"type":"book","abstract":"Was ist informelles Lernen und was zeichnet informelle Lernprozesse im Vergleich zum formellen Lernen aus? Wie entwickeln sich Kompetenzen und welche Kompetenzen werden durch informelle Lernprozesse generiert? Die vorliegende qualitativ-explorative Studie geht diesen Fragen am Beispiel der Pflegeberufe nach.Hierbei werden die Bedingungen und Verläufe informeller Aneignungsprozesse für die berufliche Kompetenzentwicklung sowohl theoretisch ausgeleuchtet als auch durch die Auswertung von 14 narrativen Interviews bildungstheoretisch reflektiert und für weitere pädagogisch-didaktische Überlegungen bearbeitbar gemacht. So ist bei aller Forschung zum informellen Lernen bislang die Frage offen geblieben, welche pädagogischen und möglicherweise didaktischen Konsequenzen aus dem Zusammenhang von informellem Lernen und individueller Kompetenzentwicklung zu ziehen sind. Diese lern-, vermittlungs- und bildungstheoretischen sowie pädagogisch-ethischen Grundfragen der Aus- und Weiterbildung werden unter dem Aspekt pädagogisch-didaktischer Implikationen mit der Entwicklung einer Ermöglichungs-Triade weitergeführt.","ISBN":"978-3-8309-6824-5","language":"de","note":"Google-Books-ID: YkqKAwAAQBAJ","number-of-pages":"188","publisher":"Waxmann Verlag","source":"Google Books","title":"Informelles Lernen und Kompetenzentwicklung für und in beruflichen Werdegängen","author":[{"family":"Kirchhof","given":"Steffen"}],"issued":{"date-parts":[["2007"]]}}}],"schema":"https://github.com/citation-style-language/schema/raw/master/csl-citation.json"}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(Ericsson &amp; Kintsch, 1995; Kirchhof, 2007)</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This advanced cognitive organization allows </w:t>
      </w:r>
      <w:r w:rsidRPr="001740A1">
        <w:rPr>
          <w:rFonts w:ascii="Times New Roman" w:hAnsi="Times New Roman" w:cs="Times New Roman"/>
          <w:sz w:val="24"/>
          <w:szCs w:val="22"/>
        </w:rPr>
        <w:lastRenderedPageBreak/>
        <w:t xml:space="preserve">experts to integrate pedagogical knowledge with situational demands dynamically, leading to more flexible and effective classroom management </w:t>
      </w:r>
      <w:r w:rsidR="00D52193">
        <w:rPr>
          <w:rFonts w:ascii="Times New Roman" w:hAnsi="Times New Roman" w:cs="Times New Roman"/>
          <w:sz w:val="24"/>
          <w:szCs w:val="22"/>
        </w:rPr>
        <w:fldChar w:fldCharType="begin"/>
      </w:r>
      <w:r w:rsidR="00D52193">
        <w:rPr>
          <w:rFonts w:ascii="Times New Roman" w:hAnsi="Times New Roman" w:cs="Times New Roman"/>
          <w:sz w:val="24"/>
          <w:szCs w:val="22"/>
        </w:rPr>
        <w:instrText xml:space="preserve"> ADDIN ZOTERO_ITEM CSL_CITATION {"citationID":"d72pyYLS","properties":{"formattedCitation":"(Goldman, 2007)","plainCitation":"(Goldman, 2007)","noteIndex":0},"citationItems":[{"id":1101,"uris":["http://zotero.org/groups/5349517/items/ECR9X9CF"],"itemData":{"id":1101,"type":"book","event-place":"Mahwah, N.J.","ISBN":"978-1-135-60405-9","language":"eng","note":"OCLC: 879202716","publisher":"Lawrence Erlbaum Associates","publisher-place":"Mahwah, N.J.","source":"Open WorldCat","title":"Video research in the learning sciences","author":[{"family":"Goldman","given":"Ricki"}],"issued":{"date-parts":[["2007"]]}}}],"schema":"https://github.com/citation-style-language/schema/raw/master/csl-citation.json"} </w:instrText>
      </w:r>
      <w:r w:rsidR="00D52193">
        <w:rPr>
          <w:rFonts w:ascii="Times New Roman" w:hAnsi="Times New Roman" w:cs="Times New Roman"/>
          <w:sz w:val="24"/>
          <w:szCs w:val="22"/>
        </w:rPr>
        <w:fldChar w:fldCharType="separate"/>
      </w:r>
      <w:r w:rsidR="00D52193" w:rsidRPr="00D52193">
        <w:rPr>
          <w:rFonts w:ascii="Times New Roman" w:hAnsi="Times New Roman" w:cs="Times New Roman"/>
          <w:sz w:val="24"/>
        </w:rPr>
        <w:t>(Goldman, 2007)</w:t>
      </w:r>
      <w:r w:rsidR="00D52193">
        <w:rPr>
          <w:rFonts w:ascii="Times New Roman" w:hAnsi="Times New Roman" w:cs="Times New Roman"/>
          <w:sz w:val="24"/>
          <w:szCs w:val="22"/>
        </w:rPr>
        <w:fldChar w:fldCharType="end"/>
      </w:r>
      <w:r w:rsidRPr="001740A1">
        <w:rPr>
          <w:rFonts w:ascii="Times New Roman" w:hAnsi="Times New Roman" w:cs="Times New Roman"/>
          <w:sz w:val="24"/>
          <w:szCs w:val="22"/>
        </w:rPr>
        <w:t>. In contrast, novices lack these structured knowledge networks, leading to fragmented perceptions and less effective responses to classroom events</w:t>
      </w:r>
      <w:r w:rsidR="00012E7B">
        <w:rPr>
          <w:rFonts w:ascii="Times New Roman" w:hAnsi="Times New Roman" w:cs="Times New Roman"/>
          <w:sz w:val="24"/>
          <w:szCs w:val="22"/>
        </w:rPr>
        <w:t xml:space="preserve"> </w:t>
      </w:r>
      <w:r w:rsidR="00012E7B">
        <w:rPr>
          <w:rFonts w:ascii="Times New Roman" w:hAnsi="Times New Roman" w:cs="Times New Roman"/>
          <w:sz w:val="24"/>
          <w:szCs w:val="22"/>
        </w:rPr>
        <w:fldChar w:fldCharType="begin"/>
      </w:r>
      <w:r w:rsidR="00012E7B">
        <w:rPr>
          <w:rFonts w:ascii="Times New Roman" w:hAnsi="Times New Roman" w:cs="Times New Roman"/>
          <w:sz w:val="24"/>
          <w:szCs w:val="22"/>
        </w:rPr>
        <w:instrText xml:space="preserve"> ADDIN ZOTERO_ITEM CSL_CITATION {"citationID":"u6vbhjMP","properties":{"formattedCitation":"(Ophardt &amp; Thiel, 2013; Shulman, 1987)","plainCitation":"(Ophardt &amp; Thiel, 2013; Shulman, 1987)","noteIndex":0},"citationItems":[{"id":1126,"uris":["http://zotero.org/groups/5349517/items/UP26K5YH"],"itemData":{"id":1126,"type":"book","abstract":"Klassenmanagement ist in letzter Zeit wieder ins Zentrum der deutschsprachigen Didaktik und Lehrerbildung gerückt. Gemeint ist damit die Fähigkeit zur Steuerung der Interaktionsprozesse in einer Schulklasse mit dem Ziel, die Aufmerksamkeit von Schülerinnen und Schülern auf den Lerngegenstand auszurichten und Störungen effektiv zu bearbeiten. Klassenmanagement gehört so als eigenständiger Kompetenzbereich zur Lehrerexpertise und setzt besondere Strategien und Techniken und damit auch ein besonderes Wissen voraus. Zum ersten Mal wird in dieser Einführung zum Thema Klassenmanagement ein kohärentes Curriculum entworfen, das von einem weiten Begriff des Klassenmanagements ausgeht und die relevanten Forschungstraditionen zusammenführt. Im Mittelpunkt stehen praxisnahe Fragen zur Einführung von Regeln, zu Aufbau und Veränderung von Verhalten, zur Steuerung der Aufmerksamkeit, zum Umgang mit Störungen und zur Bearbeitung von Konflikten. Abschließend werden Wege der Entwicklung und Weiterentwicklung von Kompetenzen des Klassenmanagements vorgestellt. Das Buch ist vor allem als ein Arbeitsbuch für die Lehreraus- und -weiterbildung konzipiert und mit zahlreichen Arbeitsaufgaben, Fallbeispielen und Checklisten versehen.","ISBN":"978-3-17-023845-9","language":"de","note":"Google-Books-ID: H20iEAAAQBAJ","number-of-pages":"185","publisher":"Kohlhammer Verlag","source":"Google Books","title":"Klassenmanagement: Ein Handbuch für Studium und Praxis","title-short":"Klassenmanagement","author":[{"family":"Ophardt","given":"Diemut"},{"family":"Thiel","given":"Felicitas"}],"issued":{"date-parts":[["2013",2,28]]}}},{"id":1125,"uris":["http://zotero.org/groups/5349517/items/UFXAZR8S"],"itemData":{"id":1125,"type":"article-journal","abstract":"Lee S. Shulman builds his foundation for teaching reform on an idea of teaching that emphasizes comprehension and reasoning, transformation and reflection. \"This emphasis is justified,\" he writes, \"by the resoluteness with which research and policy have so blatantly ignored those aspects of teaching in the past.\" To articulate and justify this conception, Shulman responds to four questions: What are the sources of the knowledge base for teaching?In what terms can these sources be conceptualized? What are the processes of pedagogical reasoning and action? and What are the implications for teaching policy and educational reform? The answers — informed by philosophy, psychology, and a growing body of casework based on young and experienced practitioners — go far beyond current reform assumptions and initiatives. The outcome for educational practitioners, scholars, and policymakers is a major redirection in how teaching is to be understood and teachers are to be trained and evaluated.\n            This article was selected for the November 1986 special issue on \"Teachers, Teaching,and Teacher Education,\" but appears here because of the exigencies of publishing.","container-title":"Harvard Educational Review","DOI":"10.17763/haer.57.1.j463w79r56455411","ISSN":"0017-8055, 1943-5045","issue":"1","language":"en","page":"1-23","source":"DOI.org (Crossref)","title":"Knowledge and Teaching:Foundations of the New Reform","title-short":"Knowledge and Teaching","volume":"57","author":[{"family":"Shulman","given":"Lee"}],"issued":{"date-parts":[["1987",4,1]]}}}],"schema":"https://github.com/citation-style-language/schema/raw/master/csl-citation.json"} </w:instrText>
      </w:r>
      <w:r w:rsidR="00012E7B">
        <w:rPr>
          <w:rFonts w:ascii="Times New Roman" w:hAnsi="Times New Roman" w:cs="Times New Roman"/>
          <w:sz w:val="24"/>
          <w:szCs w:val="22"/>
        </w:rPr>
        <w:fldChar w:fldCharType="separate"/>
      </w:r>
      <w:r w:rsidR="00012E7B" w:rsidRPr="00012E7B">
        <w:rPr>
          <w:rFonts w:ascii="Times New Roman" w:hAnsi="Times New Roman" w:cs="Times New Roman"/>
          <w:sz w:val="24"/>
        </w:rPr>
        <w:t>(Ophardt &amp; Thiel, 2013; Shulman, 1987)</w:t>
      </w:r>
      <w:r w:rsidR="00012E7B">
        <w:rPr>
          <w:rFonts w:ascii="Times New Roman" w:hAnsi="Times New Roman" w:cs="Times New Roman"/>
          <w:sz w:val="24"/>
          <w:szCs w:val="22"/>
        </w:rPr>
        <w:fldChar w:fldCharType="end"/>
      </w:r>
      <w:r w:rsidR="00012E7B">
        <w:rPr>
          <w:rFonts w:ascii="Times New Roman" w:hAnsi="Times New Roman" w:cs="Times New Roman"/>
          <w:sz w:val="24"/>
          <w:szCs w:val="22"/>
        </w:rPr>
        <w:t xml:space="preserve">. </w:t>
      </w:r>
      <w:r w:rsidRPr="001740A1">
        <w:rPr>
          <w:rFonts w:ascii="Times New Roman" w:hAnsi="Times New Roman" w:cs="Times New Roman"/>
          <w:sz w:val="24"/>
          <w:szCs w:val="22"/>
        </w:rPr>
        <w:t xml:space="preserve">As a result, they are more likely to rely on reactive strategies and rule enforcement, which may not always align with the needs of their students </w:t>
      </w:r>
      <w:r w:rsidR="00DE6C26">
        <w:rPr>
          <w:rFonts w:ascii="Times New Roman" w:hAnsi="Times New Roman" w:cs="Times New Roman"/>
          <w:sz w:val="24"/>
          <w:szCs w:val="22"/>
        </w:rPr>
        <w:fldChar w:fldCharType="begin"/>
      </w:r>
      <w:r w:rsidR="00DE6C26">
        <w:rPr>
          <w:rFonts w:ascii="Times New Roman" w:hAnsi="Times New Roman" w:cs="Times New Roman"/>
          <w:sz w:val="24"/>
          <w:szCs w:val="22"/>
        </w:rPr>
        <w:instrText xml:space="preserve"> ADDIN ZOTERO_ITEM CSL_CITATION {"citationID":"UoIppdrm","properties":{"formattedCitation":"(Carter et al., 1988; Wolff et al., 2017)","plainCitation":"(Carter et al., 1988; Wolff et al., 2017)","noteIndex":0},"citationItems":[{"id":1132,"uris":["http://zotero.org/groups/5349517/items/B42EQSTQ"],"itemData":{"id":1132,"type":"article-journal","abstract":"Findings from a study designed to examine differences in ex pert and novice teachers' information processing are pre sented. Specifically, results are described which suggest differ ences in the ways expert, novice, and \"postulant\" teachers perceive, understand, monitor, and process visual information in classrooms. Expert, novice, and postulant subjects were asked to view a series of slides taken in science and mathema tics classrooms and to discuss their perceptions about and reactions to visual stimuli. Subjects were asked to respond to structured interview questions both orally and in writing; the responses were recorded and transcribed for analysis. Protocols and written responses were analyzed through a multi-step, itera tive process designed to determine patterns, trends, and differ ences in both kind and quantity of responses. Results suggested that experts, novices, and postulants differed with respect to their abilities to perceive and interpret classroom information. Experts appeared better able to weigh the import of one piece of visual information against another, to form connections among pieces of information, and to represent management and instructional situations into meaningful problem units. In general, experts appeared to possess comparatively richer schemata for ascribing meaning to visual classroom information.","container-title":"Journal of Teacher Education","DOI":"10.1177/002248718803900306","ISSN":"0022-4871, 1552-7816","issue":"3","journalAbbreviation":"Journal of Teacher Education","language":"en","license":"https://journals.sagepub.com/page/policies/text-and-data-mining-license","page":"25-31","source":"DOI.org (Crossref)","title":"Expert-Novice Differences in Perceiving and Processing Visual Classroom Information","volume":"39","author":[{"family":"Carter","given":"Kathy"},{"family":"Cushing","given":"Katherine"},{"family":"Sabers","given":"Donna"},{"family":"Stein","given":"Pamela"},{"family":"Berliner","given":"David"}],"issued":{"date-parts":[["1988",5]]}}},{"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P.A."}],"issued":{"date-parts":[["2017",8]]}}}],"schema":"https://github.com/citation-style-language/schema/raw/master/csl-citation.json"} </w:instrText>
      </w:r>
      <w:r w:rsidR="00DE6C26">
        <w:rPr>
          <w:rFonts w:ascii="Times New Roman" w:hAnsi="Times New Roman" w:cs="Times New Roman"/>
          <w:sz w:val="24"/>
          <w:szCs w:val="22"/>
        </w:rPr>
        <w:fldChar w:fldCharType="separate"/>
      </w:r>
      <w:r w:rsidR="00DE6C26" w:rsidRPr="00DE6C26">
        <w:rPr>
          <w:rFonts w:ascii="Times New Roman" w:hAnsi="Times New Roman" w:cs="Times New Roman"/>
          <w:sz w:val="24"/>
        </w:rPr>
        <w:t>(Carter et al., 1988; Wolff et al., 2017)</w:t>
      </w:r>
      <w:r w:rsidR="00DE6C26">
        <w:rPr>
          <w:rFonts w:ascii="Times New Roman" w:hAnsi="Times New Roman" w:cs="Times New Roman"/>
          <w:sz w:val="24"/>
          <w:szCs w:val="22"/>
        </w:rPr>
        <w:fldChar w:fldCharType="end"/>
      </w:r>
      <w:r w:rsidRPr="001740A1">
        <w:rPr>
          <w:rFonts w:ascii="Times New Roman" w:hAnsi="Times New Roman" w:cs="Times New Roman"/>
          <w:sz w:val="24"/>
          <w:szCs w:val="22"/>
        </w:rPr>
        <w:t>.</w:t>
      </w:r>
    </w:p>
    <w:p w14:paraId="7C78D74A" w14:textId="0C757E80"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 xml:space="preserve">This distinction is particularly evident in classroom management </w:t>
      </w:r>
      <w:r w:rsidR="008A0AF7">
        <w:rPr>
          <w:rFonts w:ascii="Times New Roman" w:hAnsi="Times New Roman" w:cs="Times New Roman"/>
          <w:sz w:val="24"/>
          <w:szCs w:val="22"/>
        </w:rPr>
        <w:t>strategies</w:t>
      </w:r>
      <w:r w:rsidRPr="001740A1">
        <w:rPr>
          <w:rFonts w:ascii="Times New Roman" w:hAnsi="Times New Roman" w:cs="Times New Roman"/>
          <w:sz w:val="24"/>
          <w:szCs w:val="22"/>
        </w:rPr>
        <w:t>. While novices often implement strict disciplinary rules, expert teachers use their context-sensitive knowledge to enhance instructional effectiveness (Berliner, 1987; Palmer et al., 2005). Their expertise develops through a combination of domain-specific knowledge and practical experience (</w:t>
      </w:r>
      <w:proofErr w:type="spellStart"/>
      <w:r w:rsidRPr="001740A1">
        <w:rPr>
          <w:rFonts w:ascii="Times New Roman" w:hAnsi="Times New Roman" w:cs="Times New Roman"/>
          <w:sz w:val="24"/>
          <w:szCs w:val="22"/>
        </w:rPr>
        <w:t>Tynjälä</w:t>
      </w:r>
      <w:proofErr w:type="spellEnd"/>
      <w:r w:rsidRPr="001740A1">
        <w:rPr>
          <w:rFonts w:ascii="Times New Roman" w:hAnsi="Times New Roman" w:cs="Times New Roman"/>
          <w:sz w:val="24"/>
          <w:szCs w:val="22"/>
        </w:rPr>
        <w:t xml:space="preserve"> et al., 1997), allowing them to be more adaptive and responsive to the complexities of teaching. Research suggests that expert teachers can interpret classroom events more holistically, recognizing patterns of student behavior that indicate potential disengagement (Wolff et al., 2015). By contrast, novice teachers may focus more on maintaining order, sometimes at the expense of student engagement and learning outcomes (König &amp; Kramer, 2016; Berliner, 2001).</w:t>
      </w:r>
    </w:p>
    <w:p w14:paraId="42E83BD3" w14:textId="31125ED7"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 xml:space="preserve">Expertise in </w:t>
      </w:r>
      <w:r w:rsidR="009C256B">
        <w:rPr>
          <w:rFonts w:ascii="Times New Roman" w:hAnsi="Times New Roman" w:cs="Times New Roman"/>
          <w:sz w:val="24"/>
          <w:szCs w:val="22"/>
        </w:rPr>
        <w:t>classroom management</w:t>
      </w:r>
      <w:r w:rsidRPr="001740A1">
        <w:rPr>
          <w:rFonts w:ascii="Times New Roman" w:hAnsi="Times New Roman" w:cs="Times New Roman"/>
          <w:sz w:val="24"/>
          <w:szCs w:val="22"/>
        </w:rPr>
        <w:t xml:space="preserve"> is closely tied to professionalism, characterized by advanced problem-solving skills that enable teachers to manage diverse classroom situations while maintaining high instructional quality (Berliner, 2001). Research also highlights </w:t>
      </w:r>
      <w:proofErr w:type="gramStart"/>
      <w:r w:rsidRPr="001740A1">
        <w:rPr>
          <w:rFonts w:ascii="Times New Roman" w:hAnsi="Times New Roman" w:cs="Times New Roman"/>
          <w:sz w:val="24"/>
          <w:szCs w:val="22"/>
        </w:rPr>
        <w:t>that</w:t>
      </w:r>
      <w:r w:rsidR="009C256B">
        <w:rPr>
          <w:rFonts w:ascii="Times New Roman" w:hAnsi="Times New Roman" w:cs="Times New Roman"/>
          <w:sz w:val="24"/>
          <w:szCs w:val="22"/>
        </w:rPr>
        <w:t xml:space="preserve"> </w:t>
      </w:r>
      <w:r w:rsidRPr="001740A1">
        <w:rPr>
          <w:rFonts w:ascii="Times New Roman" w:hAnsi="Times New Roman" w:cs="Times New Roman"/>
          <w:sz w:val="24"/>
          <w:szCs w:val="22"/>
        </w:rPr>
        <w:t>experts</w:t>
      </w:r>
      <w:proofErr w:type="gramEnd"/>
      <w:r w:rsidRPr="001740A1">
        <w:rPr>
          <w:rFonts w:ascii="Times New Roman" w:hAnsi="Times New Roman" w:cs="Times New Roman"/>
          <w:sz w:val="24"/>
          <w:szCs w:val="22"/>
        </w:rPr>
        <w:t xml:space="preserve"> use their refined classroom management scripts to anticipate potential disruptions and implement proactive responses that foster a structured yet flexible learning environment (Wolff et al., 2021). </w:t>
      </w:r>
    </w:p>
    <w:p w14:paraId="624BF6ED" w14:textId="293A2FC4"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lastRenderedPageBreak/>
        <w:t>Another key difference between novices and experts lies in their cognitive processing mechanisms</w:t>
      </w:r>
      <w:r w:rsidR="0034519D">
        <w:rPr>
          <w:rFonts w:ascii="Times New Roman" w:hAnsi="Times New Roman" w:cs="Times New Roman"/>
          <w:sz w:val="24"/>
          <w:szCs w:val="22"/>
        </w:rPr>
        <w:t xml:space="preserve"> (see Figure 1)</w:t>
      </w:r>
      <w:r w:rsidRPr="001740A1">
        <w:rPr>
          <w:rFonts w:ascii="Times New Roman" w:hAnsi="Times New Roman" w:cs="Times New Roman"/>
          <w:sz w:val="24"/>
          <w:szCs w:val="22"/>
        </w:rPr>
        <w:t>. Experts rely on top-down processing, guided by motivation, experience, and structured knowledge, which allows them to focus selectively on relevant visual elements (</w:t>
      </w:r>
      <w:proofErr w:type="spellStart"/>
      <w:r w:rsidRPr="001740A1">
        <w:rPr>
          <w:rFonts w:ascii="Times New Roman" w:hAnsi="Times New Roman" w:cs="Times New Roman"/>
          <w:sz w:val="24"/>
          <w:szCs w:val="22"/>
        </w:rPr>
        <w:t>Hershler</w:t>
      </w:r>
      <w:proofErr w:type="spellEnd"/>
      <w:r w:rsidRPr="001740A1">
        <w:rPr>
          <w:rFonts w:ascii="Times New Roman" w:hAnsi="Times New Roman" w:cs="Times New Roman"/>
          <w:sz w:val="24"/>
          <w:szCs w:val="22"/>
        </w:rPr>
        <w:t xml:space="preserve"> &amp; Hochstein, 2009). They are also better at filtering out distractions, enabling them to prioritize meaningful interactions that support student learning (Ericsson &amp; </w:t>
      </w:r>
      <w:proofErr w:type="spellStart"/>
      <w:r w:rsidRPr="001740A1">
        <w:rPr>
          <w:rFonts w:ascii="Times New Roman" w:hAnsi="Times New Roman" w:cs="Times New Roman"/>
          <w:sz w:val="24"/>
          <w:szCs w:val="22"/>
        </w:rPr>
        <w:t>Kintsch</w:t>
      </w:r>
      <w:proofErr w:type="spellEnd"/>
      <w:r w:rsidRPr="001740A1">
        <w:rPr>
          <w:rFonts w:ascii="Times New Roman" w:hAnsi="Times New Roman" w:cs="Times New Roman"/>
          <w:sz w:val="24"/>
          <w:szCs w:val="22"/>
        </w:rPr>
        <w:t>, 1995). Novices, on the other hand, engage in bottom-up processing, where their perception is driven by physical stimulus features, making them more likely to focus on visually salient but potentially irrelevant aspects (</w:t>
      </w:r>
      <w:proofErr w:type="spellStart"/>
      <w:r w:rsidRPr="001740A1">
        <w:rPr>
          <w:rFonts w:ascii="Times New Roman" w:hAnsi="Times New Roman" w:cs="Times New Roman"/>
          <w:sz w:val="24"/>
          <w:szCs w:val="22"/>
        </w:rPr>
        <w:t>Hershler</w:t>
      </w:r>
      <w:proofErr w:type="spellEnd"/>
      <w:r w:rsidRPr="001740A1">
        <w:rPr>
          <w:rFonts w:ascii="Times New Roman" w:hAnsi="Times New Roman" w:cs="Times New Roman"/>
          <w:sz w:val="24"/>
          <w:szCs w:val="22"/>
        </w:rPr>
        <w:t xml:space="preserve"> &amp; Hochstein, 2009). This contrast highlights how expert perception is shaped by knowledge, whereas novice perception is dominated by immediate visual stimuli, often leading to misinterpretations of classroom events (Livingston &amp; </w:t>
      </w:r>
      <w:proofErr w:type="spellStart"/>
      <w:r w:rsidRPr="001740A1">
        <w:rPr>
          <w:rFonts w:ascii="Times New Roman" w:hAnsi="Times New Roman" w:cs="Times New Roman"/>
          <w:sz w:val="24"/>
          <w:szCs w:val="22"/>
        </w:rPr>
        <w:t>Borko</w:t>
      </w:r>
      <w:proofErr w:type="spellEnd"/>
      <w:r w:rsidRPr="001740A1">
        <w:rPr>
          <w:rFonts w:ascii="Times New Roman" w:hAnsi="Times New Roman" w:cs="Times New Roman"/>
          <w:sz w:val="24"/>
          <w:szCs w:val="22"/>
        </w:rPr>
        <w:t>, 1989).</w:t>
      </w:r>
    </w:p>
    <w:p w14:paraId="6BC0E80B" w14:textId="473AF2C9" w:rsidR="00234A36" w:rsidRDefault="00234A36" w:rsidP="00234A36">
      <w:pPr>
        <w:pStyle w:val="berschrift2"/>
        <w:rPr>
          <w:rFonts w:ascii="Times New Roman" w:hAnsi="Times New Roman" w:cs="Times New Roman"/>
          <w:sz w:val="24"/>
          <w:szCs w:val="24"/>
        </w:rPr>
      </w:pPr>
      <w:commentRangeStart w:id="2"/>
      <w:commentRangeStart w:id="3"/>
      <w:r>
        <w:rPr>
          <w:rFonts w:ascii="Times New Roman" w:hAnsi="Times New Roman" w:cs="Times New Roman"/>
          <w:sz w:val="24"/>
          <w:szCs w:val="24"/>
        </w:rPr>
        <w:t>Assess</w:t>
      </w:r>
      <w:r w:rsidR="008A0AF7">
        <w:rPr>
          <w:rFonts w:ascii="Times New Roman" w:hAnsi="Times New Roman" w:cs="Times New Roman"/>
          <w:sz w:val="24"/>
          <w:szCs w:val="24"/>
        </w:rPr>
        <w:t>ing</w:t>
      </w:r>
      <w:r w:rsidRPr="00234A36">
        <w:rPr>
          <w:rFonts w:ascii="Times New Roman" w:hAnsi="Times New Roman" w:cs="Times New Roman"/>
          <w:sz w:val="24"/>
          <w:szCs w:val="24"/>
        </w:rPr>
        <w:t xml:space="preserve"> Teachers’ Professional Vision </w:t>
      </w:r>
      <w:r w:rsidR="008A0AF7">
        <w:rPr>
          <w:rFonts w:ascii="Times New Roman" w:hAnsi="Times New Roman" w:cs="Times New Roman"/>
          <w:sz w:val="24"/>
          <w:szCs w:val="24"/>
        </w:rPr>
        <w:t>with Eye-Tracking</w:t>
      </w:r>
      <w:commentRangeEnd w:id="2"/>
      <w:r w:rsidR="008A0AF7">
        <w:rPr>
          <w:rStyle w:val="Kommentarzeichen"/>
          <w:rFonts w:ascii="Calibri" w:hAnsi="Calibri" w:cs="Arial"/>
          <w:b w:val="0"/>
        </w:rPr>
        <w:commentReference w:id="2"/>
      </w:r>
      <w:commentRangeEnd w:id="3"/>
      <w:r w:rsidR="008A0AF7">
        <w:rPr>
          <w:rStyle w:val="Kommentarzeichen"/>
          <w:rFonts w:ascii="Calibri" w:hAnsi="Calibri" w:cs="Arial"/>
          <w:b w:val="0"/>
        </w:rPr>
        <w:commentReference w:id="3"/>
      </w:r>
    </w:p>
    <w:p w14:paraId="08606DBD" w14:textId="3E725058" w:rsidR="00977C56" w:rsidRPr="00977C56" w:rsidRDefault="00977C56" w:rsidP="00977C56">
      <w:pPr>
        <w:rPr>
          <w:rFonts w:ascii="Times New Roman" w:hAnsi="Times New Roman" w:cs="Times New Roman"/>
          <w:sz w:val="24"/>
          <w:szCs w:val="22"/>
        </w:rPr>
      </w:pPr>
      <w:r w:rsidRPr="00977C56">
        <w:rPr>
          <w:rFonts w:ascii="Times New Roman" w:hAnsi="Times New Roman" w:cs="Times New Roman"/>
          <w:sz w:val="24"/>
          <w:szCs w:val="22"/>
        </w:rPr>
        <w:t>To measure the competency differences between experts and novices in the described professional, cognitive perception and processing mechanisms in classroom management situations, the process-based method of eye-tracking is used as an important tool for examining continuous processes (</w:t>
      </w:r>
      <w:proofErr w:type="spellStart"/>
      <w:r w:rsidRPr="00977C56">
        <w:rPr>
          <w:rFonts w:ascii="Times New Roman" w:hAnsi="Times New Roman" w:cs="Times New Roman"/>
          <w:sz w:val="24"/>
          <w:szCs w:val="22"/>
        </w:rPr>
        <w:t>Holmqvist</w:t>
      </w:r>
      <w:proofErr w:type="spellEnd"/>
      <w:r w:rsidRPr="00977C56">
        <w:rPr>
          <w:rFonts w:ascii="Times New Roman" w:hAnsi="Times New Roman" w:cs="Times New Roman"/>
          <w:sz w:val="24"/>
          <w:szCs w:val="22"/>
        </w:rPr>
        <w:t xml:space="preserve"> et al., 2011). The eye-tracking method is suitable because, on the one hand, most information is processed through the eyes, and on the other hand, the eyes play a crucial role in the process of visual perception (</w:t>
      </w:r>
      <w:proofErr w:type="spellStart"/>
      <w:r w:rsidRPr="00977C56">
        <w:rPr>
          <w:rFonts w:ascii="Times New Roman" w:hAnsi="Times New Roman" w:cs="Times New Roman"/>
          <w:sz w:val="24"/>
          <w:szCs w:val="22"/>
        </w:rPr>
        <w:t>Jarodzka</w:t>
      </w:r>
      <w:proofErr w:type="spellEnd"/>
      <w:r w:rsidRPr="00977C56">
        <w:rPr>
          <w:rFonts w:ascii="Times New Roman" w:hAnsi="Times New Roman" w:cs="Times New Roman"/>
          <w:sz w:val="24"/>
          <w:szCs w:val="22"/>
        </w:rPr>
        <w:t xml:space="preserve"> et al., 2017).</w:t>
      </w:r>
    </w:p>
    <w:p w14:paraId="765E9D4C" w14:textId="77777777" w:rsidR="00977C56" w:rsidRPr="00977C56" w:rsidRDefault="00977C56" w:rsidP="00977C56">
      <w:pPr>
        <w:rPr>
          <w:rFonts w:ascii="Times New Roman" w:hAnsi="Times New Roman" w:cs="Times New Roman"/>
          <w:sz w:val="24"/>
          <w:szCs w:val="22"/>
        </w:rPr>
      </w:pPr>
      <w:r w:rsidRPr="00977C56">
        <w:rPr>
          <w:rFonts w:ascii="Times New Roman" w:hAnsi="Times New Roman" w:cs="Times New Roman"/>
          <w:sz w:val="24"/>
          <w:szCs w:val="22"/>
        </w:rPr>
        <w:t xml:space="preserve">Additionally, according to the Eye-Mind Hypothesis, it is assumed that visual stimuli from the environment are immediately processed cognitively, meaning that people generally think about what they are looking at (Just &amp; Carpenter, 1976). Therefore, eye movements are used as behavioral indicators of cognitive processes, as fixation data reflect attention and shifts in attention (Grub et al., 2020). By recording eye movements using eye-tracking technology, conclusions can be drawn about fundamental cognitive processes such as selection and attention </w:t>
      </w:r>
      <w:r w:rsidRPr="00977C56">
        <w:rPr>
          <w:rFonts w:ascii="Times New Roman" w:hAnsi="Times New Roman" w:cs="Times New Roman"/>
          <w:sz w:val="24"/>
          <w:szCs w:val="22"/>
        </w:rPr>
        <w:lastRenderedPageBreak/>
        <w:t xml:space="preserve">patterns, also referred to as noticing and perception processes, which typically occur unconsciously and are therefore difficult to verbalize (Grub et al., 2020; Seidel &amp; </w:t>
      </w:r>
      <w:proofErr w:type="spellStart"/>
      <w:r w:rsidRPr="00977C56">
        <w:rPr>
          <w:rFonts w:ascii="Times New Roman" w:hAnsi="Times New Roman" w:cs="Times New Roman"/>
          <w:sz w:val="24"/>
          <w:szCs w:val="22"/>
        </w:rPr>
        <w:t>Stürmer</w:t>
      </w:r>
      <w:proofErr w:type="spellEnd"/>
      <w:r w:rsidRPr="00977C56">
        <w:rPr>
          <w:rFonts w:ascii="Times New Roman" w:hAnsi="Times New Roman" w:cs="Times New Roman"/>
          <w:sz w:val="24"/>
          <w:szCs w:val="22"/>
        </w:rPr>
        <w:t xml:space="preserve">, 2014; van den </w:t>
      </w:r>
      <w:proofErr w:type="spellStart"/>
      <w:r w:rsidRPr="00977C56">
        <w:rPr>
          <w:rFonts w:ascii="Times New Roman" w:hAnsi="Times New Roman" w:cs="Times New Roman"/>
          <w:sz w:val="24"/>
          <w:szCs w:val="22"/>
        </w:rPr>
        <w:t>Bogert</w:t>
      </w:r>
      <w:proofErr w:type="spellEnd"/>
      <w:r w:rsidRPr="00977C56">
        <w:rPr>
          <w:rFonts w:ascii="Times New Roman" w:hAnsi="Times New Roman" w:cs="Times New Roman"/>
          <w:sz w:val="24"/>
          <w:szCs w:val="22"/>
        </w:rPr>
        <w:t xml:space="preserve"> et al., 2014; Wolff et al., 2016).</w:t>
      </w:r>
    </w:p>
    <w:p w14:paraId="15C13257" w14:textId="3E04BAAD" w:rsidR="0001570C" w:rsidRDefault="00977C56" w:rsidP="0001570C">
      <w:pPr>
        <w:rPr>
          <w:rFonts w:ascii="Times New Roman" w:hAnsi="Times New Roman" w:cs="Times New Roman"/>
          <w:sz w:val="24"/>
          <w:szCs w:val="22"/>
        </w:rPr>
      </w:pPr>
      <w:r w:rsidRPr="00977C56">
        <w:rPr>
          <w:rFonts w:ascii="Times New Roman" w:hAnsi="Times New Roman" w:cs="Times New Roman"/>
          <w:sz w:val="24"/>
          <w:szCs w:val="22"/>
        </w:rPr>
        <w:t>Specifically, the eye-tracking glasses record fixations, moments when the eyes appear to remain still for a certain period to focus on an object or person (</w:t>
      </w:r>
      <w:proofErr w:type="spellStart"/>
      <w:r w:rsidR="00F256DB" w:rsidRPr="00977C56">
        <w:rPr>
          <w:rFonts w:ascii="Times New Roman" w:hAnsi="Times New Roman" w:cs="Times New Roman"/>
          <w:sz w:val="24"/>
          <w:szCs w:val="22"/>
        </w:rPr>
        <w:t>Holmqvist</w:t>
      </w:r>
      <w:proofErr w:type="spellEnd"/>
      <w:r w:rsidR="00F256DB" w:rsidRPr="00977C56">
        <w:rPr>
          <w:rFonts w:ascii="Times New Roman" w:hAnsi="Times New Roman" w:cs="Times New Roman"/>
          <w:sz w:val="24"/>
          <w:szCs w:val="22"/>
        </w:rPr>
        <w:t xml:space="preserve"> et al., 2011</w:t>
      </w:r>
      <w:r w:rsidRPr="00977C56">
        <w:rPr>
          <w:rFonts w:ascii="Times New Roman" w:hAnsi="Times New Roman" w:cs="Times New Roman"/>
          <w:sz w:val="24"/>
          <w:szCs w:val="22"/>
        </w:rPr>
        <w:t>). These fixations correspond with the person</w:t>
      </w:r>
      <w:r>
        <w:rPr>
          <w:rFonts w:ascii="Times New Roman" w:hAnsi="Times New Roman" w:cs="Times New Roman"/>
          <w:sz w:val="24"/>
          <w:szCs w:val="22"/>
        </w:rPr>
        <w:t>’</w:t>
      </w:r>
      <w:r w:rsidRPr="00977C56">
        <w:rPr>
          <w:rFonts w:ascii="Times New Roman" w:hAnsi="Times New Roman" w:cs="Times New Roman"/>
          <w:sz w:val="24"/>
          <w:szCs w:val="22"/>
        </w:rPr>
        <w:t xml:space="preserve">s attention to the fixated area and can be characterized by their </w:t>
      </w:r>
      <w:r w:rsidR="00F256DB">
        <w:rPr>
          <w:rFonts w:ascii="Times New Roman" w:hAnsi="Times New Roman" w:cs="Times New Roman"/>
          <w:sz w:val="24"/>
          <w:szCs w:val="22"/>
        </w:rPr>
        <w:t>number</w:t>
      </w:r>
      <w:r w:rsidRPr="00977C56">
        <w:rPr>
          <w:rFonts w:ascii="Times New Roman" w:hAnsi="Times New Roman" w:cs="Times New Roman"/>
          <w:sz w:val="24"/>
          <w:szCs w:val="22"/>
        </w:rPr>
        <w:t xml:space="preserve"> and duration (</w:t>
      </w:r>
      <w:proofErr w:type="spellStart"/>
      <w:r w:rsidRPr="00977C56">
        <w:rPr>
          <w:rFonts w:ascii="Times New Roman" w:hAnsi="Times New Roman" w:cs="Times New Roman"/>
          <w:sz w:val="24"/>
          <w:szCs w:val="22"/>
        </w:rPr>
        <w:t>Gegenfurtner</w:t>
      </w:r>
      <w:proofErr w:type="spellEnd"/>
      <w:r w:rsidRPr="00977C56">
        <w:rPr>
          <w:rFonts w:ascii="Times New Roman" w:hAnsi="Times New Roman" w:cs="Times New Roman"/>
          <w:sz w:val="24"/>
          <w:szCs w:val="22"/>
        </w:rPr>
        <w:t xml:space="preserve"> et al., 2018).</w:t>
      </w:r>
      <w:r w:rsidR="00F256DB">
        <w:rPr>
          <w:rFonts w:ascii="Times New Roman" w:hAnsi="Times New Roman" w:cs="Times New Roman"/>
          <w:sz w:val="24"/>
          <w:szCs w:val="22"/>
        </w:rPr>
        <w:t xml:space="preserve"> The fixation number is a </w:t>
      </w:r>
      <w:r w:rsidR="00DA6120" w:rsidRPr="00DA6120">
        <w:rPr>
          <w:rFonts w:ascii="Times New Roman" w:hAnsi="Times New Roman" w:cs="Times New Roman"/>
          <w:sz w:val="24"/>
          <w:szCs w:val="22"/>
        </w:rPr>
        <w:t xml:space="preserve">metric </w:t>
      </w:r>
      <w:r w:rsidR="00F256DB">
        <w:rPr>
          <w:rFonts w:ascii="Times New Roman" w:hAnsi="Times New Roman" w:cs="Times New Roman"/>
          <w:sz w:val="24"/>
          <w:szCs w:val="22"/>
        </w:rPr>
        <w:t>reflecting</w:t>
      </w:r>
      <w:r w:rsidR="00DA6120" w:rsidRPr="00DA6120">
        <w:rPr>
          <w:rFonts w:ascii="Times New Roman" w:hAnsi="Times New Roman" w:cs="Times New Roman"/>
          <w:sz w:val="24"/>
          <w:szCs w:val="22"/>
        </w:rPr>
        <w:t xml:space="preserve"> the frequency of visual attention shifts, with higher fixation numbers indicating a more dynamic scanning behavior across the classroom environment </w:t>
      </w:r>
      <w:r w:rsidR="00DA6120" w:rsidRPr="00DA6120">
        <w:rPr>
          <w:rFonts w:ascii="Times New Roman" w:hAnsi="Times New Roman" w:cs="Times New Roman"/>
          <w:sz w:val="24"/>
          <w:szCs w:val="22"/>
        </w:rPr>
        <w:fldChar w:fldCharType="begin"/>
      </w:r>
      <w:r w:rsidR="00DA6120"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00DA6120" w:rsidRPr="00DA6120">
        <w:rPr>
          <w:rFonts w:ascii="Times New Roman" w:hAnsi="Times New Roman" w:cs="Times New Roman"/>
          <w:sz w:val="24"/>
          <w:szCs w:val="22"/>
        </w:rPr>
        <w:fldChar w:fldCharType="separate"/>
      </w:r>
      <w:r w:rsidR="00DA6120" w:rsidRPr="00DA6120">
        <w:rPr>
          <w:rFonts w:ascii="Times New Roman" w:hAnsi="Times New Roman" w:cs="Times New Roman"/>
          <w:sz w:val="24"/>
          <w:szCs w:val="22"/>
        </w:rPr>
        <w:t>(Grub et al., 2020)</w:t>
      </w:r>
      <w:r w:rsidR="00DA6120" w:rsidRPr="00DA6120">
        <w:rPr>
          <w:rFonts w:ascii="Times New Roman" w:hAnsi="Times New Roman" w:cs="Times New Roman"/>
          <w:sz w:val="24"/>
          <w:szCs w:val="22"/>
        </w:rPr>
        <w:fldChar w:fldCharType="end"/>
      </w:r>
      <w:r w:rsidR="00DA6120" w:rsidRPr="00DA6120">
        <w:rPr>
          <w:rFonts w:ascii="Times New Roman" w:hAnsi="Times New Roman" w:cs="Times New Roman"/>
          <w:sz w:val="24"/>
          <w:szCs w:val="22"/>
        </w:rPr>
        <w:t>.</w:t>
      </w:r>
      <w:r w:rsidR="00F256DB">
        <w:rPr>
          <w:rFonts w:ascii="Times New Roman" w:hAnsi="Times New Roman" w:cs="Times New Roman"/>
          <w:sz w:val="24"/>
          <w:szCs w:val="22"/>
        </w:rPr>
        <w:t xml:space="preserve"> The average d</w:t>
      </w:r>
      <w:r w:rsidR="003712F4" w:rsidRPr="00431D00">
        <w:rPr>
          <w:rFonts w:ascii="Times New Roman" w:hAnsi="Times New Roman" w:cs="Times New Roman"/>
          <w:sz w:val="24"/>
          <w:szCs w:val="22"/>
        </w:rPr>
        <w:t xml:space="preserve">uration </w:t>
      </w:r>
      <w:r w:rsidR="00F256DB">
        <w:rPr>
          <w:rFonts w:ascii="Times New Roman" w:hAnsi="Times New Roman" w:cs="Times New Roman"/>
          <w:sz w:val="24"/>
          <w:szCs w:val="22"/>
        </w:rPr>
        <w:t>f</w:t>
      </w:r>
      <w:r w:rsidR="003712F4" w:rsidRPr="00431D00">
        <w:rPr>
          <w:rFonts w:ascii="Times New Roman" w:hAnsi="Times New Roman" w:cs="Times New Roman"/>
          <w:sz w:val="24"/>
          <w:szCs w:val="22"/>
        </w:rPr>
        <w:t>ixation</w:t>
      </w:r>
      <w:r w:rsidR="00F256DB">
        <w:rPr>
          <w:rFonts w:ascii="Times New Roman" w:hAnsi="Times New Roman" w:cs="Times New Roman"/>
          <w:sz w:val="24"/>
          <w:szCs w:val="22"/>
        </w:rPr>
        <w:t xml:space="preserve"> is a </w:t>
      </w:r>
      <w:r w:rsidR="003712F4" w:rsidRPr="00431D00">
        <w:rPr>
          <w:rFonts w:ascii="Times New Roman" w:hAnsi="Times New Roman" w:cs="Times New Roman"/>
          <w:sz w:val="24"/>
          <w:szCs w:val="22"/>
        </w:rPr>
        <w:t xml:space="preserve">metric </w:t>
      </w:r>
      <w:r w:rsidR="00F256DB">
        <w:rPr>
          <w:rFonts w:ascii="Times New Roman" w:hAnsi="Times New Roman" w:cs="Times New Roman"/>
          <w:sz w:val="24"/>
          <w:szCs w:val="22"/>
        </w:rPr>
        <w:t xml:space="preserve">that </w:t>
      </w:r>
      <w:r w:rsidR="003712F4" w:rsidRPr="00431D00">
        <w:rPr>
          <w:rFonts w:ascii="Times New Roman" w:hAnsi="Times New Roman" w:cs="Times New Roman"/>
          <w:sz w:val="24"/>
          <w:szCs w:val="22"/>
        </w:rPr>
        <w:t>provide</w:t>
      </w:r>
      <w:r w:rsidR="00F256DB">
        <w:rPr>
          <w:rFonts w:ascii="Times New Roman" w:hAnsi="Times New Roman" w:cs="Times New Roman"/>
          <w:sz w:val="24"/>
          <w:szCs w:val="22"/>
        </w:rPr>
        <w:t xml:space="preserve">s </w:t>
      </w:r>
      <w:r w:rsidR="003712F4" w:rsidRPr="00431D00">
        <w:rPr>
          <w:rFonts w:ascii="Times New Roman" w:hAnsi="Times New Roman" w:cs="Times New Roman"/>
          <w:sz w:val="24"/>
          <w:szCs w:val="22"/>
        </w:rPr>
        <w:t xml:space="preserve">a measure of cognitive processing, with longer durations suggesting more time spent processing visual information (Negi &amp; Mitra, 2020). </w:t>
      </w:r>
      <w:r w:rsidR="0001570C" w:rsidRPr="0001570C">
        <w:rPr>
          <w:rFonts w:ascii="Times New Roman" w:hAnsi="Times New Roman" w:cs="Times New Roman"/>
          <w:sz w:val="24"/>
          <w:szCs w:val="22"/>
        </w:rPr>
        <w:t>The relationship between these two parameters serves as a key indicator of effective scanning behavior, as both the number and duration of fixations reflect how visual information is processed. In research, this relationship has been conceptualized as the Gaze Relational Index (GRI), which quantifies the ratio between average fixation duration (in milliseconds) and the total number of fixations (</w:t>
      </w:r>
      <w:proofErr w:type="spellStart"/>
      <w:r w:rsidR="0001570C" w:rsidRPr="0001570C">
        <w:rPr>
          <w:rFonts w:ascii="Times New Roman" w:hAnsi="Times New Roman" w:cs="Times New Roman"/>
          <w:sz w:val="24"/>
          <w:szCs w:val="22"/>
        </w:rPr>
        <w:t>Gegenfurtner</w:t>
      </w:r>
      <w:proofErr w:type="spellEnd"/>
      <w:r w:rsidR="0001570C" w:rsidRPr="0001570C">
        <w:rPr>
          <w:rFonts w:ascii="Times New Roman" w:hAnsi="Times New Roman" w:cs="Times New Roman"/>
          <w:sz w:val="24"/>
          <w:szCs w:val="22"/>
        </w:rPr>
        <w:t xml:space="preserve"> et al., 2020; Lowe &amp; </w:t>
      </w:r>
      <w:proofErr w:type="spellStart"/>
      <w:r w:rsidR="0001570C" w:rsidRPr="0001570C">
        <w:rPr>
          <w:rFonts w:ascii="Times New Roman" w:hAnsi="Times New Roman" w:cs="Times New Roman"/>
          <w:sz w:val="24"/>
          <w:szCs w:val="22"/>
        </w:rPr>
        <w:t>Boucheix</w:t>
      </w:r>
      <w:proofErr w:type="spellEnd"/>
      <w:r w:rsidR="0001570C" w:rsidRPr="0001570C">
        <w:rPr>
          <w:rFonts w:ascii="Times New Roman" w:hAnsi="Times New Roman" w:cs="Times New Roman"/>
          <w:sz w:val="24"/>
          <w:szCs w:val="22"/>
        </w:rPr>
        <w:t xml:space="preserve">, 2016). The GRI provides a standardized measure of </w:t>
      </w:r>
      <w:r w:rsidR="00F65621">
        <w:rPr>
          <w:rFonts w:ascii="Times New Roman" w:hAnsi="Times New Roman" w:cs="Times New Roman"/>
          <w:sz w:val="24"/>
          <w:szCs w:val="22"/>
        </w:rPr>
        <w:t xml:space="preserve">gaze </w:t>
      </w:r>
      <w:r w:rsidR="0001570C" w:rsidRPr="0001570C">
        <w:rPr>
          <w:rFonts w:ascii="Times New Roman" w:hAnsi="Times New Roman" w:cs="Times New Roman"/>
          <w:sz w:val="24"/>
          <w:szCs w:val="22"/>
        </w:rPr>
        <w:t>efficiency, where lower values indicate shorter fixation durations combined with higher fixation frequencies</w:t>
      </w:r>
      <w:r w:rsidR="0001570C">
        <w:rPr>
          <w:rFonts w:ascii="Times New Roman" w:hAnsi="Times New Roman" w:cs="Times New Roman"/>
          <w:sz w:val="24"/>
          <w:szCs w:val="22"/>
        </w:rPr>
        <w:t xml:space="preserve">, </w:t>
      </w:r>
      <w:r w:rsidR="0001570C" w:rsidRPr="0001570C">
        <w:rPr>
          <w:rFonts w:ascii="Times New Roman" w:hAnsi="Times New Roman" w:cs="Times New Roman"/>
          <w:sz w:val="24"/>
          <w:szCs w:val="22"/>
        </w:rPr>
        <w:t>typically associated with more dynamic, efficient, and adaptive scanning behavior (</w:t>
      </w:r>
      <w:proofErr w:type="spellStart"/>
      <w:r w:rsidR="0001570C" w:rsidRPr="0001570C">
        <w:rPr>
          <w:rFonts w:ascii="Times New Roman" w:hAnsi="Times New Roman" w:cs="Times New Roman"/>
          <w:sz w:val="24"/>
          <w:szCs w:val="22"/>
        </w:rPr>
        <w:t>Gegenfurtner</w:t>
      </w:r>
      <w:proofErr w:type="spellEnd"/>
      <w:r w:rsidR="0001570C" w:rsidRPr="0001570C">
        <w:rPr>
          <w:rFonts w:ascii="Times New Roman" w:hAnsi="Times New Roman" w:cs="Times New Roman"/>
          <w:sz w:val="24"/>
          <w:szCs w:val="22"/>
        </w:rPr>
        <w:t xml:space="preserve"> et al., 2020).</w:t>
      </w:r>
    </w:p>
    <w:p w14:paraId="2795D803" w14:textId="3CEC168B" w:rsidR="003B1CB7" w:rsidRDefault="00384E9D" w:rsidP="00384E9D">
      <w:pPr>
        <w:pStyle w:val="berschrift2"/>
        <w:rPr>
          <w:rFonts w:ascii="Times New Roman" w:hAnsi="Times New Roman" w:cs="Times New Roman"/>
          <w:bCs/>
          <w:sz w:val="24"/>
          <w:szCs w:val="24"/>
        </w:rPr>
      </w:pPr>
      <w:commentRangeStart w:id="4"/>
      <w:r w:rsidRPr="00384E9D">
        <w:rPr>
          <w:rFonts w:ascii="Times New Roman" w:hAnsi="Times New Roman" w:cs="Times New Roman"/>
          <w:bCs/>
          <w:sz w:val="24"/>
          <w:szCs w:val="24"/>
        </w:rPr>
        <w:t>Research on Teachers’ Professional Vision Using Eye-Tracking</w:t>
      </w:r>
      <w:commentRangeEnd w:id="4"/>
      <w:r w:rsidR="008A0AF7">
        <w:rPr>
          <w:rStyle w:val="Kommentarzeichen"/>
          <w:rFonts w:ascii="Calibri" w:hAnsi="Calibri" w:cs="Arial"/>
          <w:b w:val="0"/>
        </w:rPr>
        <w:commentReference w:id="4"/>
      </w:r>
    </w:p>
    <w:p w14:paraId="5B90B254" w14:textId="1E968C9C" w:rsidR="006A6A5C" w:rsidRPr="006A6A5C" w:rsidRDefault="006A6A5C" w:rsidP="00B53C8C">
      <w:pPr>
        <w:rPr>
          <w:rFonts w:ascii="Times New Roman" w:hAnsi="Times New Roman" w:cs="Times New Roman"/>
          <w:sz w:val="24"/>
          <w:szCs w:val="22"/>
        </w:rPr>
      </w:pPr>
      <w:r w:rsidRPr="006A6A5C">
        <w:rPr>
          <w:rFonts w:ascii="Times New Roman" w:hAnsi="Times New Roman" w:cs="Times New Roman"/>
          <w:sz w:val="24"/>
          <w:szCs w:val="22"/>
        </w:rPr>
        <w:t xml:space="preserve">Since 2013, </w:t>
      </w:r>
      <w:r w:rsidR="00C10E5F">
        <w:rPr>
          <w:rFonts w:ascii="Times New Roman" w:hAnsi="Times New Roman" w:cs="Times New Roman"/>
          <w:sz w:val="24"/>
          <w:szCs w:val="22"/>
        </w:rPr>
        <w:t>r</w:t>
      </w:r>
      <w:r w:rsidR="00C10E5F" w:rsidRPr="00C10E5F">
        <w:rPr>
          <w:rFonts w:ascii="Times New Roman" w:hAnsi="Times New Roman" w:cs="Times New Roman"/>
          <w:sz w:val="24"/>
          <w:szCs w:val="22"/>
        </w:rPr>
        <w:t>esearch on teachers’ professional vision in the classroom using mobile eye-tracking</w:t>
      </w:r>
      <w:r w:rsidR="00C10E5F">
        <w:rPr>
          <w:rFonts w:ascii="Times New Roman" w:hAnsi="Times New Roman" w:cs="Times New Roman"/>
          <w:sz w:val="24"/>
          <w:szCs w:val="22"/>
        </w:rPr>
        <w:t xml:space="preserve"> </w:t>
      </w:r>
      <w:r w:rsidRPr="006A6A5C">
        <w:rPr>
          <w:rFonts w:ascii="Times New Roman" w:hAnsi="Times New Roman" w:cs="Times New Roman"/>
          <w:sz w:val="24"/>
          <w:szCs w:val="22"/>
        </w:rPr>
        <w:t>has evolved</w:t>
      </w:r>
      <w:r w:rsidR="00E36C16">
        <w:rPr>
          <w:rFonts w:ascii="Times New Roman" w:hAnsi="Times New Roman" w:cs="Times New Roman"/>
          <w:sz w:val="24"/>
          <w:szCs w:val="22"/>
        </w:rPr>
        <w:t xml:space="preserve">, showing that experts </w:t>
      </w:r>
      <w:r w:rsidR="00657DB2">
        <w:rPr>
          <w:rFonts w:ascii="Times New Roman" w:hAnsi="Times New Roman" w:cs="Times New Roman"/>
          <w:sz w:val="24"/>
          <w:szCs w:val="22"/>
        </w:rPr>
        <w:t>show more efficient gaze behaviors than novices</w:t>
      </w:r>
      <w:r w:rsidR="00C10E5F">
        <w:rPr>
          <w:rFonts w:ascii="Times New Roman" w:hAnsi="Times New Roman" w:cs="Times New Roman"/>
          <w:sz w:val="24"/>
          <w:szCs w:val="22"/>
        </w:rPr>
        <w:t xml:space="preserve"> </w:t>
      </w:r>
      <w:r w:rsidRPr="006A6A5C">
        <w:rPr>
          <w:rFonts w:ascii="Times New Roman" w:hAnsi="Times New Roman" w:cs="Times New Roman"/>
          <w:sz w:val="24"/>
          <w:szCs w:val="22"/>
        </w:rPr>
        <w:t>(</w:t>
      </w:r>
      <w:r>
        <w:rPr>
          <w:rFonts w:ascii="Times New Roman" w:hAnsi="Times New Roman" w:cs="Times New Roman"/>
          <w:sz w:val="24"/>
          <w:szCs w:val="22"/>
        </w:rPr>
        <w:t xml:space="preserve">for an overview, see </w:t>
      </w:r>
      <w:r>
        <w:rPr>
          <w:rFonts w:ascii="Times New Roman" w:hAnsi="Times New Roman" w:cs="Times New Roman"/>
          <w:sz w:val="24"/>
          <w:szCs w:val="22"/>
        </w:rPr>
        <w:fldChar w:fldCharType="begin"/>
      </w:r>
      <w:r w:rsidR="002D0D46">
        <w:rPr>
          <w:rFonts w:ascii="Times New Roman" w:hAnsi="Times New Roman" w:cs="Times New Roman"/>
          <w:sz w:val="24"/>
          <w:szCs w:val="22"/>
        </w:rPr>
        <w:instrText xml:space="preserve"> ADDIN ZOTERO_ITEM CSL_CITATION {"citationID":"FvwCprBY","properties":{"formattedCitation":"(Grub et al., 2020; Keskin et al., 2024)","plainCitation":"(Grub et al., 2020; Keskin et al., 2024)","dontUpdate":true,"noteIndex":0},"citationItems":[{"id":927,"uris":["http://zotero.org/groups/5349517/items/NE34ZK5B"],"itemData":{"id":927,"type":"article-journal","abstract":"Effektive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id":1145,"uris":["http://zotero.org/groups/5349517/items/SHVSIS57"],"itemData":{"id":1145,"type":"article-journal","abstract":"An increasing number of research groups worldwide use eye tracking to study the professional vision and visual expertise of pre-service and in-service teachers. These studies offer evidence about how teachers process complex visual information in classrooms. Focusing on this growing evidence, the present meta-analytic review (k = 98 studies) aims to systematically aggregate and integrate past eye-tracking research on teacher professional vision and teacher noticing. Four goals are addressed. First, we review the methodological characteristics of past eye-tracking studies in terms of their sample, stimulus, and eye movement characteristics. The results show that most studies use mobile eye-tracking devices in action or remote eye trackers with classroom videos on action; less frequently used are photographs and virtual classroom simulations. The average sample size of the reviewed studies is 13 in-service and 13 pre-service teachers per study, indicating the benefit of meta-analytic synthesis. Second, we meta-analyze expertise-related differences between experienced and inexperienced teachers in two frequently used eye movement measures—teacher gaze proportions and the Gini coefficient as a measure of teachers’ equal gaze distribution in the classroom. Results suggest that experienced teachers had higher gaze proportions on the students in the classroom than inexperienced teachers (g = 0.926) who, in turn, gazed more often on instructional material and other objects in the classroom. Experienced teachers distributed their gaze more evenly than inexperienced teachers between students in the classroom (g = 0.501). Third, we synthesize the results reported in eye-tracking research on the processes of teacher professional vision using the cognitive theory of visual expertise as an organizing framework; the review also discusses boundary conditions of eye-tracking research with regard to student, teacher, and instructional characteristics. Fourth, we review studies exploring the use of gaze replays and eye movement modeling examples as an instructional tool to support reflection in teacher education and teacher professional development.","container-title":"Educational Research Review","DOI":"10.1016/j.edurev.2023.100586","ISSN":"1747-938X","journalAbbreviation":"Educational Research Review","page":"100586","source":"ScienceDirect","title":"Eye-tracking research on teacher professional vision: A meta-analytic review","title-short":"Eye-tracking research on teacher professional vision","volume":"42","author":[{"family":"Keskin","given":"Özün"},{"family":"Seidel","given":"Tina"},{"family":"Stürmer","given":"Kathleen"},{"family":"Gegenfurtner","given":"Andreas"}],"issued":{"date-parts":[["2024",2,1]]}}}],"schema":"https://github.com/citation-style-language/schema/raw/master/csl-citation.json"} </w:instrText>
      </w:r>
      <w:r>
        <w:rPr>
          <w:rFonts w:ascii="Times New Roman" w:hAnsi="Times New Roman" w:cs="Times New Roman"/>
          <w:sz w:val="24"/>
          <w:szCs w:val="22"/>
        </w:rPr>
        <w:fldChar w:fldCharType="separate"/>
      </w:r>
      <w:r w:rsidRPr="001D2472">
        <w:rPr>
          <w:rFonts w:ascii="Times New Roman" w:hAnsi="Times New Roman" w:cs="Times New Roman"/>
          <w:sz w:val="24"/>
        </w:rPr>
        <w:t>Grub et al., 2020; Keskin et al., 2024)</w:t>
      </w:r>
      <w:r>
        <w:rPr>
          <w:rFonts w:ascii="Times New Roman" w:hAnsi="Times New Roman" w:cs="Times New Roman"/>
          <w:sz w:val="24"/>
          <w:szCs w:val="22"/>
        </w:rPr>
        <w:fldChar w:fldCharType="end"/>
      </w:r>
      <w:r w:rsidR="00E36C16">
        <w:rPr>
          <w:rFonts w:ascii="Times New Roman" w:hAnsi="Times New Roman" w:cs="Times New Roman"/>
          <w:sz w:val="24"/>
          <w:szCs w:val="22"/>
        </w:rPr>
        <w:t xml:space="preserve">. </w:t>
      </w:r>
      <w:r w:rsidR="00E36C16" w:rsidRPr="00E36C16">
        <w:rPr>
          <w:rFonts w:ascii="Times New Roman" w:hAnsi="Times New Roman" w:cs="Times New Roman"/>
          <w:sz w:val="24"/>
          <w:szCs w:val="22"/>
        </w:rPr>
        <w:t>Cortina et al. (2015)</w:t>
      </w:r>
      <w:r w:rsidR="00657DB2">
        <w:rPr>
          <w:rFonts w:ascii="Times New Roman" w:hAnsi="Times New Roman" w:cs="Times New Roman"/>
          <w:sz w:val="24"/>
          <w:szCs w:val="22"/>
        </w:rPr>
        <w:t xml:space="preserve">, for example, </w:t>
      </w:r>
      <w:r w:rsidR="00E36C16" w:rsidRPr="00E36C16">
        <w:rPr>
          <w:rFonts w:ascii="Times New Roman" w:hAnsi="Times New Roman" w:cs="Times New Roman"/>
          <w:sz w:val="24"/>
          <w:szCs w:val="22"/>
        </w:rPr>
        <w:lastRenderedPageBreak/>
        <w:t>investigated attention distribution among 12 mentor-mentee teacher pairs, finding that mentors distributed their gaze more evenly across students, while mentees focused on fewer individuals. This suggests that expert teachers maintain broader classroom awareness, though the study</w:t>
      </w:r>
      <w:r w:rsidR="00657DB2">
        <w:rPr>
          <w:rFonts w:ascii="Times New Roman" w:hAnsi="Times New Roman" w:cs="Times New Roman"/>
          <w:sz w:val="24"/>
          <w:szCs w:val="22"/>
        </w:rPr>
        <w:t>’</w:t>
      </w:r>
      <w:r w:rsidR="00E36C16" w:rsidRPr="00E36C16">
        <w:rPr>
          <w:rFonts w:ascii="Times New Roman" w:hAnsi="Times New Roman" w:cs="Times New Roman"/>
          <w:sz w:val="24"/>
          <w:szCs w:val="22"/>
        </w:rPr>
        <w:t>s small sample size limits its validity.</w:t>
      </w:r>
      <w:r w:rsidR="00E36C16">
        <w:rPr>
          <w:rFonts w:ascii="Times New Roman" w:hAnsi="Times New Roman" w:cs="Times New Roman"/>
          <w:sz w:val="24"/>
          <w:szCs w:val="22"/>
        </w:rPr>
        <w:t xml:space="preserve"> </w:t>
      </w:r>
      <w:r w:rsidR="00097997">
        <w:rPr>
          <w:rFonts w:ascii="Times New Roman" w:hAnsi="Times New Roman" w:cs="Times New Roman"/>
          <w:sz w:val="24"/>
          <w:szCs w:val="22"/>
        </w:rPr>
        <w:t xml:space="preserve">In another study, </w:t>
      </w:r>
      <w:r w:rsidR="0002038B" w:rsidRPr="0002038B">
        <w:rPr>
          <w:rFonts w:ascii="Times New Roman" w:hAnsi="Times New Roman" w:cs="Times New Roman"/>
          <w:sz w:val="24"/>
          <w:szCs w:val="22"/>
        </w:rPr>
        <w:t>McIntyre (2016) compared 40 teachers from England and Hong Kong, finding that experts focused more on students</w:t>
      </w:r>
      <w:r w:rsidR="001E0F70">
        <w:rPr>
          <w:rFonts w:ascii="Times New Roman" w:hAnsi="Times New Roman" w:cs="Times New Roman"/>
          <w:sz w:val="24"/>
          <w:szCs w:val="22"/>
        </w:rPr>
        <w:t>,</w:t>
      </w:r>
      <w:r w:rsidR="0002038B" w:rsidRPr="0002038B">
        <w:rPr>
          <w:rFonts w:ascii="Times New Roman" w:hAnsi="Times New Roman" w:cs="Times New Roman"/>
          <w:sz w:val="24"/>
          <w:szCs w:val="22"/>
        </w:rPr>
        <w:t xml:space="preserve"> while novices were more distracted by teaching materials and non-relevant stimuli. </w:t>
      </w:r>
      <w:r w:rsidR="00694243" w:rsidRPr="00694243">
        <w:rPr>
          <w:rFonts w:ascii="Times New Roman" w:hAnsi="Times New Roman" w:cs="Times New Roman"/>
          <w:sz w:val="24"/>
          <w:szCs w:val="22"/>
        </w:rPr>
        <w:t xml:space="preserve">Huang (2018) analyzed </w:t>
      </w:r>
      <w:r w:rsidR="00B05BD7">
        <w:rPr>
          <w:rFonts w:ascii="Times New Roman" w:hAnsi="Times New Roman" w:cs="Times New Roman"/>
          <w:sz w:val="24"/>
          <w:szCs w:val="22"/>
        </w:rPr>
        <w:t xml:space="preserve">mobile </w:t>
      </w:r>
      <w:r w:rsidR="00694243" w:rsidRPr="00694243">
        <w:rPr>
          <w:rFonts w:ascii="Times New Roman" w:hAnsi="Times New Roman" w:cs="Times New Roman"/>
          <w:sz w:val="24"/>
          <w:szCs w:val="22"/>
        </w:rPr>
        <w:t>eye-tracking data from 25 expert-novice teacher pairs, finding that experts distributed their gaze more broadly across the classroom, while novices focused on fewer objects. Experts also exhibited shorter, task-relevant fixations, reducing distractions and improving situational awareness.</w:t>
      </w:r>
    </w:p>
    <w:p w14:paraId="3A12E75A" w14:textId="088F478B" w:rsidR="0002038B" w:rsidRDefault="006A6A5C" w:rsidP="006A6A5C">
      <w:pPr>
        <w:rPr>
          <w:rFonts w:ascii="Times New Roman" w:hAnsi="Times New Roman" w:cs="Times New Roman"/>
          <w:sz w:val="24"/>
          <w:szCs w:val="22"/>
        </w:rPr>
      </w:pPr>
      <w:r w:rsidRPr="006A6A5C">
        <w:rPr>
          <w:rFonts w:ascii="Times New Roman" w:hAnsi="Times New Roman" w:cs="Times New Roman"/>
          <w:sz w:val="24"/>
          <w:szCs w:val="22"/>
        </w:rPr>
        <w:t xml:space="preserve">Despite growing research on professional vision, studies on </w:t>
      </w:r>
      <w:r w:rsidR="00756223">
        <w:rPr>
          <w:rFonts w:ascii="Times New Roman" w:hAnsi="Times New Roman" w:cs="Times New Roman"/>
          <w:sz w:val="24"/>
          <w:szCs w:val="22"/>
        </w:rPr>
        <w:t xml:space="preserve">the </w:t>
      </w:r>
      <w:r w:rsidRPr="006A6A5C">
        <w:rPr>
          <w:rFonts w:ascii="Times New Roman" w:hAnsi="Times New Roman" w:cs="Times New Roman"/>
          <w:sz w:val="24"/>
          <w:szCs w:val="22"/>
        </w:rPr>
        <w:t>GRI</w:t>
      </w:r>
      <w:r w:rsidR="00756223">
        <w:rPr>
          <w:rFonts w:ascii="Times New Roman" w:hAnsi="Times New Roman" w:cs="Times New Roman"/>
          <w:sz w:val="24"/>
          <w:szCs w:val="22"/>
        </w:rPr>
        <w:t xml:space="preserve"> </w:t>
      </w:r>
      <w:r w:rsidRPr="006A6A5C">
        <w:rPr>
          <w:rFonts w:ascii="Times New Roman" w:hAnsi="Times New Roman" w:cs="Times New Roman"/>
          <w:sz w:val="24"/>
          <w:szCs w:val="22"/>
        </w:rPr>
        <w:t xml:space="preserve">remain limited, highlighting a need for further exploration </w:t>
      </w:r>
      <w:r w:rsidR="00C76A18" w:rsidRPr="00C76A18">
        <w:rPr>
          <w:rFonts w:ascii="Times New Roman" w:hAnsi="Times New Roman" w:cs="Times New Roman"/>
          <w:sz w:val="24"/>
          <w:szCs w:val="22"/>
        </w:rPr>
        <w:t>for gaining a deeper understanding of visual expertise</w:t>
      </w:r>
      <w:r w:rsidR="00C76A18">
        <w:rPr>
          <w:rFonts w:ascii="Times New Roman" w:hAnsi="Times New Roman" w:cs="Times New Roman"/>
          <w:sz w:val="24"/>
          <w:szCs w:val="22"/>
        </w:rPr>
        <w:t xml:space="preserve"> </w:t>
      </w:r>
      <w:r w:rsidRPr="006A6A5C">
        <w:rPr>
          <w:rFonts w:ascii="Times New Roman" w:hAnsi="Times New Roman" w:cs="Times New Roman"/>
          <w:sz w:val="24"/>
          <w:szCs w:val="22"/>
        </w:rPr>
        <w:t xml:space="preserve">(Gabel et al., 2023; </w:t>
      </w:r>
      <w:proofErr w:type="spellStart"/>
      <w:r w:rsidRPr="006A6A5C">
        <w:rPr>
          <w:rFonts w:ascii="Times New Roman" w:hAnsi="Times New Roman" w:cs="Times New Roman"/>
          <w:sz w:val="24"/>
          <w:szCs w:val="22"/>
        </w:rPr>
        <w:t>Gegenfurtner</w:t>
      </w:r>
      <w:proofErr w:type="spellEnd"/>
      <w:r w:rsidRPr="006A6A5C">
        <w:rPr>
          <w:rFonts w:ascii="Times New Roman" w:hAnsi="Times New Roman" w:cs="Times New Roman"/>
          <w:sz w:val="24"/>
          <w:szCs w:val="22"/>
        </w:rPr>
        <w:t xml:space="preserve"> et al., 2020; Grub et al., 2022; </w:t>
      </w:r>
      <w:proofErr w:type="spellStart"/>
      <w:r w:rsidRPr="006A6A5C">
        <w:rPr>
          <w:rFonts w:ascii="Times New Roman" w:hAnsi="Times New Roman" w:cs="Times New Roman"/>
          <w:sz w:val="24"/>
          <w:szCs w:val="22"/>
        </w:rPr>
        <w:t>Kosel</w:t>
      </w:r>
      <w:proofErr w:type="spellEnd"/>
      <w:r w:rsidRPr="006A6A5C">
        <w:rPr>
          <w:rFonts w:ascii="Times New Roman" w:hAnsi="Times New Roman" w:cs="Times New Roman"/>
          <w:sz w:val="24"/>
          <w:szCs w:val="22"/>
        </w:rPr>
        <w:t xml:space="preserve"> et al., 2023). </w:t>
      </w:r>
    </w:p>
    <w:p w14:paraId="41AA3376" w14:textId="7B6093BB" w:rsidR="006A6A5C" w:rsidRPr="006A6A5C" w:rsidRDefault="001E0F70" w:rsidP="00C76A18">
      <w:pPr>
        <w:rPr>
          <w:rFonts w:ascii="Times New Roman" w:hAnsi="Times New Roman" w:cs="Times New Roman"/>
          <w:sz w:val="24"/>
          <w:szCs w:val="22"/>
        </w:rPr>
      </w:pPr>
      <w:r>
        <w:rPr>
          <w:rFonts w:ascii="Times New Roman" w:hAnsi="Times New Roman" w:cs="Times New Roman"/>
          <w:sz w:val="24"/>
          <w:szCs w:val="22"/>
        </w:rPr>
        <w:t>Additionally, m</w:t>
      </w:r>
      <w:r w:rsidR="006A6A5C" w:rsidRPr="006A6A5C">
        <w:rPr>
          <w:rFonts w:ascii="Times New Roman" w:hAnsi="Times New Roman" w:cs="Times New Roman"/>
          <w:sz w:val="24"/>
          <w:szCs w:val="22"/>
        </w:rPr>
        <w:t xml:space="preserve">any previous studies have been constrained by small sample sizes (e.g., </w:t>
      </w:r>
      <w:proofErr w:type="spellStart"/>
      <w:r w:rsidR="006A6A5C" w:rsidRPr="006A6A5C">
        <w:rPr>
          <w:rFonts w:ascii="Times New Roman" w:hAnsi="Times New Roman" w:cs="Times New Roman"/>
          <w:sz w:val="24"/>
          <w:szCs w:val="22"/>
        </w:rPr>
        <w:t>Pouta</w:t>
      </w:r>
      <w:proofErr w:type="spellEnd"/>
      <w:r w:rsidR="006A6A5C" w:rsidRPr="006A6A5C">
        <w:rPr>
          <w:rFonts w:ascii="Times New Roman" w:hAnsi="Times New Roman" w:cs="Times New Roman"/>
          <w:sz w:val="24"/>
          <w:szCs w:val="22"/>
        </w:rPr>
        <w:t xml:space="preserve"> et al., 2021) or methodological limitations. Some studies suffer from low external validity due to their reliance on stationary eye-tracking (e.g., </w:t>
      </w:r>
      <w:proofErr w:type="spellStart"/>
      <w:r w:rsidR="006A6A5C" w:rsidRPr="006A6A5C">
        <w:rPr>
          <w:rFonts w:ascii="Times New Roman" w:hAnsi="Times New Roman" w:cs="Times New Roman"/>
          <w:sz w:val="24"/>
          <w:szCs w:val="22"/>
        </w:rPr>
        <w:t>Stahnke</w:t>
      </w:r>
      <w:proofErr w:type="spellEnd"/>
      <w:r w:rsidR="006A6A5C" w:rsidRPr="006A6A5C">
        <w:rPr>
          <w:rFonts w:ascii="Times New Roman" w:hAnsi="Times New Roman" w:cs="Times New Roman"/>
          <w:sz w:val="24"/>
          <w:szCs w:val="22"/>
        </w:rPr>
        <w:t xml:space="preserve"> &amp; </w:t>
      </w:r>
      <w:proofErr w:type="spellStart"/>
      <w:r w:rsidR="006A6A5C" w:rsidRPr="006A6A5C">
        <w:rPr>
          <w:rFonts w:ascii="Times New Roman" w:hAnsi="Times New Roman" w:cs="Times New Roman"/>
          <w:sz w:val="24"/>
          <w:szCs w:val="22"/>
        </w:rPr>
        <w:t>Blömeke</w:t>
      </w:r>
      <w:proofErr w:type="spellEnd"/>
      <w:r w:rsidR="006A6A5C" w:rsidRPr="006A6A5C">
        <w:rPr>
          <w:rFonts w:ascii="Times New Roman" w:hAnsi="Times New Roman" w:cs="Times New Roman"/>
          <w:sz w:val="24"/>
          <w:szCs w:val="22"/>
        </w:rPr>
        <w:t>, 2021), while others face challenges with internal validity and experimental control in real classroom settings (e.g., McIntyre et al., 2020).</w:t>
      </w:r>
    </w:p>
    <w:p w14:paraId="072043EA" w14:textId="41B69D66" w:rsidR="00AA4A24" w:rsidRPr="0001570C" w:rsidRDefault="00AA4A24" w:rsidP="0001570C">
      <w:pPr>
        <w:pStyle w:val="berschrift2"/>
        <w:rPr>
          <w:rFonts w:ascii="Times New Roman" w:hAnsi="Times New Roman" w:cs="Times New Roman"/>
          <w:sz w:val="24"/>
          <w:szCs w:val="24"/>
        </w:rPr>
      </w:pPr>
      <w:r w:rsidRPr="0001570C">
        <w:rPr>
          <w:rFonts w:ascii="Times New Roman" w:hAnsi="Times New Roman" w:cs="Times New Roman"/>
          <w:sz w:val="24"/>
          <w:szCs w:val="24"/>
        </w:rPr>
        <w:t>Present Study</w:t>
      </w:r>
    </w:p>
    <w:p w14:paraId="7921A5CC" w14:textId="77777777" w:rsidR="004727E5" w:rsidRPr="004727E5" w:rsidRDefault="004727E5" w:rsidP="004727E5">
      <w:pPr>
        <w:rPr>
          <w:rFonts w:ascii="Times New Roman" w:hAnsi="Times New Roman" w:cs="Times New Roman"/>
          <w:sz w:val="24"/>
          <w:szCs w:val="22"/>
        </w:rPr>
      </w:pPr>
      <w:r w:rsidRPr="004727E5">
        <w:rPr>
          <w:rFonts w:ascii="Times New Roman" w:hAnsi="Times New Roman" w:cs="Times New Roman"/>
          <w:sz w:val="24"/>
          <w:szCs w:val="22"/>
        </w:rPr>
        <w:t xml:space="preserve">This study addresses previous methodological limitations by employing mobile eye-tracking in micro-teaching units within a highly standardized learning environment, using a comparatively large sample. This approach balances authenticity and experimental control by </w:t>
      </w:r>
      <w:r w:rsidRPr="004727E5">
        <w:rPr>
          <w:rFonts w:ascii="Times New Roman" w:hAnsi="Times New Roman" w:cs="Times New Roman"/>
          <w:sz w:val="24"/>
          <w:szCs w:val="22"/>
        </w:rPr>
        <w:lastRenderedPageBreak/>
        <w:t>capturing real teaching-learning interactions while enhancing standardization through scripted behavioral instructions.</w:t>
      </w:r>
    </w:p>
    <w:p w14:paraId="1AE268F1" w14:textId="662D5186" w:rsidR="004727E5" w:rsidRPr="004727E5" w:rsidRDefault="008548EE" w:rsidP="004727E5">
      <w:pPr>
        <w:rPr>
          <w:rFonts w:ascii="Times New Roman" w:hAnsi="Times New Roman" w:cs="Times New Roman"/>
          <w:sz w:val="24"/>
          <w:szCs w:val="22"/>
        </w:rPr>
      </w:pPr>
      <w:r>
        <w:rPr>
          <w:rFonts w:ascii="Times New Roman" w:hAnsi="Times New Roman" w:cs="Times New Roman"/>
          <w:sz w:val="24"/>
          <w:szCs w:val="22"/>
        </w:rPr>
        <w:t>Therefore, the</w:t>
      </w:r>
      <w:r w:rsidR="004727E5" w:rsidRPr="004727E5">
        <w:rPr>
          <w:rFonts w:ascii="Times New Roman" w:hAnsi="Times New Roman" w:cs="Times New Roman"/>
          <w:sz w:val="24"/>
          <w:szCs w:val="22"/>
        </w:rPr>
        <w:t xml:space="preserve"> study examines differences in gaze behavior, self-reported classroom management, and strategic knowledge between experienced and inexperienced teachers. Data were collected in the laboratory-based study </w:t>
      </w:r>
      <w:r w:rsidR="004727E5" w:rsidRPr="004727E5">
        <w:rPr>
          <w:rFonts w:ascii="Times New Roman" w:hAnsi="Times New Roman" w:cs="Times New Roman"/>
          <w:i/>
          <w:iCs/>
          <w:sz w:val="24"/>
          <w:szCs w:val="22"/>
        </w:rPr>
        <w:t>Professional Vision of Novice and Expert Teachers</w:t>
      </w:r>
      <w:r w:rsidR="004727E5" w:rsidRPr="004727E5">
        <w:rPr>
          <w:rFonts w:ascii="Times New Roman" w:hAnsi="Times New Roman" w:cs="Times New Roman"/>
          <w:sz w:val="24"/>
          <w:szCs w:val="22"/>
        </w:rPr>
        <w:t xml:space="preserve"> (</w:t>
      </w:r>
      <w:proofErr w:type="spellStart"/>
      <w:r w:rsidR="004727E5" w:rsidRPr="004727E5">
        <w:rPr>
          <w:rFonts w:ascii="Times New Roman" w:hAnsi="Times New Roman" w:cs="Times New Roman"/>
          <w:sz w:val="24"/>
          <w:szCs w:val="22"/>
        </w:rPr>
        <w:t>ProVisioNET</w:t>
      </w:r>
      <w:proofErr w:type="spellEnd"/>
      <w:r w:rsidR="004727E5" w:rsidRPr="004727E5">
        <w:rPr>
          <w:rFonts w:ascii="Times New Roman" w:hAnsi="Times New Roman" w:cs="Times New Roman"/>
          <w:sz w:val="24"/>
          <w:szCs w:val="22"/>
        </w:rPr>
        <w:t xml:space="preserve">), where both in-service (experienced) and pre-service (inexperienced) teachers participated in a controlled micro-teaching unit involving classroom disruptions. Eye-tracking technology, self-report measures, and strategic knowledge assessments were used to explore how expertise influences visual attention, disruption noticing, and management strategies. </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Another aim was to investigate differences in gaze behavior related to noticing abilities between experienced and inexperienced teachers. We hypothesized that, compared to inexperienced teachers, experienced teachers would demonstrate more efficient gaze patterns </w:t>
      </w:r>
      <w:r w:rsidRPr="00441050">
        <w:rPr>
          <w:rFonts w:ascii="Times New Roman" w:hAnsi="Times New Roman" w:cs="Times New Roman"/>
          <w:sz w:val="24"/>
          <w:szCs w:val="22"/>
        </w:rPr>
        <w:lastRenderedPageBreak/>
        <w:t>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464898CD"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w:t>
      </w:r>
      <w:ins w:id="5" w:author="Deiglmayr, Anne" w:date="2025-03-17T08:39:00Z">
        <w:r w:rsidR="003A4EEE" w:rsidRPr="00732EC0">
          <w:rPr>
            <w:rFonts w:ascii="Times New Roman" w:eastAsia="Times New Roman" w:hAnsi="Times New Roman" w:cs="Times New Roman"/>
            <w:color w:val="000000" w:themeColor="text1"/>
            <w:sz w:val="24"/>
            <w:szCs w:val="24"/>
            <w:lang w:eastAsia="de-DE"/>
          </w:rPr>
          <w:t xml:space="preserve">both </w:t>
        </w:r>
      </w:ins>
      <w:r w:rsidRPr="00732EC0">
        <w:rPr>
          <w:rFonts w:ascii="Times New Roman" w:eastAsia="Times New Roman" w:hAnsi="Times New Roman" w:cs="Times New Roman"/>
          <w:color w:val="000000" w:themeColor="text1"/>
          <w:sz w:val="24"/>
          <w:szCs w:val="24"/>
          <w:lang w:eastAsia="de-DE"/>
        </w:rPr>
        <w:t xml:space="preserve">have </w:t>
      </w:r>
      <w:ins w:id="6" w:author="Deiglmayr, Anne" w:date="2025-03-17T08:39:00Z">
        <w:r w:rsidR="003A4EEE">
          <w:rPr>
            <w:rFonts w:ascii="Times New Roman" w:eastAsia="Times New Roman" w:hAnsi="Times New Roman" w:cs="Times New Roman"/>
            <w:color w:val="000000" w:themeColor="text1"/>
            <w:sz w:val="24"/>
            <w:szCs w:val="24"/>
            <w:lang w:eastAsia="de-DE"/>
          </w:rPr>
          <w:t xml:space="preserve">fully </w:t>
        </w:r>
      </w:ins>
      <w:r w:rsidRPr="00732EC0">
        <w:rPr>
          <w:rFonts w:ascii="Times New Roman" w:eastAsia="Times New Roman" w:hAnsi="Times New Roman" w:cs="Times New Roman"/>
          <w:color w:val="000000" w:themeColor="text1"/>
          <w:sz w:val="24"/>
          <w:szCs w:val="24"/>
          <w:lang w:eastAsia="de-DE"/>
        </w:rPr>
        <w:t xml:space="preserve">completed </w:t>
      </w:r>
      <w:del w:id="7" w:author="Deiglmayr, Anne" w:date="2025-03-17T08:39:00Z">
        <w:r w:rsidRPr="00732EC0" w:rsidDel="003A4EEE">
          <w:rPr>
            <w:rFonts w:ascii="Times New Roman" w:eastAsia="Times New Roman" w:hAnsi="Times New Roman" w:cs="Times New Roman"/>
            <w:color w:val="000000" w:themeColor="text1"/>
            <w:sz w:val="24"/>
            <w:szCs w:val="24"/>
            <w:lang w:eastAsia="de-DE"/>
          </w:rPr>
          <w:delText xml:space="preserve">both </w:delText>
        </w:r>
        <w:r w:rsidR="00E070DC" w:rsidDel="003A4EEE">
          <w:rPr>
            <w:rFonts w:ascii="Times New Roman" w:eastAsia="Times New Roman" w:hAnsi="Times New Roman" w:cs="Times New Roman"/>
            <w:color w:val="000000" w:themeColor="text1"/>
            <w:sz w:val="24"/>
            <w:szCs w:val="24"/>
            <w:lang w:eastAsia="de-DE"/>
          </w:rPr>
          <w:delText>the</w:delText>
        </w:r>
        <w:r w:rsidRPr="00732EC0" w:rsidDel="003A4EEE">
          <w:rPr>
            <w:rFonts w:ascii="Times New Roman" w:eastAsia="Times New Roman" w:hAnsi="Times New Roman" w:cs="Times New Roman"/>
            <w:color w:val="000000" w:themeColor="text1"/>
            <w:sz w:val="24"/>
            <w:szCs w:val="24"/>
            <w:lang w:eastAsia="de-DE"/>
          </w:rPr>
          <w:delText xml:space="preserve"> </w:delText>
        </w:r>
      </w:del>
      <w:ins w:id="8" w:author="Deiglmayr, Anne" w:date="2025-03-17T08:39:00Z">
        <w:r w:rsidR="003A4EEE">
          <w:rPr>
            <w:rFonts w:ascii="Times New Roman" w:eastAsia="Times New Roman" w:hAnsi="Times New Roman" w:cs="Times New Roman"/>
            <w:color w:val="000000" w:themeColor="text1"/>
            <w:sz w:val="24"/>
            <w:szCs w:val="24"/>
            <w:lang w:eastAsia="de-DE"/>
          </w:rPr>
          <w:t xml:space="preserve">their </w:t>
        </w:r>
      </w:ins>
      <w:r w:rsidRPr="00732EC0">
        <w:rPr>
          <w:rFonts w:ascii="Times New Roman" w:eastAsia="Times New Roman" w:hAnsi="Times New Roman" w:cs="Times New Roman"/>
          <w:color w:val="000000" w:themeColor="text1"/>
          <w:sz w:val="24"/>
          <w:szCs w:val="24"/>
          <w:lang w:eastAsia="de-DE"/>
        </w:rPr>
        <w:t xml:space="preserve">teacher training </w:t>
      </w:r>
      <w:ins w:id="9" w:author="Deiglmayr, Anne" w:date="2025-03-17T08:40:00Z">
        <w:r w:rsidR="003A4EEE">
          <w:rPr>
            <w:rFonts w:ascii="Times New Roman" w:eastAsia="Times New Roman" w:hAnsi="Times New Roman" w:cs="Times New Roman"/>
            <w:color w:val="000000" w:themeColor="text1"/>
            <w:sz w:val="24"/>
            <w:szCs w:val="24"/>
            <w:lang w:eastAsia="de-DE"/>
          </w:rPr>
          <w:t>(including the preparatory training year, the “</w:t>
        </w:r>
        <w:proofErr w:type="spellStart"/>
        <w:r w:rsidR="003A4EEE">
          <w:rPr>
            <w:rFonts w:ascii="Times New Roman" w:eastAsia="Times New Roman" w:hAnsi="Times New Roman" w:cs="Times New Roman"/>
            <w:color w:val="000000" w:themeColor="text1"/>
            <w:sz w:val="24"/>
            <w:szCs w:val="24"/>
            <w:lang w:eastAsia="de-DE"/>
          </w:rPr>
          <w:t>Referendariat</w:t>
        </w:r>
        <w:proofErr w:type="spellEnd"/>
        <w:r w:rsidR="003A4EEE">
          <w:rPr>
            <w:rFonts w:ascii="Times New Roman" w:eastAsia="Times New Roman" w:hAnsi="Times New Roman" w:cs="Times New Roman"/>
            <w:color w:val="000000" w:themeColor="text1"/>
            <w:sz w:val="24"/>
            <w:szCs w:val="24"/>
            <w:lang w:eastAsia="de-DE"/>
          </w:rPr>
          <w:t>”)</w:t>
        </w:r>
      </w:ins>
      <w:del w:id="10" w:author="Deiglmayr, Anne" w:date="2025-03-17T08:39:00Z">
        <w:r w:rsidRPr="00732EC0" w:rsidDel="003A4EEE">
          <w:rPr>
            <w:rFonts w:ascii="Times New Roman" w:eastAsia="Times New Roman" w:hAnsi="Times New Roman" w:cs="Times New Roman"/>
            <w:color w:val="000000" w:themeColor="text1"/>
            <w:sz w:val="24"/>
            <w:szCs w:val="24"/>
            <w:lang w:eastAsia="de-DE"/>
          </w:rPr>
          <w:delText xml:space="preserve">program </w:delText>
        </w:r>
        <w:r w:rsidR="00D6136C" w:rsidDel="003A4EEE">
          <w:rPr>
            <w:rFonts w:ascii="Times New Roman" w:eastAsia="Times New Roman" w:hAnsi="Times New Roman" w:cs="Times New Roman"/>
            <w:color w:val="000000" w:themeColor="text1"/>
            <w:sz w:val="24"/>
            <w:szCs w:val="24"/>
            <w:lang w:eastAsia="de-DE"/>
          </w:rPr>
          <w:delText xml:space="preserve">(2. Staatsexamen) </w:delText>
        </w:r>
      </w:del>
      <w:r w:rsidR="00D6136C">
        <w:rPr>
          <w:rFonts w:ascii="Times New Roman" w:eastAsia="Times New Roman" w:hAnsi="Times New Roman" w:cs="Times New Roman"/>
          <w:color w:val="000000" w:themeColor="text1"/>
          <w:sz w:val="24"/>
          <w:szCs w:val="24"/>
          <w:lang w:eastAsia="de-DE"/>
        </w:rPr>
        <w:t>a</w:t>
      </w:r>
      <w:r w:rsidRPr="00732EC0">
        <w:rPr>
          <w:rFonts w:ascii="Times New Roman" w:eastAsia="Times New Roman" w:hAnsi="Times New Roman" w:cs="Times New Roman"/>
          <w:color w:val="000000" w:themeColor="text1"/>
          <w:sz w:val="24"/>
          <w:szCs w:val="24"/>
          <w:lang w:eastAsia="de-DE"/>
        </w:rPr>
        <w:t xml:space="preserve">nd to be currently working in the teaching profession. Data from two in-service teachers were </w:t>
      </w:r>
      <w:r w:rsidRPr="00732EC0">
        <w:rPr>
          <w:rFonts w:ascii="Times New Roman" w:eastAsia="Times New Roman" w:hAnsi="Times New Roman" w:cs="Times New Roman"/>
          <w:color w:val="000000" w:themeColor="text1"/>
          <w:sz w:val="24"/>
          <w:szCs w:val="24"/>
          <w:lang w:eastAsia="de-DE"/>
        </w:rPr>
        <w:lastRenderedPageBreak/>
        <w:t>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1E6D84F1"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 xml:space="preserve">The study adhered to </w:t>
      </w:r>
      <w:ins w:id="11" w:author="Deiglmayr, Anne" w:date="2025-03-17T08:41:00Z">
        <w:r w:rsidR="003A4EEE">
          <w:rPr>
            <w:rFonts w:ascii="Times New Roman" w:eastAsia="Times New Roman" w:hAnsi="Times New Roman" w:cs="Times New Roman"/>
            <w:color w:val="000000" w:themeColor="text1"/>
            <w:sz w:val="24"/>
            <w:szCs w:val="24"/>
            <w:lang w:eastAsia="de-DE"/>
          </w:rPr>
          <w:t xml:space="preserve">the </w:t>
        </w:r>
      </w:ins>
      <w:r w:rsidRPr="0076259F">
        <w:rPr>
          <w:rFonts w:ascii="Times New Roman" w:eastAsia="Times New Roman" w:hAnsi="Times New Roman" w:cs="Times New Roman"/>
          <w:color w:val="000000" w:themeColor="text1"/>
          <w:sz w:val="24"/>
          <w:szCs w:val="24"/>
          <w:lang w:eastAsia="de-DE"/>
        </w:rPr>
        <w:t xml:space="preserve">ethical guidelines </w:t>
      </w:r>
      <w:ins w:id="12" w:author="Deiglmayr, Anne" w:date="2025-03-17T08:41:00Z">
        <w:r w:rsidR="003A4EEE">
          <w:rPr>
            <w:rFonts w:ascii="Times New Roman" w:eastAsia="Times New Roman" w:hAnsi="Times New Roman" w:cs="Times New Roman"/>
            <w:color w:val="000000" w:themeColor="text1"/>
            <w:sz w:val="24"/>
            <w:szCs w:val="24"/>
            <w:lang w:eastAsia="de-DE"/>
          </w:rPr>
          <w:t xml:space="preserve">put forth by the University of Leipzig </w:t>
        </w:r>
      </w:ins>
      <w:r w:rsidRPr="0076259F">
        <w:rPr>
          <w:rFonts w:ascii="Times New Roman" w:eastAsia="Times New Roman" w:hAnsi="Times New Roman" w:cs="Times New Roman"/>
          <w:color w:val="000000" w:themeColor="text1"/>
          <w:sz w:val="24"/>
          <w:szCs w:val="24"/>
          <w:lang w:eastAsia="de-DE"/>
        </w:rPr>
        <w:t>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t>
      </w:r>
      <w:del w:id="13" w:author="Deiglmayr, Anne" w:date="2025-03-17T08:41:00Z">
        <w:r w:rsidRPr="0076259F" w:rsidDel="003A4EEE">
          <w:rPr>
            <w:rFonts w:ascii="Times New Roman" w:eastAsia="Times New Roman" w:hAnsi="Times New Roman" w:cs="Times New Roman"/>
            <w:color w:val="000000" w:themeColor="text1"/>
            <w:sz w:val="24"/>
            <w:szCs w:val="24"/>
            <w:lang w:eastAsia="de-DE"/>
          </w:rPr>
          <w:delText xml:space="preserve">without </w:delText>
        </w:r>
      </w:del>
      <w:ins w:id="14" w:author="Deiglmayr, Anne" w:date="2025-03-17T08:41:00Z">
        <w:r w:rsidR="003A4EEE">
          <w:rPr>
            <w:rFonts w:ascii="Times New Roman" w:eastAsia="Times New Roman" w:hAnsi="Times New Roman" w:cs="Times New Roman"/>
            <w:color w:val="000000" w:themeColor="text1"/>
            <w:sz w:val="24"/>
            <w:szCs w:val="24"/>
            <w:lang w:eastAsia="de-DE"/>
          </w:rPr>
          <w:t>not</w:t>
        </w:r>
        <w:r w:rsidR="003A4EEE" w:rsidRPr="0076259F">
          <w:rPr>
            <w:rFonts w:ascii="Times New Roman" w:eastAsia="Times New Roman" w:hAnsi="Times New Roman" w:cs="Times New Roman"/>
            <w:color w:val="000000" w:themeColor="text1"/>
            <w:sz w:val="24"/>
            <w:szCs w:val="24"/>
            <w:lang w:eastAsia="de-DE"/>
          </w:rPr>
          <w:t xml:space="preserve"> </w:t>
        </w:r>
      </w:ins>
      <w:del w:id="15" w:author="Deiglmayr, Anne" w:date="2025-03-17T08:42:00Z">
        <w:r w:rsidRPr="0076259F" w:rsidDel="003A4EEE">
          <w:rPr>
            <w:rFonts w:ascii="Times New Roman" w:eastAsia="Times New Roman" w:hAnsi="Times New Roman" w:cs="Times New Roman"/>
            <w:color w:val="000000" w:themeColor="text1"/>
            <w:sz w:val="24"/>
            <w:szCs w:val="24"/>
            <w:lang w:eastAsia="de-DE"/>
          </w:rPr>
          <w:delText>incentiv</w:delText>
        </w:r>
      </w:del>
      <w:ins w:id="16" w:author="Deiglmayr, Anne" w:date="2025-03-17T08:42:00Z">
        <w:r w:rsidR="003A4EEE" w:rsidRPr="0076259F">
          <w:rPr>
            <w:rFonts w:ascii="Times New Roman" w:eastAsia="Times New Roman" w:hAnsi="Times New Roman" w:cs="Times New Roman"/>
            <w:color w:val="000000" w:themeColor="text1"/>
            <w:sz w:val="24"/>
            <w:szCs w:val="24"/>
            <w:lang w:eastAsia="de-DE"/>
          </w:rPr>
          <w:t>incentiv</w:t>
        </w:r>
        <w:r w:rsidR="003A4EEE">
          <w:rPr>
            <w:rFonts w:ascii="Times New Roman" w:eastAsia="Times New Roman" w:hAnsi="Times New Roman" w:cs="Times New Roman"/>
            <w:color w:val="000000" w:themeColor="text1"/>
            <w:sz w:val="24"/>
            <w:szCs w:val="24"/>
            <w:lang w:eastAsia="de-DE"/>
          </w:rPr>
          <w:t>ized</w:t>
        </w:r>
      </w:ins>
      <w:del w:id="17" w:author="Deiglmayr, Anne" w:date="2025-03-17T08:42:00Z">
        <w:r w:rsidRPr="0076259F" w:rsidDel="003A4EEE">
          <w:rPr>
            <w:rFonts w:ascii="Times New Roman" w:eastAsia="Times New Roman" w:hAnsi="Times New Roman" w:cs="Times New Roman"/>
            <w:color w:val="000000" w:themeColor="text1"/>
            <w:sz w:val="24"/>
            <w:szCs w:val="24"/>
            <w:lang w:eastAsia="de-DE"/>
          </w:rPr>
          <w:delText>es</w:delText>
        </w:r>
      </w:del>
      <w:r w:rsidRPr="0076259F">
        <w:rPr>
          <w:rFonts w:ascii="Times New Roman" w:eastAsia="Times New Roman" w:hAnsi="Times New Roman" w:cs="Times New Roman"/>
          <w:color w:val="000000" w:themeColor="text1"/>
          <w:sz w:val="24"/>
          <w:szCs w:val="24"/>
          <w:lang w:eastAsia="de-DE"/>
        </w:rPr>
        <w:t>,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binocular Tobii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to </w:t>
      </w:r>
      <w:r w:rsidRPr="008E7C14">
        <w:rPr>
          <w:rFonts w:ascii="Times New Roman" w:eastAsia="Times New Roman" w:hAnsi="Times New Roman" w:cs="Times New Roman"/>
          <w:color w:val="000000" w:themeColor="text1"/>
          <w:sz w:val="24"/>
          <w:szCs w:val="24"/>
          <w:lang w:eastAsia="de-DE"/>
        </w:rPr>
        <w:lastRenderedPageBreak/>
        <w:t>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 xml:space="preserve">Participants answered five </w:t>
      </w:r>
      <w:r w:rsidR="00806763">
        <w:rPr>
          <w:rFonts w:ascii="Times New Roman" w:eastAsia="Times New Roman" w:hAnsi="Times New Roman" w:cs="Times New Roman"/>
          <w:color w:val="000000" w:themeColor="text1"/>
          <w:sz w:val="24"/>
          <w:szCs w:val="24"/>
          <w:lang w:eastAsia="de-DE"/>
        </w:rPr>
        <w:lastRenderedPageBreak/>
        <w:t>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1C51B4CF"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unit</w:t>
      </w:r>
      <w:commentRangeStart w:id="18"/>
      <w:commentRangeStart w:id="19"/>
      <w:r w:rsidR="005D351A">
        <w:rPr>
          <w:rStyle w:val="Funotenzeichen"/>
          <w:rFonts w:ascii="Times New Roman" w:eastAsia="Times New Roman" w:hAnsi="Times New Roman" w:cs="Times New Roman"/>
          <w:color w:val="000000" w:themeColor="text1"/>
          <w:sz w:val="24"/>
          <w:szCs w:val="24"/>
          <w:lang w:eastAsia="de-DE"/>
        </w:rPr>
        <w:footnoteReference w:id="4"/>
      </w:r>
      <w:commentRangeEnd w:id="18"/>
      <w:r w:rsidR="005D351A">
        <w:rPr>
          <w:rStyle w:val="Kommentarzeichen"/>
        </w:rPr>
        <w:commentReference w:id="18"/>
      </w:r>
      <w:commentRangeEnd w:id="19"/>
      <w:r w:rsidR="003A4EEE">
        <w:rPr>
          <w:rStyle w:val="Kommentarzeichen"/>
        </w:rPr>
        <w:commentReference w:id="19"/>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lastRenderedPageBreak/>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Pr>
          <w:rStyle w:val="Funotenzeichen"/>
          <w:rFonts w:ascii="Times New Roman" w:eastAsia="Times New Roman" w:hAnsi="Times New Roman" w:cs="Times New Roman"/>
          <w:sz w:val="24"/>
          <w:szCs w:val="24"/>
          <w:lang w:eastAsia="de-DE"/>
        </w:rPr>
        <w:footnoteReference w:id="5"/>
      </w:r>
      <w:r w:rsidR="00212824" w:rsidRPr="00212824">
        <w:rPr>
          <w:rFonts w:ascii="Times New Roman" w:eastAsia="Times New Roman" w:hAnsi="Times New Roman" w:cs="Times New Roman"/>
          <w:sz w:val="24"/>
          <w:szCs w:val="24"/>
          <w:lang w:eastAsia="de-DE"/>
        </w:rPr>
        <w:t xml:space="preserve"> or &gt;30s</w:t>
      </w:r>
      <w:r w:rsidR="00212824">
        <w:rPr>
          <w:rStyle w:val="Funotenzeichen"/>
          <w:rFonts w:ascii="Times New Roman" w:eastAsia="Times New Roman" w:hAnsi="Times New Roman" w:cs="Times New Roman"/>
          <w:sz w:val="24"/>
          <w:szCs w:val="24"/>
          <w:lang w:eastAsia="de-DE"/>
        </w:rPr>
        <w:footnoteReference w:id="6"/>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 xml:space="preserve">Raw values were converted from milliseconds to seconds and log-transformed for normalization. To assess overall responsiveness to classroom disruptions, log-transformed TTFF </w:t>
      </w:r>
      <w:r w:rsidR="00746C36" w:rsidRPr="00746C36">
        <w:rPr>
          <w:rFonts w:ascii="Times New Roman" w:eastAsia="Times New Roman" w:hAnsi="Times New Roman" w:cs="Times New Roman"/>
          <w:sz w:val="24"/>
          <w:szCs w:val="24"/>
          <w:lang w:eastAsia="de-DE"/>
        </w:rPr>
        <w:lastRenderedPageBreak/>
        <w:t>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r w:rsidRPr="00EF0B44">
        <w:rPr>
          <w:rFonts w:ascii="Times New Roman" w:eastAsia="Times New Roman" w:hAnsi="Times New Roman" w:cs="Times New Roman"/>
          <w:color w:val="000000" w:themeColor="text1"/>
          <w:sz w:val="24"/>
          <w:szCs w:val="24"/>
          <w:lang w:eastAsia="de-DE"/>
        </w:rPr>
        <w:t>SoSci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w:t>
      </w:r>
      <w:r w:rsidRPr="00FB55BD">
        <w:rPr>
          <w:rFonts w:ascii="Times New Roman" w:eastAsia="Times New Roman" w:hAnsi="Times New Roman" w:cs="Times New Roman"/>
          <w:color w:val="000000" w:themeColor="text1"/>
          <w:sz w:val="24"/>
          <w:szCs w:val="24"/>
          <w:lang w:eastAsia="de-DE"/>
        </w:rPr>
        <w:lastRenderedPageBreak/>
        <w:t xml:space="preserve">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7"/>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lastRenderedPageBreak/>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20"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1" w:name="_Hlk189575193"/>
            <w:bookmarkEnd w:id="20"/>
            <w:r w:rsidRPr="00211D07">
              <w:rPr>
                <w:rFonts w:ascii="Times New Roman" w:hAnsi="Times New Roman" w:cs="Times New Roman"/>
                <w:sz w:val="24"/>
                <w:szCs w:val="24"/>
                <w:lang w:val="de-DE" w:eastAsia="de-DE"/>
              </w:rPr>
              <w:lastRenderedPageBreak/>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1"/>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8"/>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lastRenderedPageBreak/>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lastRenderedPageBreak/>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commentRangeStart w:id="22"/>
            <w:commentRangeStart w:id="23"/>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commentRangeEnd w:id="22"/>
            <w:r w:rsidR="00EF7C70">
              <w:rPr>
                <w:rStyle w:val="Kommentarzeichen"/>
              </w:rPr>
              <w:commentReference w:id="22"/>
            </w:r>
            <w:commentRangeEnd w:id="23"/>
            <w:r w:rsidR="003A4EEE">
              <w:rPr>
                <w:rStyle w:val="Kommentarzeichen"/>
              </w:rPr>
              <w:commentReference w:id="23"/>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w:t>
      </w:r>
      <w:commentRangeStart w:id="24"/>
      <w:commentRangeStart w:id="25"/>
      <w:r w:rsidRPr="00D253FE">
        <w:rPr>
          <w:rFonts w:ascii="Times New Roman" w:hAnsi="Times New Roman" w:cs="Times New Roman"/>
          <w:sz w:val="24"/>
          <w:szCs w:val="22"/>
          <w:lang w:eastAsia="de-DE"/>
        </w:rPr>
        <w:t xml:space="preserve">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commentRangeEnd w:id="24"/>
      <w:r w:rsidR="00A84761">
        <w:rPr>
          <w:rStyle w:val="Kommentarzeichen"/>
        </w:rPr>
        <w:commentReference w:id="24"/>
      </w:r>
      <w:commentRangeEnd w:id="25"/>
      <w:r w:rsidR="003A4EEE">
        <w:rPr>
          <w:rStyle w:val="Kommentarzeichen"/>
        </w:rPr>
        <w:commentReference w:id="25"/>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26" w:name="_Hlk190096132"/>
      <w:r>
        <w:rPr>
          <w:rFonts w:ascii="Times New Roman" w:hAnsi="Times New Roman" w:cs="Times New Roman"/>
          <w:sz w:val="24"/>
          <w:szCs w:val="24"/>
          <w:lang w:eastAsia="de-DE"/>
        </w:rPr>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9"/>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26"/>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lastRenderedPageBreak/>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For experienced teachers, lower GRI values (indicating more efficient gaze behavior) were significantly associated with higher fixation frequency on students and greater strategic 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lastRenderedPageBreak/>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40687C85" w14:textId="77777777" w:rsidR="005F0BE0" w:rsidRPr="005F0BE0" w:rsidRDefault="00CB5001" w:rsidP="005F0BE0">
      <w:pPr>
        <w:pStyle w:val="Literaturverzeichnis"/>
        <w:rPr>
          <w:rFonts w:cs="Calibri"/>
          <w:lang w:val="de-DE"/>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5F0BE0" w:rsidRPr="005F0BE0">
        <w:rPr>
          <w:rFonts w:cs="Calibri"/>
          <w:lang w:val="de-DE"/>
        </w:rPr>
        <w:t xml:space="preserve">Barth, V. L. (2017). </w:t>
      </w:r>
      <w:r w:rsidR="005F0BE0" w:rsidRPr="005F0BE0">
        <w:rPr>
          <w:rFonts w:cs="Calibri"/>
          <w:i/>
          <w:iCs/>
          <w:lang w:val="de-DE"/>
        </w:rPr>
        <w:t>Professionelle Wahrnehmung von Störungen im Unterricht</w:t>
      </w:r>
      <w:r w:rsidR="005F0BE0" w:rsidRPr="005F0BE0">
        <w:rPr>
          <w:rFonts w:cs="Calibri"/>
          <w:lang w:val="de-DE"/>
        </w:rPr>
        <w:t>. Springer VS. https://doi.org/10.1007/978-3-658-16371-6</w:t>
      </w:r>
    </w:p>
    <w:p w14:paraId="037DC4A6" w14:textId="77777777" w:rsidR="005F0BE0" w:rsidRPr="005F0BE0" w:rsidRDefault="005F0BE0" w:rsidP="005F0BE0">
      <w:pPr>
        <w:pStyle w:val="Literaturverzeichnis"/>
        <w:rPr>
          <w:rFonts w:cs="Calibri"/>
          <w:lang w:val="de-DE"/>
        </w:rPr>
      </w:pPr>
      <w:r w:rsidRPr="005F0BE0">
        <w:rPr>
          <w:rFonts w:cs="Calibri"/>
          <w:lang w:val="de-DE"/>
        </w:rPr>
        <w:t xml:space="preserve">Baumert, J., &amp; Kunter, M. (2013). Professionelle Kompetenz von Lehrkräften. In I. Gogolin, H. Kuper, H.-H. Krüger, &amp; J. Baumert (Eds.), </w:t>
      </w:r>
      <w:r w:rsidRPr="005F0BE0">
        <w:rPr>
          <w:rFonts w:cs="Calibri"/>
          <w:i/>
          <w:iCs/>
          <w:lang w:val="de-DE"/>
        </w:rPr>
        <w:t>Stichwort: Zeitschrift für Erziehungswissenschaft</w:t>
      </w:r>
      <w:r w:rsidRPr="005F0BE0">
        <w:rPr>
          <w:rFonts w:cs="Calibri"/>
          <w:lang w:val="de-DE"/>
        </w:rPr>
        <w:t xml:space="preserve"> (pp. 277–337). Springer Fachmedien Wiesbaden. https://doi.org/10.1007/978-3-658-00908-3_13</w:t>
      </w:r>
    </w:p>
    <w:p w14:paraId="0AEDCEFA" w14:textId="77777777" w:rsidR="005F0BE0" w:rsidRPr="005F0BE0" w:rsidRDefault="005F0BE0" w:rsidP="005F0BE0">
      <w:pPr>
        <w:pStyle w:val="Literaturverzeichnis"/>
        <w:rPr>
          <w:rFonts w:cs="Calibri"/>
        </w:rPr>
      </w:pPr>
      <w:r w:rsidRPr="005F0BE0">
        <w:rPr>
          <w:rFonts w:cs="Calibri"/>
          <w:lang w:val="de-DE"/>
        </w:rPr>
        <w:t xml:space="preserve">Beaty-O’Ferrall, M. E., Green, A., &amp; Hanna, F. (2010). </w:t>
      </w:r>
      <w:r w:rsidRPr="005F0BE0">
        <w:rPr>
          <w:rFonts w:cs="Calibri"/>
        </w:rPr>
        <w:t xml:space="preserve">Classroom Management Strategies for Difficult Students: Promoting Change through Relationships. </w:t>
      </w:r>
      <w:r w:rsidRPr="005F0BE0">
        <w:rPr>
          <w:rFonts w:cs="Calibri"/>
          <w:i/>
          <w:iCs/>
        </w:rPr>
        <w:t>Middle School Journal (J1)</w:t>
      </w:r>
      <w:r w:rsidRPr="005F0BE0">
        <w:rPr>
          <w:rFonts w:cs="Calibri"/>
        </w:rPr>
        <w:t xml:space="preserve">, </w:t>
      </w:r>
      <w:r w:rsidRPr="005F0BE0">
        <w:rPr>
          <w:rFonts w:cs="Calibri"/>
          <w:i/>
          <w:iCs/>
        </w:rPr>
        <w:t>41</w:t>
      </w:r>
      <w:r w:rsidRPr="005F0BE0">
        <w:rPr>
          <w:rFonts w:cs="Calibri"/>
        </w:rPr>
        <w:t>(4), 4–11.</w:t>
      </w:r>
    </w:p>
    <w:p w14:paraId="602A08E9" w14:textId="77777777" w:rsidR="005F0BE0" w:rsidRPr="005F0BE0" w:rsidRDefault="005F0BE0" w:rsidP="005F0BE0">
      <w:pPr>
        <w:pStyle w:val="Literaturverzeichnis"/>
        <w:rPr>
          <w:rFonts w:cs="Calibri"/>
        </w:rPr>
      </w:pPr>
      <w:r w:rsidRPr="005F0BE0">
        <w:rPr>
          <w:rFonts w:cs="Calibri"/>
        </w:rPr>
        <w:t xml:space="preserve">Berliner, D. C. (2001). Learning about and learning from expert teachers. </w:t>
      </w:r>
      <w:r w:rsidRPr="005F0BE0">
        <w:rPr>
          <w:rFonts w:cs="Calibri"/>
          <w:i/>
          <w:iCs/>
        </w:rPr>
        <w:t>International Journal of Educational Research</w:t>
      </w:r>
      <w:r w:rsidRPr="005F0BE0">
        <w:rPr>
          <w:rFonts w:cs="Calibri"/>
        </w:rPr>
        <w:t xml:space="preserve">, </w:t>
      </w:r>
      <w:r w:rsidRPr="005F0BE0">
        <w:rPr>
          <w:rFonts w:cs="Calibri"/>
          <w:i/>
          <w:iCs/>
        </w:rPr>
        <w:t>35</w:t>
      </w:r>
      <w:r w:rsidRPr="005F0BE0">
        <w:rPr>
          <w:rFonts w:cs="Calibri"/>
        </w:rPr>
        <w:t>(5), 463–482. https://doi.org/10.1016/S0883-0355(02)00004-6</w:t>
      </w:r>
    </w:p>
    <w:p w14:paraId="47A4C669" w14:textId="77777777" w:rsidR="005F0BE0" w:rsidRPr="005F0BE0" w:rsidRDefault="005F0BE0" w:rsidP="005F0BE0">
      <w:pPr>
        <w:pStyle w:val="Literaturverzeichnis"/>
        <w:rPr>
          <w:rFonts w:cs="Calibri"/>
          <w:lang w:val="de-DE"/>
        </w:rPr>
      </w:pPr>
      <w:r w:rsidRPr="005F0BE0">
        <w:rPr>
          <w:rFonts w:cs="Calibri"/>
        </w:rPr>
        <w:t xml:space="preserve">Blömeke, S., Gustafsson, J.-E., &amp; Shavelson, R. J. (2015). Beyond dichotomies: Competence viewed as a continuum. </w:t>
      </w:r>
      <w:r w:rsidRPr="005F0BE0">
        <w:rPr>
          <w:rFonts w:cs="Calibri"/>
          <w:i/>
          <w:iCs/>
          <w:lang w:val="de-DE"/>
        </w:rPr>
        <w:t>Zeitschrift Für Psychologie</w:t>
      </w:r>
      <w:r w:rsidRPr="005F0BE0">
        <w:rPr>
          <w:rFonts w:cs="Calibri"/>
          <w:lang w:val="de-DE"/>
        </w:rPr>
        <w:t xml:space="preserve">, </w:t>
      </w:r>
      <w:r w:rsidRPr="005F0BE0">
        <w:rPr>
          <w:rFonts w:cs="Calibri"/>
          <w:i/>
          <w:iCs/>
          <w:lang w:val="de-DE"/>
        </w:rPr>
        <w:t>223</w:t>
      </w:r>
      <w:r w:rsidRPr="005F0BE0">
        <w:rPr>
          <w:rFonts w:cs="Calibri"/>
          <w:lang w:val="de-DE"/>
        </w:rPr>
        <w:t>(1), 3–13. https://doi.org/10.1027/2151-2604/a000194</w:t>
      </w:r>
    </w:p>
    <w:p w14:paraId="175C75FA" w14:textId="77777777" w:rsidR="005F0BE0" w:rsidRPr="005F0BE0" w:rsidRDefault="005F0BE0" w:rsidP="005F0BE0">
      <w:pPr>
        <w:pStyle w:val="Literaturverzeichnis"/>
        <w:rPr>
          <w:rFonts w:cs="Calibri"/>
        </w:rPr>
      </w:pPr>
      <w:r w:rsidRPr="005F0BE0">
        <w:rPr>
          <w:rFonts w:cs="Calibri"/>
          <w:lang w:val="de-DE"/>
        </w:rPr>
        <w:t xml:space="preserve">Blömeke, S., Jentsch, A., Ross, N., Kaiser, G., &amp; König, J. (2022). </w:t>
      </w:r>
      <w:r w:rsidRPr="005F0BE0">
        <w:rPr>
          <w:rFonts w:cs="Calibri"/>
        </w:rPr>
        <w:t xml:space="preserve">Opening up the black box: Teacher competence, instructional quality, and students’ learning progress. </w:t>
      </w:r>
      <w:r w:rsidRPr="005F0BE0">
        <w:rPr>
          <w:rFonts w:cs="Calibri"/>
          <w:i/>
          <w:iCs/>
        </w:rPr>
        <w:t>Learning and Instruction</w:t>
      </w:r>
      <w:r w:rsidRPr="005F0BE0">
        <w:rPr>
          <w:rFonts w:cs="Calibri"/>
        </w:rPr>
        <w:t xml:space="preserve">, </w:t>
      </w:r>
      <w:r w:rsidRPr="005F0BE0">
        <w:rPr>
          <w:rFonts w:cs="Calibri"/>
          <w:i/>
          <w:iCs/>
        </w:rPr>
        <w:t>79</w:t>
      </w:r>
      <w:r w:rsidRPr="005F0BE0">
        <w:rPr>
          <w:rFonts w:cs="Calibri"/>
        </w:rPr>
        <w:t>, 101600. https://doi.org/10.1016/j.learninstruc.2022.101600</w:t>
      </w:r>
    </w:p>
    <w:p w14:paraId="5126A467" w14:textId="77777777" w:rsidR="005F0BE0" w:rsidRPr="005F0BE0" w:rsidRDefault="005F0BE0" w:rsidP="005F0BE0">
      <w:pPr>
        <w:pStyle w:val="Literaturverzeichnis"/>
        <w:rPr>
          <w:rFonts w:cs="Calibri"/>
        </w:rPr>
      </w:pPr>
      <w:r w:rsidRPr="005F0BE0">
        <w:rPr>
          <w:rFonts w:cs="Calibri"/>
        </w:rPr>
        <w:t xml:space="preserve">Borko, H. (2004). Professional Development and Teacher Learning: Mapping the Terrain. </w:t>
      </w:r>
      <w:r w:rsidRPr="005F0BE0">
        <w:rPr>
          <w:rFonts w:cs="Calibri"/>
          <w:i/>
          <w:iCs/>
        </w:rPr>
        <w:t>Educational Researcher</w:t>
      </w:r>
      <w:r w:rsidRPr="005F0BE0">
        <w:rPr>
          <w:rFonts w:cs="Calibri"/>
        </w:rPr>
        <w:t xml:space="preserve">, </w:t>
      </w:r>
      <w:r w:rsidRPr="005F0BE0">
        <w:rPr>
          <w:rFonts w:cs="Calibri"/>
          <w:i/>
          <w:iCs/>
        </w:rPr>
        <w:t>33</w:t>
      </w:r>
      <w:r w:rsidRPr="005F0BE0">
        <w:rPr>
          <w:rFonts w:cs="Calibri"/>
        </w:rPr>
        <w:t>(8), 3–15. https://doi.org/10.3102/0013189X033008003</w:t>
      </w:r>
    </w:p>
    <w:p w14:paraId="527DE02E" w14:textId="77777777" w:rsidR="005F0BE0" w:rsidRPr="005F0BE0" w:rsidRDefault="005F0BE0" w:rsidP="005F0BE0">
      <w:pPr>
        <w:pStyle w:val="Literaturverzeichnis"/>
        <w:rPr>
          <w:rFonts w:cs="Calibri"/>
        </w:rPr>
      </w:pPr>
      <w:r w:rsidRPr="005F0BE0">
        <w:rPr>
          <w:rFonts w:cs="Calibri"/>
        </w:rPr>
        <w:t xml:space="preserve">Carter, K., Cushing, K., Sabers, D., Stein, P., &amp; Berliner, D. (1988). Expert-Novice Differences in Perceiving and Processing Visual Classroom Information. </w:t>
      </w:r>
      <w:r w:rsidRPr="005F0BE0">
        <w:rPr>
          <w:rFonts w:cs="Calibri"/>
          <w:i/>
          <w:iCs/>
        </w:rPr>
        <w:t>Journal of Teacher Education</w:t>
      </w:r>
      <w:r w:rsidRPr="005F0BE0">
        <w:rPr>
          <w:rFonts w:cs="Calibri"/>
        </w:rPr>
        <w:t xml:space="preserve">, </w:t>
      </w:r>
      <w:r w:rsidRPr="005F0BE0">
        <w:rPr>
          <w:rFonts w:cs="Calibri"/>
          <w:i/>
          <w:iCs/>
        </w:rPr>
        <w:t>39</w:t>
      </w:r>
      <w:r w:rsidRPr="005F0BE0">
        <w:rPr>
          <w:rFonts w:cs="Calibri"/>
        </w:rPr>
        <w:t>(3), 25–31. https://doi.org/10.1177/002248718803900306</w:t>
      </w:r>
    </w:p>
    <w:p w14:paraId="420E199B" w14:textId="77777777" w:rsidR="005F0BE0" w:rsidRPr="005F0BE0" w:rsidRDefault="005F0BE0" w:rsidP="005F0BE0">
      <w:pPr>
        <w:pStyle w:val="Literaturverzeichnis"/>
        <w:rPr>
          <w:rFonts w:cs="Calibri"/>
        </w:rPr>
      </w:pPr>
      <w:r w:rsidRPr="005F0BE0">
        <w:rPr>
          <w:rFonts w:cs="Calibri"/>
        </w:rPr>
        <w:t xml:space="preserve">Chow, J. C., Sayers, R., Fu, Y., Granger, K. L., McCullough, S., Kingsbery, C., &amp; Morse, A. (2024). A Systematic Meta-Review of Measures of Classroom Management in School Settings. </w:t>
      </w:r>
      <w:r w:rsidRPr="005F0BE0">
        <w:rPr>
          <w:rFonts w:cs="Calibri"/>
          <w:i/>
          <w:iCs/>
        </w:rPr>
        <w:t>Assessment for Effective Intervention</w:t>
      </w:r>
      <w:r w:rsidRPr="005F0BE0">
        <w:rPr>
          <w:rFonts w:cs="Calibri"/>
        </w:rPr>
        <w:t xml:space="preserve">, </w:t>
      </w:r>
      <w:r w:rsidRPr="005F0BE0">
        <w:rPr>
          <w:rFonts w:cs="Calibri"/>
          <w:i/>
          <w:iCs/>
        </w:rPr>
        <w:t>49</w:t>
      </w:r>
      <w:r w:rsidRPr="005F0BE0">
        <w:rPr>
          <w:rFonts w:cs="Calibri"/>
        </w:rPr>
        <w:t>(2), 60–74. https://doi.org/10.1177/15345084231208671</w:t>
      </w:r>
    </w:p>
    <w:p w14:paraId="31F9216E" w14:textId="77777777" w:rsidR="005F0BE0" w:rsidRPr="005F0BE0" w:rsidRDefault="005F0BE0" w:rsidP="005F0BE0">
      <w:pPr>
        <w:pStyle w:val="Literaturverzeichnis"/>
        <w:rPr>
          <w:rFonts w:cs="Calibri"/>
        </w:rPr>
      </w:pPr>
      <w:r w:rsidRPr="005F0BE0">
        <w:rPr>
          <w:rFonts w:cs="Calibri"/>
        </w:rPr>
        <w:lastRenderedPageBreak/>
        <w:t xml:space="preserve">Cohen, J. (1988). Statistical power for the behavioural sciences. Hilsdale. </w:t>
      </w:r>
      <w:r w:rsidRPr="005F0BE0">
        <w:rPr>
          <w:rFonts w:cs="Calibri"/>
          <w:i/>
          <w:iCs/>
        </w:rPr>
        <w:t>NY: Lawrence Erlbaum</w:t>
      </w:r>
      <w:r w:rsidRPr="005F0BE0">
        <w:rPr>
          <w:rFonts w:cs="Calibri"/>
        </w:rPr>
        <w:t xml:space="preserve">, </w:t>
      </w:r>
      <w:r w:rsidRPr="005F0BE0">
        <w:rPr>
          <w:rFonts w:cs="Calibri"/>
          <w:i/>
          <w:iCs/>
        </w:rPr>
        <w:t>58</w:t>
      </w:r>
      <w:r w:rsidRPr="005F0BE0">
        <w:rPr>
          <w:rFonts w:cs="Calibri"/>
        </w:rPr>
        <w:t>(1), 7–19.</w:t>
      </w:r>
    </w:p>
    <w:p w14:paraId="3D8455CC" w14:textId="77777777" w:rsidR="005F0BE0" w:rsidRPr="005F0BE0" w:rsidRDefault="005F0BE0" w:rsidP="005F0BE0">
      <w:pPr>
        <w:pStyle w:val="Literaturverzeichnis"/>
        <w:rPr>
          <w:rFonts w:cs="Calibri"/>
        </w:rPr>
      </w:pPr>
      <w:r w:rsidRPr="005F0BE0">
        <w:rPr>
          <w:rFonts w:cs="Calibri"/>
        </w:rPr>
        <w:t xml:space="preserve">D’Agostino, J. V., &amp; VanWinkle, W. H. (2007). Identifying Prepared and Competent Teachers with Professional Knowledge Tests. </w:t>
      </w:r>
      <w:r w:rsidRPr="005F0BE0">
        <w:rPr>
          <w:rFonts w:cs="Calibri"/>
          <w:i/>
          <w:iCs/>
        </w:rPr>
        <w:t>Journal of Personnel Evaluation in Education</w:t>
      </w:r>
      <w:r w:rsidRPr="005F0BE0">
        <w:rPr>
          <w:rFonts w:cs="Calibri"/>
        </w:rPr>
        <w:t xml:space="preserve">, </w:t>
      </w:r>
      <w:r w:rsidRPr="005F0BE0">
        <w:rPr>
          <w:rFonts w:cs="Calibri"/>
          <w:i/>
          <w:iCs/>
        </w:rPr>
        <w:t>20</w:t>
      </w:r>
      <w:r w:rsidRPr="005F0BE0">
        <w:rPr>
          <w:rFonts w:cs="Calibri"/>
        </w:rPr>
        <w:t>(1–2), 65–84. https://doi.org/10.1007/s11092-007-9047-2</w:t>
      </w:r>
    </w:p>
    <w:p w14:paraId="18DC4EF9" w14:textId="77777777" w:rsidR="005F0BE0" w:rsidRPr="005F0BE0" w:rsidRDefault="005F0BE0" w:rsidP="005F0BE0">
      <w:pPr>
        <w:pStyle w:val="Literaturverzeichnis"/>
        <w:rPr>
          <w:rFonts w:cs="Calibri"/>
          <w:lang w:val="de-DE"/>
        </w:rPr>
      </w:pPr>
      <w:r w:rsidRPr="005F0BE0">
        <w:rPr>
          <w:rFonts w:cs="Calibri"/>
          <w:lang w:val="de-DE"/>
        </w:rPr>
        <w:t xml:space="preserve">Eckstein, B., Grob, U., &amp; Reusser, K. (2016). Unterrichtliche Devianz und subjektives Störungsempfinden. Entwicklung eines Instrumentariums zur Erfassung von Unterrichtsstörungen. </w:t>
      </w:r>
      <w:r w:rsidRPr="005F0BE0">
        <w:rPr>
          <w:rFonts w:cs="Calibri"/>
          <w:i/>
          <w:iCs/>
          <w:lang w:val="de-DE"/>
        </w:rPr>
        <w:t>Empirische Pädagogik (EP)</w:t>
      </w:r>
      <w:r w:rsidRPr="005F0BE0">
        <w:rPr>
          <w:rFonts w:cs="Calibri"/>
          <w:lang w:val="de-DE"/>
        </w:rPr>
        <w:t xml:space="preserve">, </w:t>
      </w:r>
      <w:r w:rsidRPr="005F0BE0">
        <w:rPr>
          <w:rFonts w:cs="Calibri"/>
          <w:i/>
          <w:iCs/>
          <w:lang w:val="de-DE"/>
        </w:rPr>
        <w:t>30</w:t>
      </w:r>
      <w:r w:rsidRPr="005F0BE0">
        <w:rPr>
          <w:rFonts w:cs="Calibri"/>
          <w:lang w:val="de-DE"/>
        </w:rPr>
        <w:t>(1), Article 1.</w:t>
      </w:r>
    </w:p>
    <w:p w14:paraId="56CE7475" w14:textId="77777777" w:rsidR="005F0BE0" w:rsidRPr="005F0BE0" w:rsidRDefault="005F0BE0" w:rsidP="005F0BE0">
      <w:pPr>
        <w:pStyle w:val="Literaturverzeichnis"/>
        <w:rPr>
          <w:rFonts w:cs="Calibri"/>
        </w:rPr>
      </w:pPr>
      <w:r w:rsidRPr="005F0BE0">
        <w:rPr>
          <w:rFonts w:cs="Calibri"/>
          <w:lang w:val="de-DE"/>
        </w:rPr>
        <w:t xml:space="preserve">Ericsson, K. A., &amp; Kintsch, W. (1995). </w:t>
      </w:r>
      <w:r w:rsidRPr="005F0BE0">
        <w:rPr>
          <w:rFonts w:cs="Calibri"/>
        </w:rPr>
        <w:t xml:space="preserve">Long-term working memory. </w:t>
      </w:r>
      <w:r w:rsidRPr="005F0BE0">
        <w:rPr>
          <w:rFonts w:cs="Calibri"/>
          <w:i/>
          <w:iCs/>
        </w:rPr>
        <w:t>Psychological Review</w:t>
      </w:r>
      <w:r w:rsidRPr="005F0BE0">
        <w:rPr>
          <w:rFonts w:cs="Calibri"/>
        </w:rPr>
        <w:t xml:space="preserve">, </w:t>
      </w:r>
      <w:r w:rsidRPr="005F0BE0">
        <w:rPr>
          <w:rFonts w:cs="Calibri"/>
          <w:i/>
          <w:iCs/>
        </w:rPr>
        <w:t>102</w:t>
      </w:r>
      <w:r w:rsidRPr="005F0BE0">
        <w:rPr>
          <w:rFonts w:cs="Calibri"/>
        </w:rPr>
        <w:t>(2), 211–245. https://doi.org/10.1037/0033-295X.102.2.211</w:t>
      </w:r>
    </w:p>
    <w:p w14:paraId="495689B7" w14:textId="77777777" w:rsidR="005F0BE0" w:rsidRPr="005F0BE0" w:rsidRDefault="005F0BE0" w:rsidP="005F0BE0">
      <w:pPr>
        <w:pStyle w:val="Literaturverzeichnis"/>
        <w:rPr>
          <w:rFonts w:cs="Calibri"/>
        </w:rPr>
      </w:pPr>
      <w:r w:rsidRPr="005F0BE0">
        <w:rPr>
          <w:rFonts w:cs="Calibri"/>
        </w:rPr>
        <w:t xml:space="preserve">Fenstermacher, G. D. (1994). The Knower and the Known: The Nature of Knowledge in Research on Teaching. </w:t>
      </w:r>
      <w:r w:rsidRPr="005F0BE0">
        <w:rPr>
          <w:rFonts w:cs="Calibri"/>
          <w:i/>
          <w:iCs/>
        </w:rPr>
        <w:t>Review of Research in Education</w:t>
      </w:r>
      <w:r w:rsidRPr="005F0BE0">
        <w:rPr>
          <w:rFonts w:cs="Calibri"/>
        </w:rPr>
        <w:t xml:space="preserve">, </w:t>
      </w:r>
      <w:r w:rsidRPr="005F0BE0">
        <w:rPr>
          <w:rFonts w:cs="Calibri"/>
          <w:i/>
          <w:iCs/>
        </w:rPr>
        <w:t>20</w:t>
      </w:r>
      <w:r w:rsidRPr="005F0BE0">
        <w:rPr>
          <w:rFonts w:cs="Calibri"/>
        </w:rPr>
        <w:t>(1), 3–56. https://doi.org/10.3102/0091732X020001003</w:t>
      </w:r>
    </w:p>
    <w:p w14:paraId="17EE09D3" w14:textId="77777777" w:rsidR="005F0BE0" w:rsidRPr="005F0BE0" w:rsidRDefault="005F0BE0" w:rsidP="005F0BE0">
      <w:pPr>
        <w:pStyle w:val="Literaturverzeichnis"/>
        <w:rPr>
          <w:rFonts w:cs="Calibri"/>
        </w:rPr>
      </w:pPr>
      <w:r w:rsidRPr="005F0BE0">
        <w:rPr>
          <w:rFonts w:cs="Calibri"/>
        </w:rPr>
        <w:t xml:space="preserve">Gold, B., &amp; Holodynski, M. (2015). Development and Construct Validation of a Situational Judgment Test of Strategic Knowledge of Classroom Management in Elementary Schools. </w:t>
      </w:r>
      <w:r w:rsidRPr="005F0BE0">
        <w:rPr>
          <w:rFonts w:cs="Calibri"/>
          <w:i/>
          <w:iCs/>
        </w:rPr>
        <w:t>Educational Assessment</w:t>
      </w:r>
      <w:r w:rsidRPr="005F0BE0">
        <w:rPr>
          <w:rFonts w:cs="Calibri"/>
        </w:rPr>
        <w:t xml:space="preserve">, </w:t>
      </w:r>
      <w:r w:rsidRPr="005F0BE0">
        <w:rPr>
          <w:rFonts w:cs="Calibri"/>
          <w:i/>
          <w:iCs/>
        </w:rPr>
        <w:t>20</w:t>
      </w:r>
      <w:r w:rsidRPr="005F0BE0">
        <w:rPr>
          <w:rFonts w:cs="Calibri"/>
        </w:rPr>
        <w:t>(3), 226–248. https://doi.org/10.1080/10627197.2015.1062087</w:t>
      </w:r>
    </w:p>
    <w:p w14:paraId="21FB9D0D" w14:textId="77777777" w:rsidR="005F0BE0" w:rsidRPr="005F0BE0" w:rsidRDefault="005F0BE0" w:rsidP="005F0BE0">
      <w:pPr>
        <w:pStyle w:val="Literaturverzeichnis"/>
        <w:rPr>
          <w:rFonts w:cs="Calibri"/>
        </w:rPr>
      </w:pPr>
      <w:r w:rsidRPr="005F0BE0">
        <w:rPr>
          <w:rFonts w:cs="Calibri"/>
        </w:rPr>
        <w:t xml:space="preserve">Goldman, R. (2007). </w:t>
      </w:r>
      <w:r w:rsidRPr="005F0BE0">
        <w:rPr>
          <w:rFonts w:cs="Calibri"/>
          <w:i/>
          <w:iCs/>
        </w:rPr>
        <w:t>Video research in the learning sciences</w:t>
      </w:r>
      <w:r w:rsidRPr="005F0BE0">
        <w:rPr>
          <w:rFonts w:cs="Calibri"/>
        </w:rPr>
        <w:t>. Lawrence Erlbaum Associates.</w:t>
      </w:r>
    </w:p>
    <w:p w14:paraId="4CC4B471" w14:textId="77777777" w:rsidR="005F0BE0" w:rsidRPr="005F0BE0" w:rsidRDefault="005F0BE0" w:rsidP="005F0BE0">
      <w:pPr>
        <w:pStyle w:val="Literaturverzeichnis"/>
        <w:rPr>
          <w:rFonts w:cs="Calibri"/>
        </w:rPr>
      </w:pPr>
      <w:r w:rsidRPr="005F0BE0">
        <w:rPr>
          <w:rFonts w:cs="Calibri"/>
        </w:rPr>
        <w:t xml:space="preserve">Grub, A.-S. (2023). </w:t>
      </w:r>
      <w:r w:rsidRPr="005F0BE0">
        <w:rPr>
          <w:rFonts w:cs="Calibri"/>
          <w:i/>
          <w:iCs/>
        </w:rPr>
        <w:t>PRONOEA - Professional vision of novice and expert teachers</w:t>
      </w:r>
      <w:r w:rsidRPr="005F0BE0">
        <w:rPr>
          <w:rFonts w:cs="Calibri"/>
        </w:rPr>
        <w:t xml:space="preserve"> [doctoralThesis, Saarländische Universitäts- und Landesbibliothek]. https://doi.org/10.22028/D291-39788</w:t>
      </w:r>
    </w:p>
    <w:p w14:paraId="314B4026" w14:textId="77777777" w:rsidR="005F0BE0" w:rsidRPr="005F0BE0" w:rsidRDefault="005F0BE0" w:rsidP="005F0BE0">
      <w:pPr>
        <w:pStyle w:val="Literaturverzeichnis"/>
        <w:rPr>
          <w:rFonts w:cs="Calibri"/>
          <w:lang w:val="de-DE"/>
        </w:rPr>
      </w:pPr>
      <w:r w:rsidRPr="005F0BE0">
        <w:rPr>
          <w:rFonts w:cs="Calibri"/>
        </w:rPr>
        <w:t xml:space="preserve">Grub, A.-S., Biermann, A., &amp; Brünken, R. (2020). </w:t>
      </w:r>
      <w:r w:rsidRPr="005F0BE0">
        <w:rPr>
          <w:rFonts w:cs="Calibri"/>
          <w:i/>
          <w:iCs/>
        </w:rPr>
        <w:t xml:space="preserve">Process-based measurement of professional vision of (prospective) teachers in the field of classroom management. </w:t>
      </w:r>
      <w:r w:rsidRPr="005F0BE0">
        <w:rPr>
          <w:rFonts w:cs="Calibri"/>
          <w:i/>
          <w:iCs/>
          <w:lang w:val="de-DE"/>
        </w:rPr>
        <w:t>A systematic review</w:t>
      </w:r>
      <w:r w:rsidRPr="005F0BE0">
        <w:rPr>
          <w:rFonts w:cs="Calibri"/>
          <w:lang w:val="de-DE"/>
        </w:rPr>
        <w:t>. https://doi.org/10.25656/01:21187</w:t>
      </w:r>
    </w:p>
    <w:p w14:paraId="2EE8B744" w14:textId="77777777" w:rsidR="005F0BE0" w:rsidRPr="005F0BE0" w:rsidRDefault="005F0BE0" w:rsidP="005F0BE0">
      <w:pPr>
        <w:pStyle w:val="Literaturverzeichnis"/>
        <w:rPr>
          <w:rFonts w:cs="Calibri"/>
          <w:lang w:val="de-DE"/>
        </w:rPr>
      </w:pPr>
      <w:r w:rsidRPr="005F0BE0">
        <w:rPr>
          <w:rFonts w:cs="Calibri"/>
          <w:lang w:val="de-DE"/>
        </w:rPr>
        <w:t xml:space="preserve">Helmke, A. (2022). </w:t>
      </w:r>
      <w:r w:rsidRPr="005F0BE0">
        <w:rPr>
          <w:rFonts w:cs="Calibri"/>
          <w:i/>
          <w:iCs/>
          <w:lang w:val="de-DE"/>
        </w:rPr>
        <w:t>Unterrichtsqualität und Professionalisierung: Diagnostik von Lehr-Lern-Prozessen und evidenzbasierte Unterrichtsentwicklung</w:t>
      </w:r>
      <w:r w:rsidRPr="005F0BE0">
        <w:rPr>
          <w:rFonts w:cs="Calibri"/>
          <w:lang w:val="de-DE"/>
        </w:rPr>
        <w:t xml:space="preserve"> (1. Auflage). Klett Kallmeyer.</w:t>
      </w:r>
    </w:p>
    <w:p w14:paraId="30CB6DCB" w14:textId="77777777" w:rsidR="005F0BE0" w:rsidRPr="005F0BE0" w:rsidRDefault="005F0BE0" w:rsidP="005F0BE0">
      <w:pPr>
        <w:pStyle w:val="Literaturverzeichnis"/>
        <w:rPr>
          <w:rFonts w:cs="Calibri"/>
          <w:lang w:val="de-DE"/>
        </w:rPr>
      </w:pPr>
      <w:r w:rsidRPr="005F0BE0">
        <w:rPr>
          <w:rFonts w:cs="Calibri"/>
          <w:lang w:val="de-DE"/>
        </w:rPr>
        <w:lastRenderedPageBreak/>
        <w:t xml:space="preserve">Helmke, A., Schrader, F.-W., Helmke, T., Lenske, G., Pham, G., Praetorius, A.-K., &amp; Ade-Thurow, M. (2013). </w:t>
      </w:r>
      <w:r w:rsidRPr="005F0BE0">
        <w:rPr>
          <w:rFonts w:cs="Calibri"/>
          <w:i/>
          <w:iCs/>
          <w:lang w:val="de-DE"/>
        </w:rPr>
        <w:t>Basisfragebogen EMU - Evidenzbasierte Methoden der Unterrichtsentwicklung</w:t>
      </w:r>
      <w:r w:rsidRPr="005F0BE0">
        <w:rPr>
          <w:rFonts w:cs="Calibri"/>
          <w:lang w:val="de-DE"/>
        </w:rPr>
        <w:t>. Unterrichtsdiagnostik. http://www.unterrichtsdiagnostik.info/downloads/fragebogen/</w:t>
      </w:r>
    </w:p>
    <w:p w14:paraId="073FC02B" w14:textId="77777777" w:rsidR="005F0BE0" w:rsidRPr="005F0BE0" w:rsidRDefault="005F0BE0" w:rsidP="005F0BE0">
      <w:pPr>
        <w:pStyle w:val="Literaturverzeichnis"/>
        <w:rPr>
          <w:rFonts w:cs="Calibri"/>
        </w:rPr>
      </w:pPr>
      <w:r w:rsidRPr="005F0BE0">
        <w:rPr>
          <w:rFonts w:cs="Calibri"/>
          <w:lang w:val="de-DE"/>
        </w:rPr>
        <w:t xml:space="preserve">Keskin, Ö., Seidel, T., Stürmer, K., &amp; Gegenfurtner, A. (2024). </w:t>
      </w:r>
      <w:r w:rsidRPr="005F0BE0">
        <w:rPr>
          <w:rFonts w:cs="Calibri"/>
        </w:rPr>
        <w:t xml:space="preserve">Eye-tracking research on teacher professional vision: A meta-analytic review. </w:t>
      </w:r>
      <w:r w:rsidRPr="005F0BE0">
        <w:rPr>
          <w:rFonts w:cs="Calibri"/>
          <w:i/>
          <w:iCs/>
        </w:rPr>
        <w:t>Educational Research Review</w:t>
      </w:r>
      <w:r w:rsidRPr="005F0BE0">
        <w:rPr>
          <w:rFonts w:cs="Calibri"/>
        </w:rPr>
        <w:t xml:space="preserve">, </w:t>
      </w:r>
      <w:r w:rsidRPr="005F0BE0">
        <w:rPr>
          <w:rFonts w:cs="Calibri"/>
          <w:i/>
          <w:iCs/>
        </w:rPr>
        <w:t>42</w:t>
      </w:r>
      <w:r w:rsidRPr="005F0BE0">
        <w:rPr>
          <w:rFonts w:cs="Calibri"/>
        </w:rPr>
        <w:t>, 100586. https://doi.org/10.1016/j.edurev.2023.100586</w:t>
      </w:r>
    </w:p>
    <w:p w14:paraId="33BBE6AC" w14:textId="77777777" w:rsidR="005F0BE0" w:rsidRPr="005F0BE0" w:rsidRDefault="005F0BE0" w:rsidP="005F0BE0">
      <w:pPr>
        <w:pStyle w:val="Literaturverzeichnis"/>
        <w:rPr>
          <w:rFonts w:cs="Calibri"/>
          <w:lang w:val="de-DE"/>
        </w:rPr>
      </w:pPr>
      <w:r w:rsidRPr="005F0BE0">
        <w:rPr>
          <w:rFonts w:cs="Calibri"/>
        </w:rPr>
        <w:t xml:space="preserve">Kiel, E., Frey, A., &amp; Weiß, S. (2013). </w:t>
      </w:r>
      <w:r w:rsidRPr="005F0BE0">
        <w:rPr>
          <w:rFonts w:cs="Calibri"/>
          <w:i/>
          <w:iCs/>
          <w:lang w:val="de-DE"/>
        </w:rPr>
        <w:t>Trainingsbuch Klassenführung</w:t>
      </w:r>
      <w:r w:rsidRPr="005F0BE0">
        <w:rPr>
          <w:rFonts w:cs="Calibri"/>
          <w:lang w:val="de-DE"/>
        </w:rPr>
        <w:t>. Verlag Julius Klinkhardt.</w:t>
      </w:r>
    </w:p>
    <w:p w14:paraId="4A8D1F0A" w14:textId="77777777" w:rsidR="005F0BE0" w:rsidRPr="005F0BE0" w:rsidRDefault="005F0BE0" w:rsidP="005F0BE0">
      <w:pPr>
        <w:pStyle w:val="Literaturverzeichnis"/>
        <w:rPr>
          <w:rFonts w:cs="Calibri"/>
        </w:rPr>
      </w:pPr>
      <w:r w:rsidRPr="005F0BE0">
        <w:rPr>
          <w:rFonts w:cs="Calibri"/>
        </w:rPr>
        <w:t xml:space="preserve">Kilbury, M., Böhnke, A., Haase, S., &amp; Thiel, F. (2024). The development and validation of a video tool for capturing teachers’ noticing in salient and non-salient classroom disruptions. </w:t>
      </w:r>
      <w:r w:rsidRPr="005F0BE0">
        <w:rPr>
          <w:rFonts w:cs="Calibri"/>
          <w:i/>
          <w:iCs/>
        </w:rPr>
        <w:t>Computers in Human Behavior Reports</w:t>
      </w:r>
      <w:r w:rsidRPr="005F0BE0">
        <w:rPr>
          <w:rFonts w:cs="Calibri"/>
        </w:rPr>
        <w:t xml:space="preserve">, </w:t>
      </w:r>
      <w:r w:rsidRPr="005F0BE0">
        <w:rPr>
          <w:rFonts w:cs="Calibri"/>
          <w:i/>
          <w:iCs/>
        </w:rPr>
        <w:t>16</w:t>
      </w:r>
      <w:r w:rsidRPr="005F0BE0">
        <w:rPr>
          <w:rFonts w:cs="Calibri"/>
        </w:rPr>
        <w:t>, 100481. https://doi.org/10.1016/j.chbr.2024.100481</w:t>
      </w:r>
    </w:p>
    <w:p w14:paraId="22EC9235" w14:textId="77777777" w:rsidR="005F0BE0" w:rsidRPr="005F0BE0" w:rsidRDefault="005F0BE0" w:rsidP="005F0BE0">
      <w:pPr>
        <w:pStyle w:val="Literaturverzeichnis"/>
        <w:rPr>
          <w:rFonts w:cs="Calibri"/>
          <w:lang w:val="de-DE"/>
        </w:rPr>
      </w:pPr>
      <w:r w:rsidRPr="005F0BE0">
        <w:rPr>
          <w:rFonts w:cs="Calibri"/>
          <w:lang w:val="de-DE"/>
        </w:rPr>
        <w:t xml:space="preserve">Kirchhof, S. (2007). </w:t>
      </w:r>
      <w:r w:rsidRPr="005F0BE0">
        <w:rPr>
          <w:rFonts w:cs="Calibri"/>
          <w:i/>
          <w:iCs/>
          <w:lang w:val="de-DE"/>
        </w:rPr>
        <w:t>Informelles Lernen und Kompetenzentwicklung für und in beruflichen Werdegängen</w:t>
      </w:r>
      <w:r w:rsidRPr="005F0BE0">
        <w:rPr>
          <w:rFonts w:cs="Calibri"/>
          <w:lang w:val="de-DE"/>
        </w:rPr>
        <w:t>. Waxmann Verlag.</w:t>
      </w:r>
    </w:p>
    <w:p w14:paraId="68B1D158" w14:textId="77777777" w:rsidR="005F0BE0" w:rsidRPr="005F0BE0" w:rsidRDefault="005F0BE0" w:rsidP="005F0BE0">
      <w:pPr>
        <w:pStyle w:val="Literaturverzeichnis"/>
        <w:rPr>
          <w:rFonts w:cs="Calibri"/>
          <w:lang w:val="de-DE"/>
        </w:rPr>
      </w:pPr>
      <w:r w:rsidRPr="005F0BE0">
        <w:rPr>
          <w:rFonts w:cs="Calibri"/>
          <w:lang w:val="de-DE"/>
        </w:rPr>
        <w:t xml:space="preserve">Kounin, J. S. (2006). </w:t>
      </w:r>
      <w:r w:rsidRPr="005F0BE0">
        <w:rPr>
          <w:rFonts w:cs="Calibri"/>
          <w:i/>
          <w:iCs/>
          <w:lang w:val="de-DE"/>
        </w:rPr>
        <w:t>Techniken der Klassenführung</w:t>
      </w:r>
      <w:r w:rsidRPr="005F0BE0">
        <w:rPr>
          <w:rFonts w:cs="Calibri"/>
          <w:lang w:val="de-DE"/>
        </w:rPr>
        <w:t>. Waxmann Verlag.</w:t>
      </w:r>
    </w:p>
    <w:p w14:paraId="08B911DC" w14:textId="77777777" w:rsidR="005F0BE0" w:rsidRPr="005F0BE0" w:rsidRDefault="005F0BE0" w:rsidP="005F0BE0">
      <w:pPr>
        <w:pStyle w:val="Literaturverzeichnis"/>
        <w:rPr>
          <w:rFonts w:cs="Calibri"/>
        </w:rPr>
      </w:pPr>
      <w:r w:rsidRPr="005F0BE0">
        <w:rPr>
          <w:rFonts w:cs="Calibri"/>
          <w:lang w:val="de-DE"/>
        </w:rPr>
        <w:t xml:space="preserve">Kraft, M. A., &amp; Monti-Nussbaum, M. (2021). </w:t>
      </w:r>
      <w:r w:rsidRPr="005F0BE0">
        <w:rPr>
          <w:rFonts w:cs="Calibri"/>
        </w:rPr>
        <w:t xml:space="preserve">The Big Problem With Little Interruptions to Classroom Learning. </w:t>
      </w:r>
      <w:r w:rsidRPr="005F0BE0">
        <w:rPr>
          <w:rFonts w:cs="Calibri"/>
          <w:i/>
          <w:iCs/>
        </w:rPr>
        <w:t>AERA Open</w:t>
      </w:r>
      <w:r w:rsidRPr="005F0BE0">
        <w:rPr>
          <w:rFonts w:cs="Calibri"/>
        </w:rPr>
        <w:t xml:space="preserve">, </w:t>
      </w:r>
      <w:r w:rsidRPr="005F0BE0">
        <w:rPr>
          <w:rFonts w:cs="Calibri"/>
          <w:i/>
          <w:iCs/>
        </w:rPr>
        <w:t>7</w:t>
      </w:r>
      <w:r w:rsidRPr="005F0BE0">
        <w:rPr>
          <w:rFonts w:cs="Calibri"/>
        </w:rPr>
        <w:t>, 23328584211028856. https://doi.org/10.1177/23328584211028856</w:t>
      </w:r>
    </w:p>
    <w:p w14:paraId="3EEEE62F" w14:textId="77777777" w:rsidR="005F0BE0" w:rsidRPr="005F0BE0" w:rsidRDefault="005F0BE0" w:rsidP="005F0BE0">
      <w:pPr>
        <w:pStyle w:val="Literaturverzeichnis"/>
        <w:rPr>
          <w:rFonts w:cs="Calibri"/>
          <w:lang w:val="de-DE"/>
        </w:rPr>
      </w:pPr>
      <w:r w:rsidRPr="005F0BE0">
        <w:rPr>
          <w:rFonts w:cs="Calibri"/>
        </w:rPr>
        <w:t xml:space="preserve">Kunter, M., Baumert, J., &amp; Blum, W. (2011). </w:t>
      </w:r>
      <w:r w:rsidRPr="005F0BE0">
        <w:rPr>
          <w:rFonts w:cs="Calibri"/>
          <w:i/>
          <w:iCs/>
          <w:lang w:val="de-DE"/>
        </w:rPr>
        <w:t>Professionelle Kompetenz von Lehrkräften: Ergebnisse des Forschungsprogramms COACTIV</w:t>
      </w:r>
      <w:r w:rsidRPr="005F0BE0">
        <w:rPr>
          <w:rFonts w:cs="Calibri"/>
          <w:lang w:val="de-DE"/>
        </w:rPr>
        <w:t>. Waxmann Verlag.</w:t>
      </w:r>
    </w:p>
    <w:p w14:paraId="6E017AEE" w14:textId="77777777" w:rsidR="005F0BE0" w:rsidRPr="005F0BE0" w:rsidRDefault="005F0BE0" w:rsidP="005F0BE0">
      <w:pPr>
        <w:pStyle w:val="Literaturverzeichnis"/>
        <w:rPr>
          <w:rFonts w:cs="Calibri"/>
        </w:rPr>
      </w:pPr>
      <w:r w:rsidRPr="005F0BE0">
        <w:rPr>
          <w:rFonts w:cs="Calibri"/>
          <w:lang w:val="de-DE"/>
        </w:rPr>
        <w:t xml:space="preserve">Lachner, A., Jarodzka, H., &amp; Nückles, M. (2016). What makes an expert teacher? </w:t>
      </w:r>
      <w:r w:rsidRPr="005F0BE0">
        <w:rPr>
          <w:rFonts w:cs="Calibri"/>
        </w:rPr>
        <w:t xml:space="preserve">Investigating teachers’ professional vision and discourse abilities. </w:t>
      </w:r>
      <w:r w:rsidRPr="005F0BE0">
        <w:rPr>
          <w:rFonts w:cs="Calibri"/>
          <w:i/>
          <w:iCs/>
        </w:rPr>
        <w:t>Instructional Science</w:t>
      </w:r>
      <w:r w:rsidRPr="005F0BE0">
        <w:rPr>
          <w:rFonts w:cs="Calibri"/>
        </w:rPr>
        <w:t xml:space="preserve">, </w:t>
      </w:r>
      <w:r w:rsidRPr="005F0BE0">
        <w:rPr>
          <w:rFonts w:cs="Calibri"/>
          <w:i/>
          <w:iCs/>
        </w:rPr>
        <w:t>44</w:t>
      </w:r>
      <w:r w:rsidRPr="005F0BE0">
        <w:rPr>
          <w:rFonts w:cs="Calibri"/>
        </w:rPr>
        <w:t>(3), 197–203. https://doi.org/10.1007/s11251-016-9376-y</w:t>
      </w:r>
    </w:p>
    <w:p w14:paraId="49D5DED7" w14:textId="77777777" w:rsidR="005F0BE0" w:rsidRPr="005F0BE0" w:rsidRDefault="005F0BE0" w:rsidP="005F0BE0">
      <w:pPr>
        <w:pStyle w:val="Literaturverzeichnis"/>
        <w:rPr>
          <w:rFonts w:cs="Calibri"/>
        </w:rPr>
      </w:pPr>
      <w:r w:rsidRPr="005F0BE0">
        <w:rPr>
          <w:rFonts w:cs="Calibri"/>
        </w:rPr>
        <w:t xml:space="preserve">Livingston, C., &amp; Borko, H. (1989). Expert-Novice Differences in Teaching: A Cognitive Analysis and Implications for Teacher Education. </w:t>
      </w:r>
      <w:r w:rsidRPr="005F0BE0">
        <w:rPr>
          <w:rFonts w:cs="Calibri"/>
          <w:i/>
          <w:iCs/>
        </w:rPr>
        <w:t>Journal of Teacher Education</w:t>
      </w:r>
      <w:r w:rsidRPr="005F0BE0">
        <w:rPr>
          <w:rFonts w:cs="Calibri"/>
        </w:rPr>
        <w:t xml:space="preserve">, </w:t>
      </w:r>
      <w:r w:rsidRPr="005F0BE0">
        <w:rPr>
          <w:rFonts w:cs="Calibri"/>
          <w:i/>
          <w:iCs/>
        </w:rPr>
        <w:t>40</w:t>
      </w:r>
      <w:r w:rsidRPr="005F0BE0">
        <w:rPr>
          <w:rFonts w:cs="Calibri"/>
        </w:rPr>
        <w:t>(4), 36–42. https://doi.org/10.1177/002248718904000407</w:t>
      </w:r>
    </w:p>
    <w:p w14:paraId="2CD2CAFA" w14:textId="77777777" w:rsidR="005F0BE0" w:rsidRPr="005F0BE0" w:rsidRDefault="005F0BE0" w:rsidP="005F0BE0">
      <w:pPr>
        <w:pStyle w:val="Literaturverzeichnis"/>
        <w:rPr>
          <w:rFonts w:cs="Calibri"/>
        </w:rPr>
      </w:pPr>
      <w:r w:rsidRPr="005F0BE0">
        <w:rPr>
          <w:rFonts w:cs="Calibri"/>
        </w:rPr>
        <w:lastRenderedPageBreak/>
        <w:t xml:space="preserve">Lohmann, G., &amp; Meyer, H. (2003). </w:t>
      </w:r>
      <w:r w:rsidRPr="005F0BE0">
        <w:rPr>
          <w:rFonts w:cs="Calibri"/>
          <w:i/>
          <w:iCs/>
          <w:lang w:val="de-DE"/>
        </w:rPr>
        <w:t>Mit Schülern klarkommen: Professioneller Umgang mit Unterrichtsstörungen und Disziplinkonflikten</w:t>
      </w:r>
      <w:r w:rsidRPr="005F0BE0">
        <w:rPr>
          <w:rFonts w:cs="Calibri"/>
          <w:lang w:val="de-DE"/>
        </w:rPr>
        <w:t xml:space="preserve">. </w:t>
      </w:r>
      <w:r w:rsidRPr="005F0BE0">
        <w:rPr>
          <w:rFonts w:cs="Calibri"/>
        </w:rPr>
        <w:t>Cornelsen-Scriptor.</w:t>
      </w:r>
    </w:p>
    <w:p w14:paraId="2DC1AFBD" w14:textId="77777777" w:rsidR="005F0BE0" w:rsidRPr="005F0BE0" w:rsidRDefault="005F0BE0" w:rsidP="005F0BE0">
      <w:pPr>
        <w:pStyle w:val="Literaturverzeichnis"/>
        <w:rPr>
          <w:rFonts w:cs="Calibri"/>
        </w:rPr>
      </w:pPr>
      <w:r w:rsidRPr="005F0BE0">
        <w:rPr>
          <w:rFonts w:cs="Calibri"/>
        </w:rPr>
        <w:t xml:space="preserve">Marder, J., Thiel, F., &amp; Göllner, R. (2023). Classroom management and students’ mathematics achievement: The role of students’ disruptive behavior and teacher classroom management. </w:t>
      </w:r>
      <w:r w:rsidRPr="005F0BE0">
        <w:rPr>
          <w:rFonts w:cs="Calibri"/>
          <w:i/>
          <w:iCs/>
        </w:rPr>
        <w:t>Learning and Instruction</w:t>
      </w:r>
      <w:r w:rsidRPr="005F0BE0">
        <w:rPr>
          <w:rFonts w:cs="Calibri"/>
        </w:rPr>
        <w:t xml:space="preserve">, </w:t>
      </w:r>
      <w:r w:rsidRPr="005F0BE0">
        <w:rPr>
          <w:rFonts w:cs="Calibri"/>
          <w:i/>
          <w:iCs/>
        </w:rPr>
        <w:t>86</w:t>
      </w:r>
      <w:r w:rsidRPr="005F0BE0">
        <w:rPr>
          <w:rFonts w:cs="Calibri"/>
        </w:rPr>
        <w:t>, 101746. https://doi.org/10.1016/j.learninstruc.2023.101746</w:t>
      </w:r>
    </w:p>
    <w:p w14:paraId="7A7FB41B" w14:textId="77777777" w:rsidR="005F0BE0" w:rsidRPr="005F0BE0" w:rsidRDefault="005F0BE0" w:rsidP="005F0BE0">
      <w:pPr>
        <w:pStyle w:val="Literaturverzeichnis"/>
        <w:rPr>
          <w:rFonts w:cs="Calibri"/>
        </w:rPr>
      </w:pPr>
      <w:r w:rsidRPr="005F0BE0">
        <w:rPr>
          <w:rFonts w:cs="Calibri"/>
        </w:rPr>
        <w:t xml:space="preserve">Marzano, R. J. (2007). </w:t>
      </w:r>
      <w:r w:rsidRPr="005F0BE0">
        <w:rPr>
          <w:rFonts w:cs="Calibri"/>
          <w:i/>
          <w:iCs/>
        </w:rPr>
        <w:t>The Art and Science of Teaching: A Comprehensive Framework for Effective Instruction</w:t>
      </w:r>
      <w:r w:rsidRPr="005F0BE0">
        <w:rPr>
          <w:rFonts w:cs="Calibri"/>
        </w:rPr>
        <w:t>. ASCD.</w:t>
      </w:r>
    </w:p>
    <w:p w14:paraId="102D76D5" w14:textId="77777777" w:rsidR="005F0BE0" w:rsidRPr="005F0BE0" w:rsidRDefault="005F0BE0" w:rsidP="005F0BE0">
      <w:pPr>
        <w:pStyle w:val="Literaturverzeichnis"/>
        <w:rPr>
          <w:rFonts w:cs="Calibri"/>
        </w:rPr>
      </w:pPr>
      <w:r w:rsidRPr="005F0BE0">
        <w:rPr>
          <w:rFonts w:cs="Calibri"/>
        </w:rPr>
        <w:t xml:space="preserve">Onkhar, V., Dodou, D., &amp; de Winter, J. C. F. (2024). Evaluating the Tobii Pro Glasses 2 and 3 in static and dynamic conditions. </w:t>
      </w:r>
      <w:r w:rsidRPr="005F0BE0">
        <w:rPr>
          <w:rFonts w:cs="Calibri"/>
          <w:i/>
          <w:iCs/>
        </w:rPr>
        <w:t>Behavior Research Methods</w:t>
      </w:r>
      <w:r w:rsidRPr="005F0BE0">
        <w:rPr>
          <w:rFonts w:cs="Calibri"/>
        </w:rPr>
        <w:t xml:space="preserve">, </w:t>
      </w:r>
      <w:r w:rsidRPr="005F0BE0">
        <w:rPr>
          <w:rFonts w:cs="Calibri"/>
          <w:i/>
          <w:iCs/>
        </w:rPr>
        <w:t>56</w:t>
      </w:r>
      <w:r w:rsidRPr="005F0BE0">
        <w:rPr>
          <w:rFonts w:cs="Calibri"/>
        </w:rPr>
        <w:t>(5), 4221–4238. https://doi.org/10.3758/s13428-023-02173-7</w:t>
      </w:r>
    </w:p>
    <w:p w14:paraId="3B348925" w14:textId="77777777" w:rsidR="005F0BE0" w:rsidRPr="005F0BE0" w:rsidRDefault="005F0BE0" w:rsidP="005F0BE0">
      <w:pPr>
        <w:pStyle w:val="Literaturverzeichnis"/>
        <w:rPr>
          <w:rFonts w:cs="Calibri"/>
          <w:lang w:val="de-DE"/>
        </w:rPr>
      </w:pPr>
      <w:r w:rsidRPr="005F0BE0">
        <w:rPr>
          <w:rFonts w:cs="Calibri"/>
        </w:rPr>
        <w:t xml:space="preserve">Ophardt, D., &amp; Thiel, F. (2013). </w:t>
      </w:r>
      <w:r w:rsidRPr="005F0BE0">
        <w:rPr>
          <w:rFonts w:cs="Calibri"/>
          <w:i/>
          <w:iCs/>
          <w:lang w:val="de-DE"/>
        </w:rPr>
        <w:t>Klassenmanagement: Ein Handbuch für Studium und Praxis</w:t>
      </w:r>
      <w:r w:rsidRPr="005F0BE0">
        <w:rPr>
          <w:rFonts w:cs="Calibri"/>
          <w:lang w:val="de-DE"/>
        </w:rPr>
        <w:t>. Kohlhammer Verlag.</w:t>
      </w:r>
    </w:p>
    <w:p w14:paraId="697E1A05" w14:textId="77777777" w:rsidR="005F0BE0" w:rsidRPr="005F0BE0" w:rsidRDefault="005F0BE0" w:rsidP="005F0BE0">
      <w:pPr>
        <w:pStyle w:val="Literaturverzeichnis"/>
        <w:rPr>
          <w:rFonts w:cs="Calibri"/>
          <w:lang w:val="de-DE"/>
        </w:rPr>
      </w:pPr>
      <w:r w:rsidRPr="005F0BE0">
        <w:rPr>
          <w:rFonts w:cs="Calibri"/>
          <w:lang w:val="de-DE"/>
        </w:rPr>
        <w:t xml:space="preserve">Rauner, F. (Ed.). (2005). </w:t>
      </w:r>
      <w:r w:rsidRPr="005F0BE0">
        <w:rPr>
          <w:rFonts w:cs="Calibri"/>
          <w:i/>
          <w:iCs/>
          <w:lang w:val="de-DE"/>
        </w:rPr>
        <w:t>Handbuch Berufsbildungsforschung.</w:t>
      </w:r>
      <w:r w:rsidRPr="005F0BE0">
        <w:rPr>
          <w:rFonts w:cs="Calibri"/>
          <w:lang w:val="de-DE"/>
        </w:rPr>
        <w:t xml:space="preserve"> Bertelsmann.</w:t>
      </w:r>
    </w:p>
    <w:p w14:paraId="25B919E5" w14:textId="77777777" w:rsidR="005F0BE0" w:rsidRPr="005F0BE0" w:rsidRDefault="005F0BE0" w:rsidP="005F0BE0">
      <w:pPr>
        <w:pStyle w:val="Literaturverzeichnis"/>
        <w:rPr>
          <w:rFonts w:cs="Calibri"/>
        </w:rPr>
      </w:pPr>
      <w:r w:rsidRPr="005F0BE0">
        <w:rPr>
          <w:rFonts w:cs="Calibri"/>
          <w:lang w:val="de-DE"/>
        </w:rPr>
        <w:t xml:space="preserve">RStudio Team. </w:t>
      </w:r>
      <w:r w:rsidRPr="005F0BE0">
        <w:rPr>
          <w:rFonts w:cs="Calibri"/>
        </w:rPr>
        <w:t xml:space="preserve">(2020). </w:t>
      </w:r>
      <w:r w:rsidRPr="005F0BE0">
        <w:rPr>
          <w:rFonts w:cs="Calibri"/>
          <w:i/>
          <w:iCs/>
        </w:rPr>
        <w:t>RStudio: Integrated Development Environment for R</w:t>
      </w:r>
      <w:r w:rsidRPr="005F0BE0">
        <w:rPr>
          <w:rFonts w:cs="Calibri"/>
        </w:rPr>
        <w:t>. RStudio, PBC.</w:t>
      </w:r>
    </w:p>
    <w:p w14:paraId="49232522" w14:textId="77777777" w:rsidR="005F0BE0" w:rsidRPr="005F0BE0" w:rsidRDefault="005F0BE0" w:rsidP="005F0BE0">
      <w:pPr>
        <w:pStyle w:val="Literaturverzeichnis"/>
        <w:rPr>
          <w:rFonts w:cs="Calibri"/>
        </w:rPr>
      </w:pPr>
      <w:r w:rsidRPr="005F0BE0">
        <w:rPr>
          <w:rFonts w:cs="Calibri"/>
          <w:lang w:val="de-DE"/>
        </w:rPr>
        <w:t xml:space="preserve">Rüedi, J. (2014). Zur Bedeutung positive Beziehungen für die Klassenführung und den Umgang mit Unterrichtsstörungen. </w:t>
      </w:r>
      <w:r w:rsidRPr="005F0BE0">
        <w:rPr>
          <w:rFonts w:cs="Calibri"/>
          <w:i/>
          <w:iCs/>
        </w:rPr>
        <w:t>Beziehungen in Schule Und Unterricht. Teil</w:t>
      </w:r>
      <w:r w:rsidRPr="005F0BE0">
        <w:rPr>
          <w:rFonts w:cs="Calibri"/>
        </w:rPr>
        <w:t xml:space="preserve">, </w:t>
      </w:r>
      <w:r w:rsidRPr="005F0BE0">
        <w:rPr>
          <w:rFonts w:cs="Calibri"/>
          <w:i/>
          <w:iCs/>
        </w:rPr>
        <w:t>3</w:t>
      </w:r>
      <w:r w:rsidRPr="005F0BE0">
        <w:rPr>
          <w:rFonts w:cs="Calibri"/>
        </w:rPr>
        <w:t>, 105–126.</w:t>
      </w:r>
    </w:p>
    <w:p w14:paraId="64545301" w14:textId="77777777" w:rsidR="005F0BE0" w:rsidRPr="005F0BE0" w:rsidRDefault="005F0BE0" w:rsidP="005F0BE0">
      <w:pPr>
        <w:pStyle w:val="Literaturverzeichnis"/>
        <w:rPr>
          <w:rFonts w:cs="Calibri"/>
        </w:rPr>
      </w:pPr>
      <w:r w:rsidRPr="005F0BE0">
        <w:rPr>
          <w:rFonts w:cs="Calibri"/>
        </w:rPr>
        <w:t xml:space="preserve">Shulman, L. (1987). Knowledge and Teaching:Foundations of the New Reform. </w:t>
      </w:r>
      <w:r w:rsidRPr="005F0BE0">
        <w:rPr>
          <w:rFonts w:cs="Calibri"/>
          <w:i/>
          <w:iCs/>
        </w:rPr>
        <w:t>Harvard Educational Review</w:t>
      </w:r>
      <w:r w:rsidRPr="005F0BE0">
        <w:rPr>
          <w:rFonts w:cs="Calibri"/>
        </w:rPr>
        <w:t xml:space="preserve">, </w:t>
      </w:r>
      <w:r w:rsidRPr="005F0BE0">
        <w:rPr>
          <w:rFonts w:cs="Calibri"/>
          <w:i/>
          <w:iCs/>
        </w:rPr>
        <w:t>57</w:t>
      </w:r>
      <w:r w:rsidRPr="005F0BE0">
        <w:rPr>
          <w:rFonts w:cs="Calibri"/>
        </w:rPr>
        <w:t>(1), 1–23. https://doi.org/10.17763/haer.57.1.j463w79r56455411</w:t>
      </w:r>
    </w:p>
    <w:p w14:paraId="12013C69" w14:textId="77777777" w:rsidR="005F0BE0" w:rsidRPr="005F0BE0" w:rsidRDefault="005F0BE0" w:rsidP="005F0BE0">
      <w:pPr>
        <w:pStyle w:val="Literaturverzeichnis"/>
        <w:rPr>
          <w:rFonts w:cs="Calibri"/>
        </w:rPr>
      </w:pPr>
      <w:r w:rsidRPr="005F0BE0">
        <w:rPr>
          <w:rFonts w:cs="Calibri"/>
        </w:rPr>
        <w:t xml:space="preserve">Tobii AB. (2024). </w:t>
      </w:r>
      <w:r w:rsidRPr="005F0BE0">
        <w:rPr>
          <w:rFonts w:cs="Calibri"/>
          <w:i/>
          <w:iCs/>
        </w:rPr>
        <w:t>Tobii Pro Lab User Manual v 24.21</w:t>
      </w:r>
      <w:r w:rsidRPr="005F0BE0">
        <w:rPr>
          <w:rFonts w:cs="Calibri"/>
        </w:rPr>
        <w:t>. https://go.tobii.com/tobii_pro_lab_user_manual</w:t>
      </w:r>
    </w:p>
    <w:p w14:paraId="547742F6" w14:textId="77777777" w:rsidR="005F0BE0" w:rsidRPr="005F0BE0" w:rsidRDefault="005F0BE0" w:rsidP="005F0BE0">
      <w:pPr>
        <w:pStyle w:val="Literaturverzeichnis"/>
        <w:rPr>
          <w:rFonts w:cs="Calibri"/>
          <w:lang w:val="de-DE"/>
        </w:rPr>
      </w:pPr>
      <w:r w:rsidRPr="005F0BE0">
        <w:rPr>
          <w:rFonts w:cs="Calibri"/>
          <w:lang w:val="de-DE"/>
        </w:rPr>
        <w:t xml:space="preserve">Van Den Bogert, N., Van Bruggen, J., Kostons, D., &amp; Jochems, W. (2014). </w:t>
      </w:r>
      <w:r w:rsidRPr="005F0BE0">
        <w:rPr>
          <w:rFonts w:cs="Calibri"/>
        </w:rPr>
        <w:t xml:space="preserve">First steps into understanding teachers’ visual perception of classroom events. </w:t>
      </w:r>
      <w:r w:rsidRPr="005F0BE0">
        <w:rPr>
          <w:rFonts w:cs="Calibri"/>
          <w:i/>
          <w:iCs/>
          <w:lang w:val="de-DE"/>
        </w:rPr>
        <w:t>Teaching and Teacher Education</w:t>
      </w:r>
      <w:r w:rsidRPr="005F0BE0">
        <w:rPr>
          <w:rFonts w:cs="Calibri"/>
          <w:lang w:val="de-DE"/>
        </w:rPr>
        <w:t xml:space="preserve">, </w:t>
      </w:r>
      <w:r w:rsidRPr="005F0BE0">
        <w:rPr>
          <w:rFonts w:cs="Calibri"/>
          <w:i/>
          <w:iCs/>
          <w:lang w:val="de-DE"/>
        </w:rPr>
        <w:t>37</w:t>
      </w:r>
      <w:r w:rsidRPr="005F0BE0">
        <w:rPr>
          <w:rFonts w:cs="Calibri"/>
          <w:lang w:val="de-DE"/>
        </w:rPr>
        <w:t>, 208–216. https://doi.org/10.1016/j.tate.2013.09.001</w:t>
      </w:r>
    </w:p>
    <w:p w14:paraId="7E50C7C2" w14:textId="77777777" w:rsidR="005F0BE0" w:rsidRPr="005F0BE0" w:rsidRDefault="005F0BE0" w:rsidP="005F0BE0">
      <w:pPr>
        <w:pStyle w:val="Literaturverzeichnis"/>
        <w:rPr>
          <w:rFonts w:cs="Calibri"/>
          <w:lang w:val="de-DE"/>
        </w:rPr>
      </w:pPr>
      <w:r w:rsidRPr="005F0BE0">
        <w:rPr>
          <w:rFonts w:cs="Calibri"/>
          <w:lang w:val="de-DE"/>
        </w:rPr>
        <w:lastRenderedPageBreak/>
        <w:t xml:space="preserve">Voss, T., Kunter, M., Seiz, J., Hoehne, V., &amp; Baumert, J. (2014). Die Bedeutung des pädagogisch-psychologischen Wissens von angehenden Lehrkräften für die Unterrichtsqualität. </w:t>
      </w:r>
      <w:r w:rsidRPr="005F0BE0">
        <w:rPr>
          <w:rFonts w:cs="Calibri"/>
          <w:i/>
          <w:iCs/>
          <w:lang w:val="de-DE"/>
        </w:rPr>
        <w:t>Zeitschrift für Pädagogik</w:t>
      </w:r>
      <w:r w:rsidRPr="005F0BE0">
        <w:rPr>
          <w:rFonts w:cs="Calibri"/>
          <w:lang w:val="de-DE"/>
        </w:rPr>
        <w:t xml:space="preserve">, </w:t>
      </w:r>
      <w:r w:rsidRPr="005F0BE0">
        <w:rPr>
          <w:rFonts w:cs="Calibri"/>
          <w:i/>
          <w:iCs/>
          <w:lang w:val="de-DE"/>
        </w:rPr>
        <w:t>60</w:t>
      </w:r>
      <w:r w:rsidRPr="005F0BE0">
        <w:rPr>
          <w:rFonts w:cs="Calibri"/>
          <w:lang w:val="de-DE"/>
        </w:rPr>
        <w:t>(2), 184–201.</w:t>
      </w:r>
    </w:p>
    <w:p w14:paraId="7C0C48FF" w14:textId="77777777" w:rsidR="005F0BE0" w:rsidRPr="005F0BE0" w:rsidRDefault="005F0BE0" w:rsidP="005F0BE0">
      <w:pPr>
        <w:pStyle w:val="Literaturverzeichnis"/>
        <w:rPr>
          <w:rFonts w:cs="Calibri"/>
        </w:rPr>
      </w:pPr>
      <w:r w:rsidRPr="005F0BE0">
        <w:rPr>
          <w:rFonts w:cs="Calibri"/>
          <w:lang w:val="de-DE"/>
        </w:rPr>
        <w:t xml:space="preserve">Wickham, H. (2016). </w:t>
      </w:r>
      <w:r w:rsidRPr="005F0BE0">
        <w:rPr>
          <w:rFonts w:cs="Calibri"/>
          <w:i/>
          <w:iCs/>
          <w:lang w:val="de-DE"/>
        </w:rPr>
        <w:t>ggplot2: Elegant Graphics for Data Analysis</w:t>
      </w:r>
      <w:r w:rsidRPr="005F0BE0">
        <w:rPr>
          <w:rFonts w:cs="Calibri"/>
          <w:lang w:val="de-DE"/>
        </w:rPr>
        <w:t xml:space="preserve">. </w:t>
      </w:r>
      <w:r w:rsidRPr="005F0BE0">
        <w:rPr>
          <w:rFonts w:cs="Calibri"/>
        </w:rPr>
        <w:t>Springer-Verlag New York. https://doi.org/10.1007/978-0-387-98141-3</w:t>
      </w:r>
    </w:p>
    <w:p w14:paraId="7E5951A6" w14:textId="77777777" w:rsidR="005F0BE0" w:rsidRPr="005F0BE0" w:rsidRDefault="005F0BE0" w:rsidP="005F0BE0">
      <w:pPr>
        <w:pStyle w:val="Literaturverzeichnis"/>
        <w:rPr>
          <w:rFonts w:cs="Calibri"/>
        </w:rPr>
      </w:pPr>
      <w:r w:rsidRPr="005F0BE0">
        <w:rPr>
          <w:rFonts w:cs="Calibri"/>
        </w:rPr>
        <w:t xml:space="preserve">Wolff, C. E., Jarodzka, H., &amp; Boshuizen, H. P. A. (2017). See and tell: Differences between expert and novice teachers’ interpretations of problematic classroom management events. </w:t>
      </w:r>
      <w:r w:rsidRPr="005F0BE0">
        <w:rPr>
          <w:rFonts w:cs="Calibri"/>
          <w:i/>
          <w:iCs/>
        </w:rPr>
        <w:t>Teaching and Teacher Education</w:t>
      </w:r>
      <w:r w:rsidRPr="005F0BE0">
        <w:rPr>
          <w:rFonts w:cs="Calibri"/>
        </w:rPr>
        <w:t xml:space="preserve">, </w:t>
      </w:r>
      <w:r w:rsidRPr="005F0BE0">
        <w:rPr>
          <w:rFonts w:cs="Calibri"/>
          <w:i/>
          <w:iCs/>
        </w:rPr>
        <w:t>66</w:t>
      </w:r>
      <w:r w:rsidRPr="005F0BE0">
        <w:rPr>
          <w:rFonts w:cs="Calibri"/>
        </w:rPr>
        <w:t>, 295–308. https://doi.org/10.1016/j.tate.2017.04.015</w:t>
      </w:r>
    </w:p>
    <w:p w14:paraId="439E469D" w14:textId="77777777" w:rsidR="005F0BE0" w:rsidRPr="005F0BE0" w:rsidRDefault="005F0BE0" w:rsidP="005F0BE0">
      <w:pPr>
        <w:pStyle w:val="Literaturverzeichnis"/>
        <w:rPr>
          <w:rFonts w:cs="Calibri"/>
          <w:lang w:val="de-DE"/>
        </w:rPr>
      </w:pPr>
      <w:r w:rsidRPr="005F0BE0">
        <w:rPr>
          <w:rFonts w:cs="Calibri"/>
        </w:rPr>
        <w:t xml:space="preserve">Wolff, C. E., Jarodzka, H., &amp; Boshuizen, H. P. A. (2021). Classroom management scripts: A theoretical model contrasting expert and novice teachers’ knowledge and awareness of classroom events. </w:t>
      </w:r>
      <w:r w:rsidRPr="005F0BE0">
        <w:rPr>
          <w:rFonts w:cs="Calibri"/>
          <w:i/>
          <w:iCs/>
          <w:lang w:val="de-DE"/>
        </w:rPr>
        <w:t>Educational Psychology Review</w:t>
      </w:r>
      <w:r w:rsidRPr="005F0BE0">
        <w:rPr>
          <w:rFonts w:cs="Calibri"/>
          <w:lang w:val="de-DE"/>
        </w:rPr>
        <w:t xml:space="preserve">, </w:t>
      </w:r>
      <w:r w:rsidRPr="005F0BE0">
        <w:rPr>
          <w:rFonts w:cs="Calibri"/>
          <w:i/>
          <w:iCs/>
          <w:lang w:val="de-DE"/>
        </w:rPr>
        <w:t>33</w:t>
      </w:r>
      <w:r w:rsidRPr="005F0BE0">
        <w:rPr>
          <w:rFonts w:cs="Calibri"/>
          <w:lang w:val="de-DE"/>
        </w:rPr>
        <w:t>(1), 131–148. https://doi.org/10.1007/s10648-020-09542-0</w:t>
      </w:r>
    </w:p>
    <w:p w14:paraId="2A07D1DF" w14:textId="77777777" w:rsidR="005F0BE0" w:rsidRPr="005F0BE0" w:rsidRDefault="005F0BE0" w:rsidP="005F0BE0">
      <w:pPr>
        <w:pStyle w:val="Literaturverzeichnis"/>
        <w:rPr>
          <w:rFonts w:cs="Calibri"/>
          <w:lang w:val="de-DE"/>
        </w:rPr>
      </w:pPr>
      <w:r w:rsidRPr="005F0BE0">
        <w:rPr>
          <w:rFonts w:cs="Calibri"/>
          <w:lang w:val="de-DE"/>
        </w:rPr>
        <w:t xml:space="preserve">Zierer, K. (2015). </w:t>
      </w:r>
      <w:r w:rsidRPr="005F0BE0">
        <w:rPr>
          <w:rFonts w:cs="Calibri"/>
          <w:i/>
          <w:iCs/>
          <w:lang w:val="de-DE"/>
        </w:rPr>
        <w:t>Jahrbuch für Allgemeine Didaktik 2015: Thementeil: Klassenmanagement / Klassenführung - Perspektiven, Befunde, Kontroversen</w:t>
      </w:r>
      <w:r w:rsidRPr="005F0BE0">
        <w:rPr>
          <w:rFonts w:cs="Calibri"/>
          <w:lang w:val="de-DE"/>
        </w:rPr>
        <w:t>. wbv Media GmbH &amp; Company KG.</w:t>
      </w:r>
    </w:p>
    <w:p w14:paraId="4CCAF52A" w14:textId="487FCE16" w:rsidR="00BA71EF" w:rsidRPr="00357FA5" w:rsidRDefault="00CB5001" w:rsidP="007C555E">
      <w:pPr>
        <w:ind w:firstLine="0"/>
        <w:rPr>
          <w:rFonts w:ascii="Times New Roman" w:hAnsi="Times New Roman" w:cs="Times New Roman"/>
          <w:color w:val="DBDBDB" w:themeColor="accent3" w:themeTint="66"/>
          <w:sz w:val="24"/>
          <w:szCs w:val="24"/>
          <w:lang w:val="de-DE"/>
        </w:rPr>
      </w:pPr>
      <w:r>
        <w:rPr>
          <w:rFonts w:ascii="Times New Roman" w:hAnsi="Times New Roman" w:cs="Times New Roman"/>
          <w:color w:val="DBDBDB" w:themeColor="accent3" w:themeTint="66"/>
          <w:sz w:val="24"/>
          <w:szCs w:val="24"/>
        </w:rPr>
        <w:fldChar w:fldCharType="end"/>
      </w:r>
    </w:p>
    <w:p w14:paraId="03DB06F3" w14:textId="77777777" w:rsidR="00BA71EF" w:rsidRPr="00357FA5" w:rsidRDefault="00BA71EF">
      <w:pPr>
        <w:tabs>
          <w:tab w:val="clear" w:pos="3068"/>
        </w:tabs>
        <w:spacing w:after="160" w:line="259" w:lineRule="auto"/>
        <w:ind w:firstLine="0"/>
        <w:rPr>
          <w:rFonts w:ascii="Times New Roman" w:hAnsi="Times New Roman" w:cs="Times New Roman"/>
          <w:color w:val="DBDBDB" w:themeColor="accent3" w:themeTint="66"/>
          <w:sz w:val="24"/>
          <w:szCs w:val="24"/>
          <w:lang w:val="de-DE"/>
        </w:rPr>
      </w:pPr>
      <w:r w:rsidRPr="00357FA5">
        <w:rPr>
          <w:rFonts w:ascii="Times New Roman" w:hAnsi="Times New Roman" w:cs="Times New Roman"/>
          <w:color w:val="DBDBDB" w:themeColor="accent3" w:themeTint="66"/>
          <w:sz w:val="24"/>
          <w:szCs w:val="24"/>
          <w:lang w:val="de-DE"/>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Tobii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3-25T11:37:00Z" w:initials="MK">
    <w:p w14:paraId="11DE2606" w14:textId="0ED88526" w:rsidR="00F909D3" w:rsidRPr="00F909D3" w:rsidRDefault="00F909D3">
      <w:pPr>
        <w:pStyle w:val="Kommentartext"/>
        <w:rPr>
          <w:lang w:val="de-DE"/>
        </w:rPr>
      </w:pPr>
      <w:r>
        <w:rPr>
          <w:rStyle w:val="Kommentarzeichen"/>
        </w:rPr>
        <w:annotationRef/>
      </w:r>
      <w:r w:rsidRPr="00F909D3">
        <w:rPr>
          <w:lang w:val="de-DE"/>
        </w:rPr>
        <w:t>Ich weiß nicht, ob d</w:t>
      </w:r>
      <w:r>
        <w:rPr>
          <w:lang w:val="de-DE"/>
        </w:rPr>
        <w:t xml:space="preserve">as überhaupt wichtig ist. Ich habe es mit aufgenommen, um </w:t>
      </w:r>
      <w:r w:rsidR="00C60580">
        <w:rPr>
          <w:lang w:val="de-DE"/>
        </w:rPr>
        <w:t xml:space="preserve">bereits einen Bezug </w:t>
      </w:r>
      <w:r w:rsidR="009B6C83">
        <w:rPr>
          <w:lang w:val="de-DE"/>
        </w:rPr>
        <w:t xml:space="preserve">zu </w:t>
      </w:r>
      <w:r>
        <w:rPr>
          <w:lang w:val="de-DE"/>
        </w:rPr>
        <w:t>unsere</w:t>
      </w:r>
      <w:r w:rsidR="00C60580">
        <w:rPr>
          <w:lang w:val="de-DE"/>
        </w:rPr>
        <w:t>n</w:t>
      </w:r>
      <w:r>
        <w:rPr>
          <w:lang w:val="de-DE"/>
        </w:rPr>
        <w:t xml:space="preserve"> Ratingskalen </w:t>
      </w:r>
      <w:r w:rsidR="00C60580">
        <w:rPr>
          <w:lang w:val="de-DE"/>
        </w:rPr>
        <w:t>zu haben, die ja auf die subjektive</w:t>
      </w:r>
      <w:r w:rsidR="0061787C">
        <w:rPr>
          <w:lang w:val="de-DE"/>
        </w:rPr>
        <w:t xml:space="preserve"> Selbsteinschätzung und</w:t>
      </w:r>
      <w:r w:rsidR="00C60580">
        <w:rPr>
          <w:lang w:val="de-DE"/>
        </w:rPr>
        <w:t xml:space="preserve"> </w:t>
      </w:r>
      <w:r w:rsidR="0061787C">
        <w:rPr>
          <w:lang w:val="de-DE"/>
        </w:rPr>
        <w:t xml:space="preserve">-erfassung </w:t>
      </w:r>
      <w:r w:rsidR="004D23EA">
        <w:rPr>
          <w:lang w:val="de-DE"/>
        </w:rPr>
        <w:t xml:space="preserve">der </w:t>
      </w:r>
      <w:proofErr w:type="spellStart"/>
      <w:r w:rsidR="004D23EA">
        <w:rPr>
          <w:lang w:val="de-DE"/>
        </w:rPr>
        <w:t>Disruptiveness</w:t>
      </w:r>
      <w:proofErr w:type="spellEnd"/>
      <w:r w:rsidR="004D23EA">
        <w:rPr>
          <w:lang w:val="de-DE"/>
        </w:rPr>
        <w:t xml:space="preserve"> </w:t>
      </w:r>
      <w:r w:rsidR="0061787C">
        <w:rPr>
          <w:lang w:val="de-DE"/>
        </w:rPr>
        <w:t>von Störungen abzielen…</w:t>
      </w:r>
    </w:p>
  </w:comment>
  <w:comment w:id="1" w:author="Deiglmayr, Anne" w:date="2025-03-17T09:07:00Z" w:initials="DA">
    <w:p w14:paraId="5D3565BB" w14:textId="78608731" w:rsidR="008A0AF7" w:rsidRPr="008A0AF7" w:rsidRDefault="008A0AF7">
      <w:pPr>
        <w:pStyle w:val="Kommentartext"/>
        <w:rPr>
          <w:lang w:val="de-DE"/>
        </w:rPr>
      </w:pPr>
      <w:r>
        <w:rPr>
          <w:rStyle w:val="Kommentarzeichen"/>
        </w:rPr>
        <w:annotationRef/>
      </w:r>
      <w:r w:rsidRPr="008A0AF7">
        <w:rPr>
          <w:lang w:val="de-DE"/>
        </w:rPr>
        <w:t>Kannst du diesen Abschnitt g</w:t>
      </w:r>
      <w:r>
        <w:rPr>
          <w:lang w:val="de-DE"/>
        </w:rPr>
        <w:t xml:space="preserve">gf. auch an den drei „Säulen“ in Fig 1 orientieren? </w:t>
      </w:r>
      <w:r w:rsidRPr="008A0AF7">
        <w:rPr>
          <w:lang w:val="de-DE"/>
        </w:rPr>
        <w:t xml:space="preserve">Also: </w:t>
      </w:r>
      <w:proofErr w:type="spellStart"/>
      <w:r w:rsidRPr="008A0AF7">
        <w:rPr>
          <w:lang w:val="de-DE"/>
        </w:rPr>
        <w:t>differences</w:t>
      </w:r>
      <w:proofErr w:type="spellEnd"/>
      <w:r w:rsidRPr="008A0AF7">
        <w:rPr>
          <w:lang w:val="de-DE"/>
        </w:rPr>
        <w:t xml:space="preserve"> in </w:t>
      </w:r>
      <w:proofErr w:type="spellStart"/>
      <w:r>
        <w:rPr>
          <w:lang w:val="de-DE"/>
        </w:rPr>
        <w:t>k</w:t>
      </w:r>
      <w:r w:rsidRPr="008A0AF7">
        <w:rPr>
          <w:lang w:val="de-DE"/>
        </w:rPr>
        <w:t>nowledge</w:t>
      </w:r>
      <w:proofErr w:type="spellEnd"/>
      <w:r w:rsidRPr="008A0AF7">
        <w:rPr>
          <w:lang w:val="de-DE"/>
        </w:rPr>
        <w:t xml:space="preserve">, </w:t>
      </w:r>
      <w:proofErr w:type="spellStart"/>
      <w:r w:rsidRPr="008A0AF7">
        <w:rPr>
          <w:lang w:val="de-DE"/>
        </w:rPr>
        <w:t>differences</w:t>
      </w:r>
      <w:proofErr w:type="spellEnd"/>
      <w:r w:rsidRPr="008A0AF7">
        <w:rPr>
          <w:lang w:val="de-DE"/>
        </w:rPr>
        <w:t xml:space="preserve"> in professional Vision, </w:t>
      </w:r>
      <w:proofErr w:type="spellStart"/>
      <w:r w:rsidRPr="008A0AF7">
        <w:rPr>
          <w:lang w:val="de-DE"/>
        </w:rPr>
        <w:t>differences</w:t>
      </w:r>
      <w:proofErr w:type="spellEnd"/>
      <w:r w:rsidRPr="008A0AF7">
        <w:rPr>
          <w:lang w:val="de-DE"/>
        </w:rPr>
        <w:t xml:space="preserve"> in observable </w:t>
      </w:r>
      <w:proofErr w:type="spellStart"/>
      <w:r w:rsidRPr="008A0AF7">
        <w:rPr>
          <w:lang w:val="de-DE"/>
        </w:rPr>
        <w:t>beha</w:t>
      </w:r>
      <w:r>
        <w:rPr>
          <w:lang w:val="de-DE"/>
        </w:rPr>
        <w:t>v</w:t>
      </w:r>
      <w:r w:rsidRPr="008A0AF7">
        <w:rPr>
          <w:lang w:val="de-DE"/>
        </w:rPr>
        <w:t>iour</w:t>
      </w:r>
      <w:proofErr w:type="spellEnd"/>
      <w:r w:rsidRPr="008A0AF7">
        <w:rPr>
          <w:lang w:val="de-DE"/>
        </w:rPr>
        <w:t xml:space="preserve"> (nicht zwingend in diese Reihenfolge, aber mi</w:t>
      </w:r>
      <w:r>
        <w:rPr>
          <w:lang w:val="de-DE"/>
        </w:rPr>
        <w:t>t klarem Bezug zu oben)</w:t>
      </w:r>
    </w:p>
  </w:comment>
  <w:comment w:id="2" w:author="Deiglmayr, Anne" w:date="2025-03-17T09:10:00Z" w:initials="DA">
    <w:p w14:paraId="4B8D0C3F" w14:textId="2B7DE8F4" w:rsidR="008A0AF7" w:rsidRPr="008A0AF7" w:rsidRDefault="008A0AF7">
      <w:pPr>
        <w:pStyle w:val="Kommentartext"/>
        <w:rPr>
          <w:lang w:val="de-DE"/>
        </w:rPr>
      </w:pPr>
      <w:r>
        <w:rPr>
          <w:rStyle w:val="Kommentarzeichen"/>
        </w:rPr>
        <w:annotationRef/>
      </w:r>
      <w:r w:rsidRPr="008A0AF7">
        <w:rPr>
          <w:lang w:val="de-DE"/>
        </w:rPr>
        <w:t>Ggf. Kannst du auch a</w:t>
      </w:r>
      <w:r>
        <w:rPr>
          <w:lang w:val="de-DE"/>
        </w:rPr>
        <w:t>uf die anderen beiden „Säulen“ (</w:t>
      </w:r>
      <w:proofErr w:type="spellStart"/>
      <w:r>
        <w:rPr>
          <w:lang w:val="de-DE"/>
        </w:rPr>
        <w:t>knowledge</w:t>
      </w:r>
      <w:proofErr w:type="spellEnd"/>
      <w:r>
        <w:rPr>
          <w:lang w:val="de-DE"/>
        </w:rPr>
        <w:t xml:space="preserve">; observable </w:t>
      </w:r>
      <w:proofErr w:type="spellStart"/>
      <w:r>
        <w:rPr>
          <w:lang w:val="de-DE"/>
        </w:rPr>
        <w:t>behaviour</w:t>
      </w:r>
      <w:proofErr w:type="spellEnd"/>
      <w:r>
        <w:rPr>
          <w:lang w:val="de-DE"/>
        </w:rPr>
        <w:t xml:space="preserve">) eingehen und etwas zu deren </w:t>
      </w:r>
      <w:proofErr w:type="spellStart"/>
      <w:r>
        <w:rPr>
          <w:lang w:val="de-DE"/>
        </w:rPr>
        <w:t>assessment</w:t>
      </w:r>
      <w:proofErr w:type="spellEnd"/>
      <w:r>
        <w:rPr>
          <w:lang w:val="de-DE"/>
        </w:rPr>
        <w:t xml:space="preserve"> sagen? Zumindest zum Assessment des CM </w:t>
      </w:r>
      <w:proofErr w:type="spellStart"/>
      <w:r>
        <w:rPr>
          <w:lang w:val="de-DE"/>
        </w:rPr>
        <w:t>Kowledge</w:t>
      </w:r>
      <w:proofErr w:type="spellEnd"/>
      <w:r>
        <w:rPr>
          <w:lang w:val="de-DE"/>
        </w:rPr>
        <w:t xml:space="preserve">, denn das </w:t>
      </w:r>
      <w:proofErr w:type="spellStart"/>
      <w:r>
        <w:rPr>
          <w:lang w:val="de-DE"/>
        </w:rPr>
        <w:t>berauchst</w:t>
      </w:r>
      <w:proofErr w:type="spellEnd"/>
      <w:r>
        <w:rPr>
          <w:lang w:val="de-DE"/>
        </w:rPr>
        <w:t xml:space="preserve"> du ja für deine Studie… </w:t>
      </w:r>
    </w:p>
  </w:comment>
  <w:comment w:id="3" w:author="Deiglmayr, Anne" w:date="2025-03-17T09:11:00Z" w:initials="DA">
    <w:p w14:paraId="185E9EB4" w14:textId="2D7C65C8" w:rsidR="008A0AF7" w:rsidRPr="008A0AF7" w:rsidRDefault="008A0AF7">
      <w:pPr>
        <w:pStyle w:val="Kommentartext"/>
        <w:rPr>
          <w:lang w:val="de-DE"/>
        </w:rPr>
      </w:pPr>
      <w:r>
        <w:rPr>
          <w:rStyle w:val="Kommentarzeichen"/>
        </w:rPr>
        <w:annotationRef/>
      </w:r>
      <w:r w:rsidRPr="008A0AF7">
        <w:rPr>
          <w:lang w:val="de-DE"/>
        </w:rPr>
        <w:t xml:space="preserve">Zwei </w:t>
      </w:r>
      <w:proofErr w:type="spellStart"/>
      <w:r w:rsidRPr="008A0AF7">
        <w:rPr>
          <w:lang w:val="de-DE"/>
        </w:rPr>
        <w:t>Möglickeiten</w:t>
      </w:r>
      <w:proofErr w:type="spellEnd"/>
      <w:r w:rsidRPr="008A0AF7">
        <w:rPr>
          <w:lang w:val="de-DE"/>
        </w:rPr>
        <w:t>: Assessment in d</w:t>
      </w:r>
      <w:r>
        <w:rPr>
          <w:lang w:val="de-DE"/>
        </w:rPr>
        <w:t xml:space="preserve">as vorherige Teilkapitel integrieren ODER ein eigenes </w:t>
      </w:r>
      <w:proofErr w:type="spellStart"/>
      <w:r>
        <w:rPr>
          <w:lang w:val="de-DE"/>
        </w:rPr>
        <w:t>Assessing</w:t>
      </w:r>
      <w:proofErr w:type="spellEnd"/>
      <w:r>
        <w:rPr>
          <w:lang w:val="de-DE"/>
        </w:rPr>
        <w:t xml:space="preserve"> cm </w:t>
      </w:r>
      <w:proofErr w:type="spellStart"/>
      <w:r>
        <w:rPr>
          <w:lang w:val="de-DE"/>
        </w:rPr>
        <w:t>competencies</w:t>
      </w:r>
      <w:proofErr w:type="spellEnd"/>
      <w:r>
        <w:rPr>
          <w:lang w:val="de-DE"/>
        </w:rPr>
        <w:t xml:space="preserve"> Teilkapitel, in dem zumindest Knowledge und professional </w:t>
      </w:r>
      <w:proofErr w:type="spellStart"/>
      <w:r>
        <w:rPr>
          <w:lang w:val="de-DE"/>
        </w:rPr>
        <w:t>vision</w:t>
      </w:r>
      <w:proofErr w:type="spellEnd"/>
      <w:r>
        <w:rPr>
          <w:lang w:val="de-DE"/>
        </w:rPr>
        <w:t xml:space="preserve"> abgehandelt werden</w:t>
      </w:r>
    </w:p>
  </w:comment>
  <w:comment w:id="4" w:author="Deiglmayr, Anne" w:date="2025-03-17T09:12:00Z" w:initials="DA">
    <w:p w14:paraId="0CEE4455" w14:textId="5C1C4376" w:rsidR="008A0AF7" w:rsidRPr="008A0AF7" w:rsidRDefault="008A0AF7">
      <w:pPr>
        <w:pStyle w:val="Kommentartext"/>
        <w:rPr>
          <w:lang w:val="de-DE"/>
        </w:rPr>
      </w:pPr>
      <w:r>
        <w:rPr>
          <w:rStyle w:val="Kommentarzeichen"/>
        </w:rPr>
        <w:annotationRef/>
      </w:r>
      <w:r w:rsidRPr="008A0AF7">
        <w:rPr>
          <w:lang w:val="de-DE"/>
        </w:rPr>
        <w:t>Abgrenzung zum vorherigen Teilkapitel w</w:t>
      </w:r>
      <w:r>
        <w:rPr>
          <w:lang w:val="de-DE"/>
        </w:rPr>
        <w:t>ird nicht deutlich genug. Unterkapitel machen? Integrieren?</w:t>
      </w:r>
      <w:r w:rsidR="00B954B5">
        <w:rPr>
          <w:lang w:val="de-DE"/>
        </w:rPr>
        <w:t xml:space="preserve">  Inhaltlich auf jeden Fall sehr wichtig!</w:t>
      </w:r>
    </w:p>
  </w:comment>
  <w:comment w:id="18" w:author="Mandy Klatt" w:date="2025-02-14T18:05:00Z" w:initials="MK">
    <w:p w14:paraId="7508995E" w14:textId="25B60722"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r w:rsidR="00D97E3F">
        <w:rPr>
          <w:lang w:val="de-DE"/>
        </w:rPr>
        <w:t>hingehört</w:t>
      </w:r>
      <w:r>
        <w:rPr>
          <w:lang w:val="de-DE"/>
        </w:rPr>
        <w:t xml:space="preserve">… </w:t>
      </w:r>
      <w:r w:rsidR="00D97E3F">
        <w:rPr>
          <w:lang w:val="de-DE"/>
        </w:rPr>
        <w:t>Ich empfinde sie eigentlich als zu</w:t>
      </w:r>
      <w:r>
        <w:rPr>
          <w:lang w:val="de-DE"/>
        </w:rPr>
        <w:t xml:space="preserve"> wichtig, als dass sie in einer Fußnote erwähnt wird</w:t>
      </w:r>
      <w:r w:rsidR="00D97E3F">
        <w:rPr>
          <w:lang w:val="de-DE"/>
        </w:rPr>
        <w:t>.</w:t>
      </w:r>
    </w:p>
  </w:comment>
  <w:comment w:id="19" w:author="Deiglmayr, Anne" w:date="2025-03-17T08:43:00Z" w:initials="DA">
    <w:p w14:paraId="53F9F15D" w14:textId="55F91A2E" w:rsidR="003A4EEE" w:rsidRPr="003A4EEE" w:rsidRDefault="003A4EEE">
      <w:pPr>
        <w:pStyle w:val="Kommentartext"/>
        <w:rPr>
          <w:lang w:val="de-DE"/>
        </w:rPr>
      </w:pPr>
      <w:r>
        <w:rPr>
          <w:rStyle w:val="Kommentarzeichen"/>
        </w:rPr>
        <w:annotationRef/>
      </w:r>
      <w:r>
        <w:rPr>
          <w:lang w:val="de-DE"/>
        </w:rPr>
        <w:t>Ich wäre auch dafür, Fußnoten möglichst zu vermeiden. N</w:t>
      </w:r>
      <w:r w:rsidRPr="003A4EEE">
        <w:rPr>
          <w:lang w:val="de-DE"/>
        </w:rPr>
        <w:t xml:space="preserve">imm </w:t>
      </w:r>
      <w:r>
        <w:rPr>
          <w:lang w:val="de-DE"/>
        </w:rPr>
        <w:t xml:space="preserve">die Info doch hier in den Fließtext. Zum Word Count zählt sie so oder so </w:t>
      </w:r>
      <w:r w:rsidRPr="003A4EEE">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9"/>
          </mc:Choice>
          <mc:Fallback>
            <w:t>😉</w:t>
          </mc:Fallback>
        </mc:AlternateContent>
      </w:r>
    </w:p>
  </w:comment>
  <w:comment w:id="22" w:author="Mandy Klatt" w:date="2025-02-18T14:40:00Z" w:initials="MK">
    <w:p w14:paraId="034C75FF" w14:textId="7D41CDDF" w:rsidR="00EF7C70" w:rsidRPr="00EF7C70" w:rsidRDefault="00EF7C70">
      <w:pPr>
        <w:pStyle w:val="Kommentartext"/>
        <w:rPr>
          <w:lang w:val="de-DE"/>
        </w:rPr>
      </w:pPr>
      <w:r>
        <w:rPr>
          <w:rStyle w:val="Kommentarzeichen"/>
        </w:rPr>
        <w:annotationRef/>
      </w:r>
      <w:r w:rsidRPr="00EF7C70">
        <w:rPr>
          <w:lang w:val="de-DE"/>
        </w:rPr>
        <w:t>K</w:t>
      </w:r>
      <w:r>
        <w:rPr>
          <w:lang w:val="de-DE"/>
        </w:rPr>
        <w:t>ann das gestrichen werden? Einerseits meint Christin, dass eine Figure/ Table ohne weiteren Kontext verstanden werden muss, aber andererseits doppelt sich hier die Erklärung. Das kann man ja alles bei den Measures nachlesen.</w:t>
      </w:r>
    </w:p>
  </w:comment>
  <w:comment w:id="23" w:author="Deiglmayr, Anne" w:date="2025-03-17T08:45:00Z" w:initials="DA">
    <w:p w14:paraId="506E3964" w14:textId="28ACCBFC" w:rsidR="003A4EEE" w:rsidRPr="00AD2C7D" w:rsidRDefault="003A4EEE">
      <w:pPr>
        <w:pStyle w:val="Kommentartext"/>
        <w:rPr>
          <w:lang w:val="de-DE"/>
        </w:rPr>
      </w:pPr>
      <w:r>
        <w:rPr>
          <w:rStyle w:val="Kommentarzeichen"/>
        </w:rPr>
        <w:annotationRef/>
      </w:r>
      <w:r w:rsidRPr="00AD2C7D">
        <w:rPr>
          <w:lang w:val="de-DE"/>
        </w:rPr>
        <w:t>Lass es besser drin</w:t>
      </w:r>
    </w:p>
  </w:comment>
  <w:comment w:id="24" w:author="Mandy Klatt" w:date="2025-02-18T14:56:00Z" w:initials="MK">
    <w:p w14:paraId="1133A381" w14:textId="7DB0E261" w:rsidR="00A84761" w:rsidRPr="00A84761" w:rsidRDefault="00A84761">
      <w:pPr>
        <w:pStyle w:val="Kommentartext"/>
        <w:rPr>
          <w:lang w:val="de-DE"/>
        </w:rPr>
      </w:pPr>
      <w:r>
        <w:rPr>
          <w:rStyle w:val="Kommentarzeichen"/>
        </w:rPr>
        <w:annotationRef/>
      </w:r>
      <w:r w:rsidRPr="00A84761">
        <w:rPr>
          <w:lang w:val="de-DE"/>
        </w:rPr>
        <w:t>Ist d</w:t>
      </w:r>
      <w:r>
        <w:rPr>
          <w:lang w:val="de-DE"/>
        </w:rPr>
        <w:t xml:space="preserve">as in Ordnung, wenn ich inhaltlicher auf die Ergebnisse eingehe oder sollte ich </w:t>
      </w:r>
      <w:proofErr w:type="gramStart"/>
      <w:r w:rsidR="000C1808">
        <w:rPr>
          <w:lang w:val="de-DE"/>
        </w:rPr>
        <w:t>die Wordings</w:t>
      </w:r>
      <w:proofErr w:type="gramEnd"/>
      <w:r w:rsidR="000C1808">
        <w:rPr>
          <w:lang w:val="de-DE"/>
        </w:rPr>
        <w:t xml:space="preserve"> der Measures benutzen (Disruptiveness / Confidence Rating, usw.)</w:t>
      </w:r>
    </w:p>
  </w:comment>
  <w:comment w:id="25" w:author="Deiglmayr, Anne" w:date="2025-03-17T08:45:00Z" w:initials="DA">
    <w:p w14:paraId="081A3953" w14:textId="188F79BD" w:rsidR="003A4EEE" w:rsidRPr="003A4EEE" w:rsidRDefault="003A4EEE">
      <w:pPr>
        <w:pStyle w:val="Kommentartext"/>
        <w:rPr>
          <w:lang w:val="de-DE"/>
        </w:rPr>
      </w:pPr>
      <w:r>
        <w:rPr>
          <w:rStyle w:val="Kommentarzeichen"/>
        </w:rPr>
        <w:annotationRef/>
      </w:r>
      <w:r w:rsidRPr="003A4EEE">
        <w:rPr>
          <w:lang w:val="de-DE"/>
        </w:rPr>
        <w:t>Ich finde es gut so,</w:t>
      </w:r>
      <w:r>
        <w:rPr>
          <w:lang w:val="de-DE"/>
        </w:rPr>
        <w:t xml:space="preserve"> wie es 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DE2606" w15:done="0"/>
  <w15:commentEx w15:paraId="5D3565BB" w15:done="0"/>
  <w15:commentEx w15:paraId="4B8D0C3F" w15:done="0"/>
  <w15:commentEx w15:paraId="185E9EB4" w15:paraIdParent="4B8D0C3F" w15:done="0"/>
  <w15:commentEx w15:paraId="0CEE4455" w15:done="0"/>
  <w15:commentEx w15:paraId="7508995E" w15:done="0"/>
  <w15:commentEx w15:paraId="53F9F15D" w15:paraIdParent="7508995E" w15:done="0"/>
  <w15:commentEx w15:paraId="034C75FF" w15:done="0"/>
  <w15:commentEx w15:paraId="506E3964" w15:paraIdParent="034C75FF" w15:done="0"/>
  <w15:commentEx w15:paraId="1133A381" w15:done="0"/>
  <w15:commentEx w15:paraId="081A3953" w15:paraIdParent="1133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8D1408" w16cex:dateUtc="2025-03-25T10:37:00Z"/>
  <w16cex:commentExtensible w16cex:durableId="2B8264ED" w16cex:dateUtc="2025-03-17T08:07:00Z"/>
  <w16cex:commentExtensible w16cex:durableId="2B826576" w16cex:dateUtc="2025-03-17T08:10:00Z"/>
  <w16cex:commentExtensible w16cex:durableId="2B8265C8" w16cex:dateUtc="2025-03-17T08:11:00Z"/>
  <w16cex:commentExtensible w16cex:durableId="2B82660C" w16cex:dateUtc="2025-03-17T08:12:00Z"/>
  <w16cex:commentExtensible w16cex:durableId="2B5A044D" w16cex:dateUtc="2025-02-14T17:05:00Z"/>
  <w16cex:commentExtensible w16cex:durableId="2B825F18" w16cex:dateUtc="2025-03-17T07:43:00Z"/>
  <w16cex:commentExtensible w16cex:durableId="2B5F1A4F" w16cex:dateUtc="2025-02-18T13:40:00Z"/>
  <w16cex:commentExtensible w16cex:durableId="2B825F8E" w16cex:dateUtc="2025-03-17T07:45:00Z"/>
  <w16cex:commentExtensible w16cex:durableId="2B5F1E2D" w16cex:dateUtc="2025-02-18T13:56:00Z"/>
  <w16cex:commentExtensible w16cex:durableId="2B825FB8" w16cex:dateUtc="2025-03-17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DE2606" w16cid:durableId="2B8D1408"/>
  <w16cid:commentId w16cid:paraId="5D3565BB" w16cid:durableId="2B8264ED"/>
  <w16cid:commentId w16cid:paraId="4B8D0C3F" w16cid:durableId="2B826576"/>
  <w16cid:commentId w16cid:paraId="185E9EB4" w16cid:durableId="2B8265C8"/>
  <w16cid:commentId w16cid:paraId="0CEE4455" w16cid:durableId="2B82660C"/>
  <w16cid:commentId w16cid:paraId="7508995E" w16cid:durableId="2B5A044D"/>
  <w16cid:commentId w16cid:paraId="53F9F15D" w16cid:durableId="2B825F18"/>
  <w16cid:commentId w16cid:paraId="034C75FF" w16cid:durableId="2B5F1A4F"/>
  <w16cid:commentId w16cid:paraId="506E3964" w16cid:durableId="2B825F8E"/>
  <w16cid:commentId w16cid:paraId="1133A381" w16cid:durableId="2B5F1E2D"/>
  <w16cid:commentId w16cid:paraId="081A3953" w16cid:durableId="2B825F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FC0E4" w14:textId="77777777" w:rsidR="0085136A" w:rsidRDefault="0085136A" w:rsidP="00E102C3">
      <w:r>
        <w:separator/>
      </w:r>
    </w:p>
    <w:p w14:paraId="33F7CDF6" w14:textId="77777777" w:rsidR="0085136A" w:rsidRDefault="0085136A" w:rsidP="00E102C3"/>
  </w:endnote>
  <w:endnote w:type="continuationSeparator" w:id="0">
    <w:p w14:paraId="0C408095" w14:textId="77777777" w:rsidR="0085136A" w:rsidRDefault="0085136A" w:rsidP="00E102C3">
      <w:r>
        <w:continuationSeparator/>
      </w:r>
    </w:p>
    <w:p w14:paraId="21918416" w14:textId="77777777" w:rsidR="0085136A" w:rsidRDefault="0085136A" w:rsidP="00E102C3"/>
  </w:endnote>
  <w:endnote w:type="continuationNotice" w:id="1">
    <w:p w14:paraId="16ED03B7" w14:textId="77777777" w:rsidR="0085136A" w:rsidRDefault="008513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B1067" w14:textId="77777777" w:rsidR="0085136A" w:rsidRDefault="0085136A" w:rsidP="00E102C3">
      <w:r>
        <w:separator/>
      </w:r>
    </w:p>
    <w:p w14:paraId="0E2103C2" w14:textId="77777777" w:rsidR="0085136A" w:rsidRDefault="0085136A" w:rsidP="00E102C3"/>
  </w:footnote>
  <w:footnote w:type="continuationSeparator" w:id="0">
    <w:p w14:paraId="5EC46512" w14:textId="77777777" w:rsidR="0085136A" w:rsidRDefault="0085136A" w:rsidP="00E102C3">
      <w:r>
        <w:continuationSeparator/>
      </w:r>
    </w:p>
    <w:p w14:paraId="2F665FB2" w14:textId="77777777" w:rsidR="0085136A" w:rsidRDefault="0085136A" w:rsidP="00E102C3"/>
  </w:footnote>
  <w:footnote w:type="continuationNotice" w:id="1">
    <w:p w14:paraId="02C3CCF6" w14:textId="77777777" w:rsidR="0085136A" w:rsidRDefault="0085136A">
      <w:pPr>
        <w:spacing w:line="240" w:lineRule="auto"/>
      </w:pPr>
    </w:p>
  </w:footnote>
  <w:footnote w:id="2">
    <w:p w14:paraId="4C62983B" w14:textId="6C28E9B4" w:rsidR="001007D7" w:rsidRPr="001007D7" w:rsidRDefault="001007D7">
      <w:pPr>
        <w:pStyle w:val="Funotentext"/>
      </w:pPr>
      <w:r>
        <w:rPr>
          <w:rStyle w:val="Funotenzeichen"/>
        </w:rPr>
        <w:footnoteRef/>
      </w:r>
      <w:r>
        <w:t xml:space="preserve"> </w:t>
      </w:r>
      <w:r w:rsidRPr="001007D7">
        <w:rPr>
          <w:rFonts w:ascii="Times New Roman" w:hAnsi="Times New Roman" w:cs="Times New Roman"/>
        </w:rPr>
        <w:t>The present study intentionally excludes aggressive behaviors due to ethical considerations, as simulating or provoking such disruptions would compromise participant safety and well-being.</w:t>
      </w:r>
    </w:p>
  </w:footnote>
  <w:footnote w:id="3">
    <w:p w14:paraId="12F0CD29" w14:textId="2FA60AA8" w:rsidR="00877D19" w:rsidRPr="00877D19" w:rsidRDefault="00877D19">
      <w:pPr>
        <w:pStyle w:val="Funotentext"/>
      </w:pPr>
      <w:r w:rsidRPr="00877D19">
        <w:rPr>
          <w:rStyle w:val="Funotenzeichen"/>
          <w:rFonts w:ascii="Times New Roman" w:hAnsi="Times New Roman" w:cs="Times New Roman"/>
        </w:rPr>
        <w:footnoteRef/>
      </w:r>
      <w:r w:rsidRPr="00877D19">
        <w:rPr>
          <w:rFonts w:ascii="Times New Roman" w:hAnsi="Times New Roman" w:cs="Times New Roman"/>
        </w:rPr>
        <w:t xml:space="preserve"> While proactive strategies are paramount in preventing classroom disruptions</w:t>
      </w:r>
      <w:r>
        <w:rPr>
          <w:rFonts w:ascii="Times New Roman" w:hAnsi="Times New Roman" w:cs="Times New Roman"/>
        </w:rPr>
        <w:t xml:space="preserve"> (</w:t>
      </w:r>
      <w:proofErr w:type="spellStart"/>
      <w:r>
        <w:rPr>
          <w:rFonts w:ascii="Times New Roman" w:hAnsi="Times New Roman" w:cs="Times New Roman"/>
        </w:rPr>
        <w:t>Kounin</w:t>
      </w:r>
      <w:proofErr w:type="spellEnd"/>
      <w:r>
        <w:rPr>
          <w:rFonts w:ascii="Times New Roman" w:hAnsi="Times New Roman" w:cs="Times New Roman"/>
        </w:rPr>
        <w:t xml:space="preserve"> 2006)</w:t>
      </w:r>
      <w:r w:rsidRPr="00877D19">
        <w:rPr>
          <w:rFonts w:ascii="Times New Roman" w:hAnsi="Times New Roman" w:cs="Times New Roman"/>
        </w:rPr>
        <w:t>, this study primarily focuses on reactive strategies due to its design.</w:t>
      </w:r>
      <w:r w:rsidRPr="00877D19">
        <w:t xml:space="preserve"> </w:t>
      </w:r>
    </w:p>
  </w:footnote>
  <w:footnote w:id="4">
    <w:p w14:paraId="4E975C66" w14:textId="455AFF6C"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Tobii Pro Lab Analyzer (Version 1.241.54542). A fixation filter was applied, with a threshold set at 30°/sec to identify fixations, as this default fixation filter is recommended for mobile eye-tracking data in the Tobii Lab Analyzer Software </w:t>
      </w:r>
      <w:r w:rsidRPr="00DD7BBF">
        <w:rPr>
          <w:rFonts w:ascii="Times New Roman" w:hAnsi="Times New Roman" w:cs="Times New Roman"/>
        </w:rPr>
        <w:fldChar w:fldCharType="begin"/>
      </w:r>
      <w:r w:rsidR="00DD3A5A">
        <w:rPr>
          <w:rFonts w:ascii="Times New Roman" w:hAnsi="Times New Roman" w:cs="Times New Roman"/>
        </w:rPr>
        <w:instrText xml:space="preserve"> ADDIN ZOTERO_ITEM CSL_CITATION {"citationID":"cWPV9vus","properties":{"formattedCitation":"(Tobii AB, 2024)","plainCitation":"(Tobii AB, 2024)","noteIndex":3},"citationItems":[{"id":966,"uris":["http://zotero.org/groups/5349517/items/NEV3K4XP"],"itemData":{"id":966,"type":"webpage","title":"Tobii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(Tobii AB, 2024)</w:t>
      </w:r>
      <w:r w:rsidRPr="00DD7BBF">
        <w:rPr>
          <w:rFonts w:ascii="Times New Roman" w:hAnsi="Times New Roman" w:cs="Times New Roman"/>
        </w:rPr>
        <w:fldChar w:fldCharType="end"/>
      </w:r>
      <w:r w:rsidRPr="00DD7BBF">
        <w:rPr>
          <w:rFonts w:ascii="Times New Roman" w:hAnsi="Times New Roman" w:cs="Times New Roman"/>
        </w:rPr>
        <w:t>.</w:t>
      </w:r>
    </w:p>
  </w:footnote>
  <w:footnote w:id="5">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6">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7">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8">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9">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53EB"/>
    <w:rsid w:val="00005C49"/>
    <w:rsid w:val="000064B8"/>
    <w:rsid w:val="00006918"/>
    <w:rsid w:val="00006F14"/>
    <w:rsid w:val="00007196"/>
    <w:rsid w:val="00007930"/>
    <w:rsid w:val="0001120A"/>
    <w:rsid w:val="000115EE"/>
    <w:rsid w:val="00011842"/>
    <w:rsid w:val="00011A5F"/>
    <w:rsid w:val="00011C0A"/>
    <w:rsid w:val="00012E7B"/>
    <w:rsid w:val="00013C2F"/>
    <w:rsid w:val="0001570C"/>
    <w:rsid w:val="00015A52"/>
    <w:rsid w:val="00017709"/>
    <w:rsid w:val="0002038B"/>
    <w:rsid w:val="00021863"/>
    <w:rsid w:val="000218D0"/>
    <w:rsid w:val="00021C9E"/>
    <w:rsid w:val="00023276"/>
    <w:rsid w:val="00023EB1"/>
    <w:rsid w:val="00023F33"/>
    <w:rsid w:val="000251D5"/>
    <w:rsid w:val="000257C7"/>
    <w:rsid w:val="00025902"/>
    <w:rsid w:val="0002597B"/>
    <w:rsid w:val="000265BA"/>
    <w:rsid w:val="000270E7"/>
    <w:rsid w:val="00027743"/>
    <w:rsid w:val="00027D49"/>
    <w:rsid w:val="000315B3"/>
    <w:rsid w:val="000325AB"/>
    <w:rsid w:val="00033065"/>
    <w:rsid w:val="00033CFF"/>
    <w:rsid w:val="00035031"/>
    <w:rsid w:val="000363C0"/>
    <w:rsid w:val="000377D9"/>
    <w:rsid w:val="0003794B"/>
    <w:rsid w:val="000413E6"/>
    <w:rsid w:val="0004230D"/>
    <w:rsid w:val="00042C3A"/>
    <w:rsid w:val="0004320C"/>
    <w:rsid w:val="00043575"/>
    <w:rsid w:val="00043713"/>
    <w:rsid w:val="00043932"/>
    <w:rsid w:val="000442C9"/>
    <w:rsid w:val="00044457"/>
    <w:rsid w:val="00045FE6"/>
    <w:rsid w:val="000475ED"/>
    <w:rsid w:val="000478AE"/>
    <w:rsid w:val="00047BB8"/>
    <w:rsid w:val="00047EDD"/>
    <w:rsid w:val="00051337"/>
    <w:rsid w:val="00051BD9"/>
    <w:rsid w:val="000533E9"/>
    <w:rsid w:val="00053FB8"/>
    <w:rsid w:val="000542E6"/>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4F77"/>
    <w:rsid w:val="00075D38"/>
    <w:rsid w:val="00076281"/>
    <w:rsid w:val="00076A2C"/>
    <w:rsid w:val="00077C08"/>
    <w:rsid w:val="0008031E"/>
    <w:rsid w:val="00080587"/>
    <w:rsid w:val="00083FCC"/>
    <w:rsid w:val="00085298"/>
    <w:rsid w:val="00085748"/>
    <w:rsid w:val="00086C94"/>
    <w:rsid w:val="000900E9"/>
    <w:rsid w:val="0009048A"/>
    <w:rsid w:val="00090CDD"/>
    <w:rsid w:val="0009146D"/>
    <w:rsid w:val="00092297"/>
    <w:rsid w:val="000928A3"/>
    <w:rsid w:val="00093153"/>
    <w:rsid w:val="000948D1"/>
    <w:rsid w:val="00094996"/>
    <w:rsid w:val="00095759"/>
    <w:rsid w:val="000957C6"/>
    <w:rsid w:val="00095A74"/>
    <w:rsid w:val="0009623B"/>
    <w:rsid w:val="0009643A"/>
    <w:rsid w:val="00096EC7"/>
    <w:rsid w:val="00097278"/>
    <w:rsid w:val="00097997"/>
    <w:rsid w:val="000A08B4"/>
    <w:rsid w:val="000A0E7C"/>
    <w:rsid w:val="000A1209"/>
    <w:rsid w:val="000A2DE7"/>
    <w:rsid w:val="000A379B"/>
    <w:rsid w:val="000A5A29"/>
    <w:rsid w:val="000A67B0"/>
    <w:rsid w:val="000A6CAF"/>
    <w:rsid w:val="000A7152"/>
    <w:rsid w:val="000A7AF5"/>
    <w:rsid w:val="000A7DA3"/>
    <w:rsid w:val="000B06C9"/>
    <w:rsid w:val="000B2A7A"/>
    <w:rsid w:val="000B3030"/>
    <w:rsid w:val="000B3FB2"/>
    <w:rsid w:val="000B73D5"/>
    <w:rsid w:val="000C0275"/>
    <w:rsid w:val="000C1808"/>
    <w:rsid w:val="000C1F4F"/>
    <w:rsid w:val="000C27B5"/>
    <w:rsid w:val="000C2A6B"/>
    <w:rsid w:val="000C2AA7"/>
    <w:rsid w:val="000C31B3"/>
    <w:rsid w:val="000C5CD2"/>
    <w:rsid w:val="000C6346"/>
    <w:rsid w:val="000C64B8"/>
    <w:rsid w:val="000D01B9"/>
    <w:rsid w:val="000D0C8D"/>
    <w:rsid w:val="000D5027"/>
    <w:rsid w:val="000D5316"/>
    <w:rsid w:val="000D577D"/>
    <w:rsid w:val="000D654D"/>
    <w:rsid w:val="000D66BC"/>
    <w:rsid w:val="000D7686"/>
    <w:rsid w:val="000D7DBB"/>
    <w:rsid w:val="000E0616"/>
    <w:rsid w:val="000E106D"/>
    <w:rsid w:val="000E1800"/>
    <w:rsid w:val="000E3D6F"/>
    <w:rsid w:val="000E4F04"/>
    <w:rsid w:val="000E6594"/>
    <w:rsid w:val="000E6FB3"/>
    <w:rsid w:val="000E71EA"/>
    <w:rsid w:val="000E7667"/>
    <w:rsid w:val="000E78E3"/>
    <w:rsid w:val="000E7BD6"/>
    <w:rsid w:val="000F1F38"/>
    <w:rsid w:val="000F3599"/>
    <w:rsid w:val="000F3E92"/>
    <w:rsid w:val="000F4166"/>
    <w:rsid w:val="000F6AEF"/>
    <w:rsid w:val="000F6B3F"/>
    <w:rsid w:val="000F6BB7"/>
    <w:rsid w:val="000F7714"/>
    <w:rsid w:val="000F7749"/>
    <w:rsid w:val="001007D7"/>
    <w:rsid w:val="001009E9"/>
    <w:rsid w:val="00102D21"/>
    <w:rsid w:val="001038E9"/>
    <w:rsid w:val="00103A39"/>
    <w:rsid w:val="00104158"/>
    <w:rsid w:val="001043B9"/>
    <w:rsid w:val="00105880"/>
    <w:rsid w:val="00106B5D"/>
    <w:rsid w:val="00107902"/>
    <w:rsid w:val="00107944"/>
    <w:rsid w:val="00107E8C"/>
    <w:rsid w:val="00110437"/>
    <w:rsid w:val="00112EBA"/>
    <w:rsid w:val="00114554"/>
    <w:rsid w:val="001156AC"/>
    <w:rsid w:val="001201BF"/>
    <w:rsid w:val="00120442"/>
    <w:rsid w:val="00120A65"/>
    <w:rsid w:val="00122B25"/>
    <w:rsid w:val="0012374E"/>
    <w:rsid w:val="00123C09"/>
    <w:rsid w:val="001246F9"/>
    <w:rsid w:val="001248A1"/>
    <w:rsid w:val="00124E6D"/>
    <w:rsid w:val="00125B49"/>
    <w:rsid w:val="00125C3C"/>
    <w:rsid w:val="001263C3"/>
    <w:rsid w:val="0012687D"/>
    <w:rsid w:val="0012701A"/>
    <w:rsid w:val="00130A3E"/>
    <w:rsid w:val="00131A10"/>
    <w:rsid w:val="00131FAD"/>
    <w:rsid w:val="00132939"/>
    <w:rsid w:val="0013325D"/>
    <w:rsid w:val="001333B9"/>
    <w:rsid w:val="00133F73"/>
    <w:rsid w:val="00134908"/>
    <w:rsid w:val="00135116"/>
    <w:rsid w:val="00140CA6"/>
    <w:rsid w:val="00142AE8"/>
    <w:rsid w:val="00143635"/>
    <w:rsid w:val="001437B3"/>
    <w:rsid w:val="00146C9B"/>
    <w:rsid w:val="00147635"/>
    <w:rsid w:val="001504F8"/>
    <w:rsid w:val="0015208A"/>
    <w:rsid w:val="00153807"/>
    <w:rsid w:val="00153A3D"/>
    <w:rsid w:val="0015515C"/>
    <w:rsid w:val="00156666"/>
    <w:rsid w:val="00156CD8"/>
    <w:rsid w:val="00157B3C"/>
    <w:rsid w:val="00160361"/>
    <w:rsid w:val="00161C27"/>
    <w:rsid w:val="00162C01"/>
    <w:rsid w:val="00162EE6"/>
    <w:rsid w:val="00165B1B"/>
    <w:rsid w:val="00166444"/>
    <w:rsid w:val="00167027"/>
    <w:rsid w:val="00167179"/>
    <w:rsid w:val="001678FA"/>
    <w:rsid w:val="00167BAE"/>
    <w:rsid w:val="00167CB7"/>
    <w:rsid w:val="00167F5B"/>
    <w:rsid w:val="00170C89"/>
    <w:rsid w:val="00170D39"/>
    <w:rsid w:val="0017154C"/>
    <w:rsid w:val="00171FB6"/>
    <w:rsid w:val="001740A1"/>
    <w:rsid w:val="00175E16"/>
    <w:rsid w:val="00177102"/>
    <w:rsid w:val="001802D7"/>
    <w:rsid w:val="001806CC"/>
    <w:rsid w:val="001807C7"/>
    <w:rsid w:val="00181412"/>
    <w:rsid w:val="001824C1"/>
    <w:rsid w:val="001825E9"/>
    <w:rsid w:val="00183262"/>
    <w:rsid w:val="0018383C"/>
    <w:rsid w:val="0018538D"/>
    <w:rsid w:val="001854CC"/>
    <w:rsid w:val="0018600F"/>
    <w:rsid w:val="00186434"/>
    <w:rsid w:val="00186984"/>
    <w:rsid w:val="001878EA"/>
    <w:rsid w:val="00191480"/>
    <w:rsid w:val="0019381D"/>
    <w:rsid w:val="00193901"/>
    <w:rsid w:val="00193C8B"/>
    <w:rsid w:val="00194C14"/>
    <w:rsid w:val="00194C57"/>
    <w:rsid w:val="00195184"/>
    <w:rsid w:val="00197A3C"/>
    <w:rsid w:val="00197DFD"/>
    <w:rsid w:val="001A027C"/>
    <w:rsid w:val="001A4121"/>
    <w:rsid w:val="001A436E"/>
    <w:rsid w:val="001A47C2"/>
    <w:rsid w:val="001A50B7"/>
    <w:rsid w:val="001A52DF"/>
    <w:rsid w:val="001A544E"/>
    <w:rsid w:val="001A6792"/>
    <w:rsid w:val="001A7230"/>
    <w:rsid w:val="001B06C8"/>
    <w:rsid w:val="001B0834"/>
    <w:rsid w:val="001B12C1"/>
    <w:rsid w:val="001B1E56"/>
    <w:rsid w:val="001B29C1"/>
    <w:rsid w:val="001B3075"/>
    <w:rsid w:val="001B3150"/>
    <w:rsid w:val="001B3B2A"/>
    <w:rsid w:val="001B4EE9"/>
    <w:rsid w:val="001B5080"/>
    <w:rsid w:val="001B7706"/>
    <w:rsid w:val="001B7CD9"/>
    <w:rsid w:val="001C12C0"/>
    <w:rsid w:val="001C1C88"/>
    <w:rsid w:val="001C2344"/>
    <w:rsid w:val="001C29B0"/>
    <w:rsid w:val="001C4CDF"/>
    <w:rsid w:val="001C554E"/>
    <w:rsid w:val="001C5725"/>
    <w:rsid w:val="001C5E35"/>
    <w:rsid w:val="001C6737"/>
    <w:rsid w:val="001C7F49"/>
    <w:rsid w:val="001D00DC"/>
    <w:rsid w:val="001D2472"/>
    <w:rsid w:val="001D3051"/>
    <w:rsid w:val="001D4310"/>
    <w:rsid w:val="001D47E5"/>
    <w:rsid w:val="001D5623"/>
    <w:rsid w:val="001D5F37"/>
    <w:rsid w:val="001D6361"/>
    <w:rsid w:val="001D6A04"/>
    <w:rsid w:val="001D6E56"/>
    <w:rsid w:val="001D772A"/>
    <w:rsid w:val="001D7F11"/>
    <w:rsid w:val="001E060F"/>
    <w:rsid w:val="001E0B66"/>
    <w:rsid w:val="001E0F70"/>
    <w:rsid w:val="001E1952"/>
    <w:rsid w:val="001E2710"/>
    <w:rsid w:val="001E3F2D"/>
    <w:rsid w:val="001E45F8"/>
    <w:rsid w:val="001E4E30"/>
    <w:rsid w:val="001E4EFD"/>
    <w:rsid w:val="001E7569"/>
    <w:rsid w:val="001E7830"/>
    <w:rsid w:val="001F0012"/>
    <w:rsid w:val="001F0C2D"/>
    <w:rsid w:val="001F19CB"/>
    <w:rsid w:val="001F1EF2"/>
    <w:rsid w:val="001F2224"/>
    <w:rsid w:val="001F228F"/>
    <w:rsid w:val="001F29E3"/>
    <w:rsid w:val="001F3D80"/>
    <w:rsid w:val="001F4175"/>
    <w:rsid w:val="001F4468"/>
    <w:rsid w:val="001F464C"/>
    <w:rsid w:val="001F468D"/>
    <w:rsid w:val="001F4777"/>
    <w:rsid w:val="001F4788"/>
    <w:rsid w:val="001F4D12"/>
    <w:rsid w:val="001F5086"/>
    <w:rsid w:val="00201437"/>
    <w:rsid w:val="00202B49"/>
    <w:rsid w:val="00203386"/>
    <w:rsid w:val="0020338B"/>
    <w:rsid w:val="002035AD"/>
    <w:rsid w:val="00203AA4"/>
    <w:rsid w:val="00204334"/>
    <w:rsid w:val="00204B6B"/>
    <w:rsid w:val="002050A6"/>
    <w:rsid w:val="002068FD"/>
    <w:rsid w:val="00206F8D"/>
    <w:rsid w:val="00207B37"/>
    <w:rsid w:val="0021018D"/>
    <w:rsid w:val="00211B56"/>
    <w:rsid w:val="00211D07"/>
    <w:rsid w:val="00211F10"/>
    <w:rsid w:val="00212824"/>
    <w:rsid w:val="00213717"/>
    <w:rsid w:val="00213D88"/>
    <w:rsid w:val="00213F0D"/>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63FC"/>
    <w:rsid w:val="00226B68"/>
    <w:rsid w:val="00226F34"/>
    <w:rsid w:val="002272D2"/>
    <w:rsid w:val="00230AFF"/>
    <w:rsid w:val="00234569"/>
    <w:rsid w:val="00234A36"/>
    <w:rsid w:val="00234A84"/>
    <w:rsid w:val="00234B6C"/>
    <w:rsid w:val="002353AB"/>
    <w:rsid w:val="0023578D"/>
    <w:rsid w:val="002357BD"/>
    <w:rsid w:val="00236E04"/>
    <w:rsid w:val="0023707A"/>
    <w:rsid w:val="00240757"/>
    <w:rsid w:val="002409D6"/>
    <w:rsid w:val="00241AC9"/>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57A5E"/>
    <w:rsid w:val="00257FEA"/>
    <w:rsid w:val="0026096A"/>
    <w:rsid w:val="002625A5"/>
    <w:rsid w:val="0026411C"/>
    <w:rsid w:val="002663B8"/>
    <w:rsid w:val="00266BE7"/>
    <w:rsid w:val="002727C8"/>
    <w:rsid w:val="00273ADB"/>
    <w:rsid w:val="002749C2"/>
    <w:rsid w:val="002759DF"/>
    <w:rsid w:val="0027612D"/>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855"/>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5F2C"/>
    <w:rsid w:val="002C6546"/>
    <w:rsid w:val="002D0D46"/>
    <w:rsid w:val="002D1D14"/>
    <w:rsid w:val="002D3CD3"/>
    <w:rsid w:val="002D48DD"/>
    <w:rsid w:val="002D64F1"/>
    <w:rsid w:val="002D6522"/>
    <w:rsid w:val="002D686C"/>
    <w:rsid w:val="002D6E3B"/>
    <w:rsid w:val="002D6EA3"/>
    <w:rsid w:val="002D7DA2"/>
    <w:rsid w:val="002D7E93"/>
    <w:rsid w:val="002E11F7"/>
    <w:rsid w:val="002E187C"/>
    <w:rsid w:val="002E1A0C"/>
    <w:rsid w:val="002E2C54"/>
    <w:rsid w:val="002E4344"/>
    <w:rsid w:val="002E4FFA"/>
    <w:rsid w:val="002E5BA2"/>
    <w:rsid w:val="002E7BCF"/>
    <w:rsid w:val="002F04BB"/>
    <w:rsid w:val="002F04F8"/>
    <w:rsid w:val="002F06C2"/>
    <w:rsid w:val="002F3CAF"/>
    <w:rsid w:val="002F4959"/>
    <w:rsid w:val="002F4C4B"/>
    <w:rsid w:val="002F5057"/>
    <w:rsid w:val="002F5907"/>
    <w:rsid w:val="002F6198"/>
    <w:rsid w:val="002F6753"/>
    <w:rsid w:val="002F6A10"/>
    <w:rsid w:val="002F7501"/>
    <w:rsid w:val="002F7518"/>
    <w:rsid w:val="002F7641"/>
    <w:rsid w:val="0030116C"/>
    <w:rsid w:val="00302E11"/>
    <w:rsid w:val="00303171"/>
    <w:rsid w:val="00303776"/>
    <w:rsid w:val="00303C06"/>
    <w:rsid w:val="00304AE7"/>
    <w:rsid w:val="00305899"/>
    <w:rsid w:val="003063B6"/>
    <w:rsid w:val="003072A0"/>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200C"/>
    <w:rsid w:val="003325A6"/>
    <w:rsid w:val="0033291A"/>
    <w:rsid w:val="003332D8"/>
    <w:rsid w:val="0033418B"/>
    <w:rsid w:val="00334D7B"/>
    <w:rsid w:val="00335069"/>
    <w:rsid w:val="00335915"/>
    <w:rsid w:val="0033651E"/>
    <w:rsid w:val="003367E9"/>
    <w:rsid w:val="00340295"/>
    <w:rsid w:val="003409D1"/>
    <w:rsid w:val="00340AE8"/>
    <w:rsid w:val="0034141C"/>
    <w:rsid w:val="0034182B"/>
    <w:rsid w:val="00342C89"/>
    <w:rsid w:val="00343166"/>
    <w:rsid w:val="00343A48"/>
    <w:rsid w:val="00343FFD"/>
    <w:rsid w:val="0034519D"/>
    <w:rsid w:val="00345BD7"/>
    <w:rsid w:val="00345DED"/>
    <w:rsid w:val="00346EDB"/>
    <w:rsid w:val="003474A0"/>
    <w:rsid w:val="003507C6"/>
    <w:rsid w:val="003511F5"/>
    <w:rsid w:val="00351A67"/>
    <w:rsid w:val="0035201C"/>
    <w:rsid w:val="0035374E"/>
    <w:rsid w:val="00353863"/>
    <w:rsid w:val="003542F2"/>
    <w:rsid w:val="003551AB"/>
    <w:rsid w:val="003562A1"/>
    <w:rsid w:val="00356876"/>
    <w:rsid w:val="00357698"/>
    <w:rsid w:val="00357FA5"/>
    <w:rsid w:val="003612AE"/>
    <w:rsid w:val="00361B8F"/>
    <w:rsid w:val="0036274E"/>
    <w:rsid w:val="00362D96"/>
    <w:rsid w:val="003640C6"/>
    <w:rsid w:val="003649CB"/>
    <w:rsid w:val="00364BB9"/>
    <w:rsid w:val="00365ACF"/>
    <w:rsid w:val="00365B15"/>
    <w:rsid w:val="00367564"/>
    <w:rsid w:val="00371182"/>
    <w:rsid w:val="003712F4"/>
    <w:rsid w:val="0037151C"/>
    <w:rsid w:val="00371ADF"/>
    <w:rsid w:val="003723EA"/>
    <w:rsid w:val="00374868"/>
    <w:rsid w:val="00374C0C"/>
    <w:rsid w:val="00376335"/>
    <w:rsid w:val="00380264"/>
    <w:rsid w:val="00380850"/>
    <w:rsid w:val="0038199D"/>
    <w:rsid w:val="00381C86"/>
    <w:rsid w:val="00382198"/>
    <w:rsid w:val="0038322E"/>
    <w:rsid w:val="00383E9D"/>
    <w:rsid w:val="00384E9D"/>
    <w:rsid w:val="00385036"/>
    <w:rsid w:val="0038704D"/>
    <w:rsid w:val="00387498"/>
    <w:rsid w:val="003876CA"/>
    <w:rsid w:val="0039003C"/>
    <w:rsid w:val="0039084A"/>
    <w:rsid w:val="00391141"/>
    <w:rsid w:val="00391DD8"/>
    <w:rsid w:val="0039268B"/>
    <w:rsid w:val="0039595F"/>
    <w:rsid w:val="00395FD6"/>
    <w:rsid w:val="00396577"/>
    <w:rsid w:val="00396A34"/>
    <w:rsid w:val="0039772C"/>
    <w:rsid w:val="003978C1"/>
    <w:rsid w:val="003A08C2"/>
    <w:rsid w:val="003A2F36"/>
    <w:rsid w:val="003A3821"/>
    <w:rsid w:val="003A4EEE"/>
    <w:rsid w:val="003A71C8"/>
    <w:rsid w:val="003A7F7C"/>
    <w:rsid w:val="003B0188"/>
    <w:rsid w:val="003B03BF"/>
    <w:rsid w:val="003B097A"/>
    <w:rsid w:val="003B1CB7"/>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62E3"/>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401866"/>
    <w:rsid w:val="00401872"/>
    <w:rsid w:val="004019B3"/>
    <w:rsid w:val="00401A08"/>
    <w:rsid w:val="004023D1"/>
    <w:rsid w:val="00403249"/>
    <w:rsid w:val="00403390"/>
    <w:rsid w:val="00404261"/>
    <w:rsid w:val="004045A0"/>
    <w:rsid w:val="00404BA6"/>
    <w:rsid w:val="00404D82"/>
    <w:rsid w:val="0040638D"/>
    <w:rsid w:val="00406F86"/>
    <w:rsid w:val="00406FA2"/>
    <w:rsid w:val="004075B8"/>
    <w:rsid w:val="004079A1"/>
    <w:rsid w:val="00407DA4"/>
    <w:rsid w:val="004102B0"/>
    <w:rsid w:val="00410648"/>
    <w:rsid w:val="00411A0D"/>
    <w:rsid w:val="00412AD9"/>
    <w:rsid w:val="004131EE"/>
    <w:rsid w:val="004136DB"/>
    <w:rsid w:val="00413799"/>
    <w:rsid w:val="00414A49"/>
    <w:rsid w:val="00416392"/>
    <w:rsid w:val="004172EC"/>
    <w:rsid w:val="00417BBB"/>
    <w:rsid w:val="0042029A"/>
    <w:rsid w:val="004209A1"/>
    <w:rsid w:val="00421D4A"/>
    <w:rsid w:val="00422D8E"/>
    <w:rsid w:val="00422DC9"/>
    <w:rsid w:val="004232F5"/>
    <w:rsid w:val="00425BBF"/>
    <w:rsid w:val="00425C56"/>
    <w:rsid w:val="00426BCA"/>
    <w:rsid w:val="00427358"/>
    <w:rsid w:val="00430077"/>
    <w:rsid w:val="004309B4"/>
    <w:rsid w:val="004309E1"/>
    <w:rsid w:val="00431D00"/>
    <w:rsid w:val="00432340"/>
    <w:rsid w:val="0043329E"/>
    <w:rsid w:val="004348FF"/>
    <w:rsid w:val="00435015"/>
    <w:rsid w:val="00435FD5"/>
    <w:rsid w:val="00441050"/>
    <w:rsid w:val="0044269B"/>
    <w:rsid w:val="00442A26"/>
    <w:rsid w:val="00445135"/>
    <w:rsid w:val="00445751"/>
    <w:rsid w:val="00447B65"/>
    <w:rsid w:val="004526BC"/>
    <w:rsid w:val="004531C6"/>
    <w:rsid w:val="0045343E"/>
    <w:rsid w:val="00453CA7"/>
    <w:rsid w:val="00454EC6"/>
    <w:rsid w:val="00457EE9"/>
    <w:rsid w:val="00457F8B"/>
    <w:rsid w:val="0046015F"/>
    <w:rsid w:val="00460EAB"/>
    <w:rsid w:val="00462878"/>
    <w:rsid w:val="004632E0"/>
    <w:rsid w:val="00463BBA"/>
    <w:rsid w:val="00465D2C"/>
    <w:rsid w:val="00467C1D"/>
    <w:rsid w:val="00470816"/>
    <w:rsid w:val="00470BC1"/>
    <w:rsid w:val="004718E7"/>
    <w:rsid w:val="00472492"/>
    <w:rsid w:val="004727E5"/>
    <w:rsid w:val="004727E9"/>
    <w:rsid w:val="00475FFE"/>
    <w:rsid w:val="004766DD"/>
    <w:rsid w:val="00476A99"/>
    <w:rsid w:val="00476B52"/>
    <w:rsid w:val="00477945"/>
    <w:rsid w:val="00477F49"/>
    <w:rsid w:val="00480102"/>
    <w:rsid w:val="004809A5"/>
    <w:rsid w:val="004821BA"/>
    <w:rsid w:val="00484338"/>
    <w:rsid w:val="00484F4A"/>
    <w:rsid w:val="00486077"/>
    <w:rsid w:val="00486B99"/>
    <w:rsid w:val="00487109"/>
    <w:rsid w:val="0048783C"/>
    <w:rsid w:val="0049021E"/>
    <w:rsid w:val="00490975"/>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6E37"/>
    <w:rsid w:val="004A7F2C"/>
    <w:rsid w:val="004B0012"/>
    <w:rsid w:val="004B20CE"/>
    <w:rsid w:val="004B21F0"/>
    <w:rsid w:val="004B25A3"/>
    <w:rsid w:val="004B274A"/>
    <w:rsid w:val="004B3715"/>
    <w:rsid w:val="004B3FF2"/>
    <w:rsid w:val="004B4194"/>
    <w:rsid w:val="004B4367"/>
    <w:rsid w:val="004B45D8"/>
    <w:rsid w:val="004B46D1"/>
    <w:rsid w:val="004B4BE2"/>
    <w:rsid w:val="004B5CBC"/>
    <w:rsid w:val="004B64D8"/>
    <w:rsid w:val="004B793F"/>
    <w:rsid w:val="004C043E"/>
    <w:rsid w:val="004C1188"/>
    <w:rsid w:val="004C17B9"/>
    <w:rsid w:val="004C4BC8"/>
    <w:rsid w:val="004C4C15"/>
    <w:rsid w:val="004C700C"/>
    <w:rsid w:val="004D01F1"/>
    <w:rsid w:val="004D0813"/>
    <w:rsid w:val="004D1059"/>
    <w:rsid w:val="004D1C17"/>
    <w:rsid w:val="004D23EA"/>
    <w:rsid w:val="004D3AAC"/>
    <w:rsid w:val="004D3AEC"/>
    <w:rsid w:val="004D5C82"/>
    <w:rsid w:val="004E17B1"/>
    <w:rsid w:val="004E34EA"/>
    <w:rsid w:val="004E3984"/>
    <w:rsid w:val="004E3C65"/>
    <w:rsid w:val="004E4279"/>
    <w:rsid w:val="004E45F2"/>
    <w:rsid w:val="004E4731"/>
    <w:rsid w:val="004E47AC"/>
    <w:rsid w:val="004E4CB2"/>
    <w:rsid w:val="004E5260"/>
    <w:rsid w:val="004E53DD"/>
    <w:rsid w:val="004E56A8"/>
    <w:rsid w:val="004E602A"/>
    <w:rsid w:val="004E6A96"/>
    <w:rsid w:val="004E6B89"/>
    <w:rsid w:val="004E6DEC"/>
    <w:rsid w:val="004E7395"/>
    <w:rsid w:val="004E7527"/>
    <w:rsid w:val="004E76A8"/>
    <w:rsid w:val="004F0FFF"/>
    <w:rsid w:val="004F1668"/>
    <w:rsid w:val="004F25BB"/>
    <w:rsid w:val="004F2BC8"/>
    <w:rsid w:val="004F2BD6"/>
    <w:rsid w:val="004F52E5"/>
    <w:rsid w:val="004F58B0"/>
    <w:rsid w:val="004F61E4"/>
    <w:rsid w:val="004F63CE"/>
    <w:rsid w:val="004F677F"/>
    <w:rsid w:val="004F6F80"/>
    <w:rsid w:val="004F7522"/>
    <w:rsid w:val="005003F1"/>
    <w:rsid w:val="00500AF2"/>
    <w:rsid w:val="00500DE2"/>
    <w:rsid w:val="00500EB3"/>
    <w:rsid w:val="0050132A"/>
    <w:rsid w:val="00502697"/>
    <w:rsid w:val="005044FF"/>
    <w:rsid w:val="00504CFD"/>
    <w:rsid w:val="00505711"/>
    <w:rsid w:val="00505B4F"/>
    <w:rsid w:val="00506FE7"/>
    <w:rsid w:val="00507BE8"/>
    <w:rsid w:val="00511E4A"/>
    <w:rsid w:val="0051240B"/>
    <w:rsid w:val="0051346D"/>
    <w:rsid w:val="0051386A"/>
    <w:rsid w:val="00514267"/>
    <w:rsid w:val="00515ACD"/>
    <w:rsid w:val="00515ADE"/>
    <w:rsid w:val="0051642E"/>
    <w:rsid w:val="0051720B"/>
    <w:rsid w:val="00517272"/>
    <w:rsid w:val="00520416"/>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3E9"/>
    <w:rsid w:val="0053442A"/>
    <w:rsid w:val="005362D7"/>
    <w:rsid w:val="00536A0D"/>
    <w:rsid w:val="005403EC"/>
    <w:rsid w:val="00540642"/>
    <w:rsid w:val="00540A1D"/>
    <w:rsid w:val="00540B53"/>
    <w:rsid w:val="00540FC4"/>
    <w:rsid w:val="00541124"/>
    <w:rsid w:val="005433BC"/>
    <w:rsid w:val="0054478E"/>
    <w:rsid w:val="0054535A"/>
    <w:rsid w:val="005460B2"/>
    <w:rsid w:val="00551144"/>
    <w:rsid w:val="00551914"/>
    <w:rsid w:val="00554D88"/>
    <w:rsid w:val="00555C0B"/>
    <w:rsid w:val="00557727"/>
    <w:rsid w:val="00557C7E"/>
    <w:rsid w:val="00557F10"/>
    <w:rsid w:val="005621B9"/>
    <w:rsid w:val="005635E4"/>
    <w:rsid w:val="00563C85"/>
    <w:rsid w:val="00563D94"/>
    <w:rsid w:val="00563ED5"/>
    <w:rsid w:val="005649DC"/>
    <w:rsid w:val="00565523"/>
    <w:rsid w:val="00565F6D"/>
    <w:rsid w:val="005674C3"/>
    <w:rsid w:val="00570131"/>
    <w:rsid w:val="005708CF"/>
    <w:rsid w:val="0057203B"/>
    <w:rsid w:val="00572621"/>
    <w:rsid w:val="0057328B"/>
    <w:rsid w:val="005737E6"/>
    <w:rsid w:val="00573D82"/>
    <w:rsid w:val="00574E71"/>
    <w:rsid w:val="0057654C"/>
    <w:rsid w:val="005769D0"/>
    <w:rsid w:val="00577E1C"/>
    <w:rsid w:val="00580D8C"/>
    <w:rsid w:val="00582191"/>
    <w:rsid w:val="0058224E"/>
    <w:rsid w:val="00583BBC"/>
    <w:rsid w:val="00583D5C"/>
    <w:rsid w:val="005851A6"/>
    <w:rsid w:val="00587A01"/>
    <w:rsid w:val="00587DA2"/>
    <w:rsid w:val="005919A7"/>
    <w:rsid w:val="00591D2D"/>
    <w:rsid w:val="0059226A"/>
    <w:rsid w:val="005922A9"/>
    <w:rsid w:val="0059368D"/>
    <w:rsid w:val="00595025"/>
    <w:rsid w:val="0059587A"/>
    <w:rsid w:val="00597451"/>
    <w:rsid w:val="005A197D"/>
    <w:rsid w:val="005A222A"/>
    <w:rsid w:val="005A2490"/>
    <w:rsid w:val="005A3907"/>
    <w:rsid w:val="005A3BF3"/>
    <w:rsid w:val="005A47F0"/>
    <w:rsid w:val="005B00BD"/>
    <w:rsid w:val="005B02C8"/>
    <w:rsid w:val="005B18FE"/>
    <w:rsid w:val="005B3278"/>
    <w:rsid w:val="005B5503"/>
    <w:rsid w:val="005B6569"/>
    <w:rsid w:val="005B7B46"/>
    <w:rsid w:val="005C0C85"/>
    <w:rsid w:val="005C0D94"/>
    <w:rsid w:val="005C10C6"/>
    <w:rsid w:val="005C1310"/>
    <w:rsid w:val="005C32E2"/>
    <w:rsid w:val="005C3342"/>
    <w:rsid w:val="005C4549"/>
    <w:rsid w:val="005C4840"/>
    <w:rsid w:val="005C50B5"/>
    <w:rsid w:val="005C528A"/>
    <w:rsid w:val="005C55B8"/>
    <w:rsid w:val="005C6854"/>
    <w:rsid w:val="005C737E"/>
    <w:rsid w:val="005D0BA6"/>
    <w:rsid w:val="005D1178"/>
    <w:rsid w:val="005D351A"/>
    <w:rsid w:val="005D3578"/>
    <w:rsid w:val="005D3F3F"/>
    <w:rsid w:val="005D44A0"/>
    <w:rsid w:val="005D4500"/>
    <w:rsid w:val="005D4F62"/>
    <w:rsid w:val="005D5B16"/>
    <w:rsid w:val="005D5F0F"/>
    <w:rsid w:val="005D620A"/>
    <w:rsid w:val="005D6A6A"/>
    <w:rsid w:val="005D7557"/>
    <w:rsid w:val="005E0AE4"/>
    <w:rsid w:val="005E1B48"/>
    <w:rsid w:val="005E2C36"/>
    <w:rsid w:val="005E3815"/>
    <w:rsid w:val="005E3944"/>
    <w:rsid w:val="005E4313"/>
    <w:rsid w:val="005E478E"/>
    <w:rsid w:val="005E484C"/>
    <w:rsid w:val="005E499D"/>
    <w:rsid w:val="005E7564"/>
    <w:rsid w:val="005F05D3"/>
    <w:rsid w:val="005F0BE0"/>
    <w:rsid w:val="005F0ED6"/>
    <w:rsid w:val="005F2D67"/>
    <w:rsid w:val="005F2F3E"/>
    <w:rsid w:val="005F48F8"/>
    <w:rsid w:val="005F4958"/>
    <w:rsid w:val="005F4B4F"/>
    <w:rsid w:val="005F5153"/>
    <w:rsid w:val="005F5918"/>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5D4"/>
    <w:rsid w:val="00607CFD"/>
    <w:rsid w:val="006101D2"/>
    <w:rsid w:val="006102E6"/>
    <w:rsid w:val="006103C7"/>
    <w:rsid w:val="00610C51"/>
    <w:rsid w:val="006110AB"/>
    <w:rsid w:val="00611607"/>
    <w:rsid w:val="006116A2"/>
    <w:rsid w:val="006117B0"/>
    <w:rsid w:val="006117EC"/>
    <w:rsid w:val="00611E10"/>
    <w:rsid w:val="00612FEF"/>
    <w:rsid w:val="006134AA"/>
    <w:rsid w:val="00616377"/>
    <w:rsid w:val="0061787C"/>
    <w:rsid w:val="006207DC"/>
    <w:rsid w:val="00621080"/>
    <w:rsid w:val="0062128F"/>
    <w:rsid w:val="00621921"/>
    <w:rsid w:val="006225CF"/>
    <w:rsid w:val="00622DC6"/>
    <w:rsid w:val="0062335D"/>
    <w:rsid w:val="00623748"/>
    <w:rsid w:val="006237EA"/>
    <w:rsid w:val="00624E49"/>
    <w:rsid w:val="0062577E"/>
    <w:rsid w:val="00625ACC"/>
    <w:rsid w:val="0062715C"/>
    <w:rsid w:val="006274E0"/>
    <w:rsid w:val="00627586"/>
    <w:rsid w:val="00627FF9"/>
    <w:rsid w:val="00630FC4"/>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45961"/>
    <w:rsid w:val="006503B7"/>
    <w:rsid w:val="00652EA0"/>
    <w:rsid w:val="006548DC"/>
    <w:rsid w:val="00654F93"/>
    <w:rsid w:val="00655787"/>
    <w:rsid w:val="00656901"/>
    <w:rsid w:val="00656AF6"/>
    <w:rsid w:val="00656C07"/>
    <w:rsid w:val="00656EA6"/>
    <w:rsid w:val="00657DB2"/>
    <w:rsid w:val="00660173"/>
    <w:rsid w:val="00660AEB"/>
    <w:rsid w:val="006616FC"/>
    <w:rsid w:val="00661D34"/>
    <w:rsid w:val="0066263B"/>
    <w:rsid w:val="00662CE6"/>
    <w:rsid w:val="0066304D"/>
    <w:rsid w:val="006635AD"/>
    <w:rsid w:val="0066388E"/>
    <w:rsid w:val="00664F38"/>
    <w:rsid w:val="0066643F"/>
    <w:rsid w:val="00666591"/>
    <w:rsid w:val="00666C4D"/>
    <w:rsid w:val="006676AA"/>
    <w:rsid w:val="00670E5C"/>
    <w:rsid w:val="00671016"/>
    <w:rsid w:val="00672324"/>
    <w:rsid w:val="00672C2A"/>
    <w:rsid w:val="0067309C"/>
    <w:rsid w:val="00674056"/>
    <w:rsid w:val="006742D5"/>
    <w:rsid w:val="00674BAE"/>
    <w:rsid w:val="006750D0"/>
    <w:rsid w:val="006751D3"/>
    <w:rsid w:val="006766A0"/>
    <w:rsid w:val="00677073"/>
    <w:rsid w:val="006772CF"/>
    <w:rsid w:val="00677753"/>
    <w:rsid w:val="00680551"/>
    <w:rsid w:val="00680E3D"/>
    <w:rsid w:val="006813D5"/>
    <w:rsid w:val="0068150F"/>
    <w:rsid w:val="0068239C"/>
    <w:rsid w:val="00682554"/>
    <w:rsid w:val="00683A9F"/>
    <w:rsid w:val="00683E83"/>
    <w:rsid w:val="00683F39"/>
    <w:rsid w:val="006842ED"/>
    <w:rsid w:val="006845E2"/>
    <w:rsid w:val="006856CB"/>
    <w:rsid w:val="00686A6E"/>
    <w:rsid w:val="00686D0C"/>
    <w:rsid w:val="00691191"/>
    <w:rsid w:val="00692781"/>
    <w:rsid w:val="00692CE9"/>
    <w:rsid w:val="006933BA"/>
    <w:rsid w:val="0069380C"/>
    <w:rsid w:val="00693A52"/>
    <w:rsid w:val="00694243"/>
    <w:rsid w:val="0069433D"/>
    <w:rsid w:val="00694FCD"/>
    <w:rsid w:val="00695DB7"/>
    <w:rsid w:val="00695FEE"/>
    <w:rsid w:val="0069699D"/>
    <w:rsid w:val="006A069D"/>
    <w:rsid w:val="006A0720"/>
    <w:rsid w:val="006A1190"/>
    <w:rsid w:val="006A2A7D"/>
    <w:rsid w:val="006A2EA3"/>
    <w:rsid w:val="006A3CAC"/>
    <w:rsid w:val="006A474F"/>
    <w:rsid w:val="006A4AA6"/>
    <w:rsid w:val="006A6A5C"/>
    <w:rsid w:val="006A7935"/>
    <w:rsid w:val="006B043D"/>
    <w:rsid w:val="006B04A0"/>
    <w:rsid w:val="006B08B0"/>
    <w:rsid w:val="006B1D17"/>
    <w:rsid w:val="006B1D91"/>
    <w:rsid w:val="006B2894"/>
    <w:rsid w:val="006B3615"/>
    <w:rsid w:val="006B40E1"/>
    <w:rsid w:val="006B4F61"/>
    <w:rsid w:val="006B657A"/>
    <w:rsid w:val="006B67A9"/>
    <w:rsid w:val="006B74E2"/>
    <w:rsid w:val="006C00FE"/>
    <w:rsid w:val="006C3100"/>
    <w:rsid w:val="006C4574"/>
    <w:rsid w:val="006C5021"/>
    <w:rsid w:val="006C526E"/>
    <w:rsid w:val="006C5F92"/>
    <w:rsid w:val="006C6083"/>
    <w:rsid w:val="006C7749"/>
    <w:rsid w:val="006C7E28"/>
    <w:rsid w:val="006D0348"/>
    <w:rsid w:val="006D1417"/>
    <w:rsid w:val="006D1C40"/>
    <w:rsid w:val="006D1EE5"/>
    <w:rsid w:val="006D2592"/>
    <w:rsid w:val="006D3197"/>
    <w:rsid w:val="006D36E4"/>
    <w:rsid w:val="006D44BF"/>
    <w:rsid w:val="006D459A"/>
    <w:rsid w:val="006D4661"/>
    <w:rsid w:val="006D475F"/>
    <w:rsid w:val="006D5A01"/>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3FCD"/>
    <w:rsid w:val="006F455C"/>
    <w:rsid w:val="006F5560"/>
    <w:rsid w:val="006F5AF4"/>
    <w:rsid w:val="006F5D31"/>
    <w:rsid w:val="006F6B15"/>
    <w:rsid w:val="006F6F5B"/>
    <w:rsid w:val="00700473"/>
    <w:rsid w:val="007006F3"/>
    <w:rsid w:val="007014C8"/>
    <w:rsid w:val="00702734"/>
    <w:rsid w:val="00702C0D"/>
    <w:rsid w:val="00702D8C"/>
    <w:rsid w:val="00703B36"/>
    <w:rsid w:val="007050DD"/>
    <w:rsid w:val="00705F80"/>
    <w:rsid w:val="00706082"/>
    <w:rsid w:val="00710294"/>
    <w:rsid w:val="0071068A"/>
    <w:rsid w:val="00710FD9"/>
    <w:rsid w:val="00711963"/>
    <w:rsid w:val="007143D3"/>
    <w:rsid w:val="00714A71"/>
    <w:rsid w:val="007151EF"/>
    <w:rsid w:val="00716F35"/>
    <w:rsid w:val="0071738F"/>
    <w:rsid w:val="00717E53"/>
    <w:rsid w:val="007201E5"/>
    <w:rsid w:val="007204EB"/>
    <w:rsid w:val="00720F98"/>
    <w:rsid w:val="0072132D"/>
    <w:rsid w:val="0072391A"/>
    <w:rsid w:val="00724914"/>
    <w:rsid w:val="00724B51"/>
    <w:rsid w:val="00724C35"/>
    <w:rsid w:val="007258E8"/>
    <w:rsid w:val="00725D27"/>
    <w:rsid w:val="0072626A"/>
    <w:rsid w:val="007274A6"/>
    <w:rsid w:val="00727CD7"/>
    <w:rsid w:val="0073025A"/>
    <w:rsid w:val="00731CAC"/>
    <w:rsid w:val="0073246A"/>
    <w:rsid w:val="00732EB0"/>
    <w:rsid w:val="00736896"/>
    <w:rsid w:val="00736B4A"/>
    <w:rsid w:val="007371C1"/>
    <w:rsid w:val="00742259"/>
    <w:rsid w:val="00743146"/>
    <w:rsid w:val="00745A49"/>
    <w:rsid w:val="00746236"/>
    <w:rsid w:val="00746C36"/>
    <w:rsid w:val="00747E14"/>
    <w:rsid w:val="00750D4C"/>
    <w:rsid w:val="00750FCF"/>
    <w:rsid w:val="0075106E"/>
    <w:rsid w:val="007512E8"/>
    <w:rsid w:val="0075135C"/>
    <w:rsid w:val="00751878"/>
    <w:rsid w:val="00751E83"/>
    <w:rsid w:val="007530B5"/>
    <w:rsid w:val="00753189"/>
    <w:rsid w:val="00753337"/>
    <w:rsid w:val="007533D1"/>
    <w:rsid w:val="007551B6"/>
    <w:rsid w:val="00755AAA"/>
    <w:rsid w:val="00755B69"/>
    <w:rsid w:val="00755E99"/>
    <w:rsid w:val="0075614C"/>
    <w:rsid w:val="00756223"/>
    <w:rsid w:val="00756C63"/>
    <w:rsid w:val="00757BBD"/>
    <w:rsid w:val="00760F0E"/>
    <w:rsid w:val="00761567"/>
    <w:rsid w:val="007617BF"/>
    <w:rsid w:val="00762B06"/>
    <w:rsid w:val="00763564"/>
    <w:rsid w:val="00763CAF"/>
    <w:rsid w:val="007640BF"/>
    <w:rsid w:val="00767944"/>
    <w:rsid w:val="00767BFD"/>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740"/>
    <w:rsid w:val="007919BB"/>
    <w:rsid w:val="00792773"/>
    <w:rsid w:val="007930AD"/>
    <w:rsid w:val="007940EE"/>
    <w:rsid w:val="007944E7"/>
    <w:rsid w:val="0079486C"/>
    <w:rsid w:val="00795729"/>
    <w:rsid w:val="0079720B"/>
    <w:rsid w:val="007A14E6"/>
    <w:rsid w:val="007A1BF0"/>
    <w:rsid w:val="007A2170"/>
    <w:rsid w:val="007A2C3A"/>
    <w:rsid w:val="007A3ED2"/>
    <w:rsid w:val="007A417C"/>
    <w:rsid w:val="007A5442"/>
    <w:rsid w:val="007A64F2"/>
    <w:rsid w:val="007A64F9"/>
    <w:rsid w:val="007A66C6"/>
    <w:rsid w:val="007A6935"/>
    <w:rsid w:val="007A6B2E"/>
    <w:rsid w:val="007B0130"/>
    <w:rsid w:val="007B09C6"/>
    <w:rsid w:val="007B10EE"/>
    <w:rsid w:val="007B31FA"/>
    <w:rsid w:val="007B32C7"/>
    <w:rsid w:val="007B42B7"/>
    <w:rsid w:val="007B47EF"/>
    <w:rsid w:val="007B4C07"/>
    <w:rsid w:val="007B4F37"/>
    <w:rsid w:val="007B5AE3"/>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4DCD"/>
    <w:rsid w:val="007C555E"/>
    <w:rsid w:val="007C5DCA"/>
    <w:rsid w:val="007C6BB3"/>
    <w:rsid w:val="007C6C49"/>
    <w:rsid w:val="007C78AD"/>
    <w:rsid w:val="007C7F9F"/>
    <w:rsid w:val="007D042B"/>
    <w:rsid w:val="007D08E4"/>
    <w:rsid w:val="007D10B3"/>
    <w:rsid w:val="007D1827"/>
    <w:rsid w:val="007D1837"/>
    <w:rsid w:val="007D1B01"/>
    <w:rsid w:val="007D1E12"/>
    <w:rsid w:val="007D381B"/>
    <w:rsid w:val="007D3CFC"/>
    <w:rsid w:val="007D4052"/>
    <w:rsid w:val="007D439A"/>
    <w:rsid w:val="007D4A94"/>
    <w:rsid w:val="007D4D16"/>
    <w:rsid w:val="007D5CAE"/>
    <w:rsid w:val="007D696D"/>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7F6EAE"/>
    <w:rsid w:val="008001B5"/>
    <w:rsid w:val="00800EC3"/>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0F4"/>
    <w:rsid w:val="00827100"/>
    <w:rsid w:val="008307FE"/>
    <w:rsid w:val="00830ADD"/>
    <w:rsid w:val="00830E9D"/>
    <w:rsid w:val="00831A49"/>
    <w:rsid w:val="00832E55"/>
    <w:rsid w:val="0083367D"/>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136A"/>
    <w:rsid w:val="0085207D"/>
    <w:rsid w:val="008522D7"/>
    <w:rsid w:val="008548EE"/>
    <w:rsid w:val="0085508F"/>
    <w:rsid w:val="00855ECA"/>
    <w:rsid w:val="0085671A"/>
    <w:rsid w:val="00856ABA"/>
    <w:rsid w:val="00856EB4"/>
    <w:rsid w:val="00857D84"/>
    <w:rsid w:val="00860236"/>
    <w:rsid w:val="008605DF"/>
    <w:rsid w:val="00860780"/>
    <w:rsid w:val="00860ABD"/>
    <w:rsid w:val="00861582"/>
    <w:rsid w:val="00863C83"/>
    <w:rsid w:val="00865EE2"/>
    <w:rsid w:val="00866152"/>
    <w:rsid w:val="00866805"/>
    <w:rsid w:val="00866FE2"/>
    <w:rsid w:val="00871938"/>
    <w:rsid w:val="00872487"/>
    <w:rsid w:val="00872F86"/>
    <w:rsid w:val="00873209"/>
    <w:rsid w:val="00873A2C"/>
    <w:rsid w:val="00874378"/>
    <w:rsid w:val="00874590"/>
    <w:rsid w:val="00874B19"/>
    <w:rsid w:val="0087524F"/>
    <w:rsid w:val="008765AE"/>
    <w:rsid w:val="00876C10"/>
    <w:rsid w:val="00876E32"/>
    <w:rsid w:val="00877D19"/>
    <w:rsid w:val="00881F9A"/>
    <w:rsid w:val="008821CC"/>
    <w:rsid w:val="00882EA1"/>
    <w:rsid w:val="0088307E"/>
    <w:rsid w:val="008831F4"/>
    <w:rsid w:val="00883501"/>
    <w:rsid w:val="00883E09"/>
    <w:rsid w:val="00884522"/>
    <w:rsid w:val="00886BB4"/>
    <w:rsid w:val="0089088D"/>
    <w:rsid w:val="008916F5"/>
    <w:rsid w:val="00891762"/>
    <w:rsid w:val="00892681"/>
    <w:rsid w:val="00893B31"/>
    <w:rsid w:val="00893C22"/>
    <w:rsid w:val="008942F5"/>
    <w:rsid w:val="00895D90"/>
    <w:rsid w:val="008A02EA"/>
    <w:rsid w:val="008A0AF7"/>
    <w:rsid w:val="008A2534"/>
    <w:rsid w:val="008A3028"/>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AE4"/>
    <w:rsid w:val="008C4CB2"/>
    <w:rsid w:val="008C60E0"/>
    <w:rsid w:val="008D193B"/>
    <w:rsid w:val="008D202A"/>
    <w:rsid w:val="008D2C15"/>
    <w:rsid w:val="008D638C"/>
    <w:rsid w:val="008D699C"/>
    <w:rsid w:val="008E1110"/>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ACC"/>
    <w:rsid w:val="008F4EF8"/>
    <w:rsid w:val="008F509F"/>
    <w:rsid w:val="008F5224"/>
    <w:rsid w:val="008F5999"/>
    <w:rsid w:val="008F5F7C"/>
    <w:rsid w:val="008F61BD"/>
    <w:rsid w:val="008F6E42"/>
    <w:rsid w:val="008F7EA6"/>
    <w:rsid w:val="00901150"/>
    <w:rsid w:val="00901AE5"/>
    <w:rsid w:val="00901DE8"/>
    <w:rsid w:val="00902702"/>
    <w:rsid w:val="009033AA"/>
    <w:rsid w:val="0090363E"/>
    <w:rsid w:val="009042AB"/>
    <w:rsid w:val="009049DC"/>
    <w:rsid w:val="009056E8"/>
    <w:rsid w:val="00905A97"/>
    <w:rsid w:val="0090671C"/>
    <w:rsid w:val="0090764B"/>
    <w:rsid w:val="00907E68"/>
    <w:rsid w:val="00910837"/>
    <w:rsid w:val="00910B02"/>
    <w:rsid w:val="00911153"/>
    <w:rsid w:val="00912853"/>
    <w:rsid w:val="00912CC6"/>
    <w:rsid w:val="009131AF"/>
    <w:rsid w:val="0091402B"/>
    <w:rsid w:val="0091470E"/>
    <w:rsid w:val="00914AEC"/>
    <w:rsid w:val="009151B8"/>
    <w:rsid w:val="00917939"/>
    <w:rsid w:val="009211AE"/>
    <w:rsid w:val="00922295"/>
    <w:rsid w:val="00922936"/>
    <w:rsid w:val="009302EE"/>
    <w:rsid w:val="00930574"/>
    <w:rsid w:val="00930F7D"/>
    <w:rsid w:val="009335E7"/>
    <w:rsid w:val="00933E60"/>
    <w:rsid w:val="009341F6"/>
    <w:rsid w:val="00935426"/>
    <w:rsid w:val="00935F8F"/>
    <w:rsid w:val="0093630C"/>
    <w:rsid w:val="00936648"/>
    <w:rsid w:val="0093709F"/>
    <w:rsid w:val="00942613"/>
    <w:rsid w:val="00942712"/>
    <w:rsid w:val="00944896"/>
    <w:rsid w:val="00944B00"/>
    <w:rsid w:val="00944F09"/>
    <w:rsid w:val="00945D15"/>
    <w:rsid w:val="009519DE"/>
    <w:rsid w:val="0095282D"/>
    <w:rsid w:val="00952F26"/>
    <w:rsid w:val="00953659"/>
    <w:rsid w:val="00955C96"/>
    <w:rsid w:val="00955E6B"/>
    <w:rsid w:val="00955FD6"/>
    <w:rsid w:val="00956BAA"/>
    <w:rsid w:val="00962DA3"/>
    <w:rsid w:val="00963DE2"/>
    <w:rsid w:val="00963E8D"/>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77C56"/>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54C3"/>
    <w:rsid w:val="00996BA2"/>
    <w:rsid w:val="009970AD"/>
    <w:rsid w:val="0099753A"/>
    <w:rsid w:val="00997879"/>
    <w:rsid w:val="00997A8E"/>
    <w:rsid w:val="00997BEE"/>
    <w:rsid w:val="009A0C38"/>
    <w:rsid w:val="009A4E8F"/>
    <w:rsid w:val="009A7A08"/>
    <w:rsid w:val="009B1774"/>
    <w:rsid w:val="009B23A4"/>
    <w:rsid w:val="009B27B7"/>
    <w:rsid w:val="009B39B4"/>
    <w:rsid w:val="009B51BD"/>
    <w:rsid w:val="009B59C9"/>
    <w:rsid w:val="009B605C"/>
    <w:rsid w:val="009B6C83"/>
    <w:rsid w:val="009C04D8"/>
    <w:rsid w:val="009C1D0D"/>
    <w:rsid w:val="009C235D"/>
    <w:rsid w:val="009C256B"/>
    <w:rsid w:val="009C3FFA"/>
    <w:rsid w:val="009C4E41"/>
    <w:rsid w:val="009C5705"/>
    <w:rsid w:val="009C5AD8"/>
    <w:rsid w:val="009C62E6"/>
    <w:rsid w:val="009C65F9"/>
    <w:rsid w:val="009C6AC3"/>
    <w:rsid w:val="009C6BF9"/>
    <w:rsid w:val="009C7415"/>
    <w:rsid w:val="009C78ED"/>
    <w:rsid w:val="009C7D4E"/>
    <w:rsid w:val="009D219B"/>
    <w:rsid w:val="009D4082"/>
    <w:rsid w:val="009D4431"/>
    <w:rsid w:val="009D4677"/>
    <w:rsid w:val="009D4694"/>
    <w:rsid w:val="009D4A51"/>
    <w:rsid w:val="009D593C"/>
    <w:rsid w:val="009D619B"/>
    <w:rsid w:val="009D6363"/>
    <w:rsid w:val="009D652B"/>
    <w:rsid w:val="009E0027"/>
    <w:rsid w:val="009E1EA1"/>
    <w:rsid w:val="009E3530"/>
    <w:rsid w:val="009E6992"/>
    <w:rsid w:val="009E6D26"/>
    <w:rsid w:val="009E6EBF"/>
    <w:rsid w:val="009E70DF"/>
    <w:rsid w:val="009E770D"/>
    <w:rsid w:val="009E7A57"/>
    <w:rsid w:val="009E7A98"/>
    <w:rsid w:val="009F0669"/>
    <w:rsid w:val="009F0CB5"/>
    <w:rsid w:val="009F2440"/>
    <w:rsid w:val="009F3ACF"/>
    <w:rsid w:val="009F3C78"/>
    <w:rsid w:val="009F4D98"/>
    <w:rsid w:val="009F556D"/>
    <w:rsid w:val="009F5B48"/>
    <w:rsid w:val="009F7567"/>
    <w:rsid w:val="009F7BEA"/>
    <w:rsid w:val="00A005CB"/>
    <w:rsid w:val="00A00BC6"/>
    <w:rsid w:val="00A00C88"/>
    <w:rsid w:val="00A01447"/>
    <w:rsid w:val="00A03B43"/>
    <w:rsid w:val="00A03C4C"/>
    <w:rsid w:val="00A05809"/>
    <w:rsid w:val="00A059E7"/>
    <w:rsid w:val="00A05FA5"/>
    <w:rsid w:val="00A07244"/>
    <w:rsid w:val="00A07747"/>
    <w:rsid w:val="00A1227B"/>
    <w:rsid w:val="00A12580"/>
    <w:rsid w:val="00A135E2"/>
    <w:rsid w:val="00A148C9"/>
    <w:rsid w:val="00A1616A"/>
    <w:rsid w:val="00A16CDA"/>
    <w:rsid w:val="00A20A54"/>
    <w:rsid w:val="00A20CD1"/>
    <w:rsid w:val="00A22C7D"/>
    <w:rsid w:val="00A23D5E"/>
    <w:rsid w:val="00A2439B"/>
    <w:rsid w:val="00A24476"/>
    <w:rsid w:val="00A2496F"/>
    <w:rsid w:val="00A24A9C"/>
    <w:rsid w:val="00A24E10"/>
    <w:rsid w:val="00A24F39"/>
    <w:rsid w:val="00A25CAE"/>
    <w:rsid w:val="00A2737B"/>
    <w:rsid w:val="00A30A68"/>
    <w:rsid w:val="00A30B7C"/>
    <w:rsid w:val="00A30DE9"/>
    <w:rsid w:val="00A3340B"/>
    <w:rsid w:val="00A335BF"/>
    <w:rsid w:val="00A33B2E"/>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671"/>
    <w:rsid w:val="00A479AA"/>
    <w:rsid w:val="00A50D6A"/>
    <w:rsid w:val="00A52F03"/>
    <w:rsid w:val="00A53348"/>
    <w:rsid w:val="00A53A13"/>
    <w:rsid w:val="00A53FE3"/>
    <w:rsid w:val="00A54D43"/>
    <w:rsid w:val="00A55797"/>
    <w:rsid w:val="00A57163"/>
    <w:rsid w:val="00A57EAB"/>
    <w:rsid w:val="00A60DF6"/>
    <w:rsid w:val="00A616C4"/>
    <w:rsid w:val="00A6183D"/>
    <w:rsid w:val="00A6369F"/>
    <w:rsid w:val="00A6459C"/>
    <w:rsid w:val="00A65805"/>
    <w:rsid w:val="00A65C17"/>
    <w:rsid w:val="00A66A9E"/>
    <w:rsid w:val="00A66E09"/>
    <w:rsid w:val="00A6794A"/>
    <w:rsid w:val="00A71756"/>
    <w:rsid w:val="00A71E85"/>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52C1"/>
    <w:rsid w:val="00A97871"/>
    <w:rsid w:val="00AA0E0F"/>
    <w:rsid w:val="00AA2440"/>
    <w:rsid w:val="00AA2598"/>
    <w:rsid w:val="00AA2A2E"/>
    <w:rsid w:val="00AA4710"/>
    <w:rsid w:val="00AA4A24"/>
    <w:rsid w:val="00AA4A47"/>
    <w:rsid w:val="00AA4E2C"/>
    <w:rsid w:val="00AA5283"/>
    <w:rsid w:val="00AA5A8C"/>
    <w:rsid w:val="00AA5CD8"/>
    <w:rsid w:val="00AA5E60"/>
    <w:rsid w:val="00AA72CF"/>
    <w:rsid w:val="00AB3657"/>
    <w:rsid w:val="00AB37B5"/>
    <w:rsid w:val="00AB3BC7"/>
    <w:rsid w:val="00AB3F29"/>
    <w:rsid w:val="00AB5199"/>
    <w:rsid w:val="00AB52CF"/>
    <w:rsid w:val="00AB52EE"/>
    <w:rsid w:val="00AB5779"/>
    <w:rsid w:val="00AB65F7"/>
    <w:rsid w:val="00AB6E20"/>
    <w:rsid w:val="00AC2C77"/>
    <w:rsid w:val="00AC3E20"/>
    <w:rsid w:val="00AC445F"/>
    <w:rsid w:val="00AC4EEC"/>
    <w:rsid w:val="00AC5351"/>
    <w:rsid w:val="00AC53C1"/>
    <w:rsid w:val="00AC6ADA"/>
    <w:rsid w:val="00AD112B"/>
    <w:rsid w:val="00AD2C7D"/>
    <w:rsid w:val="00AD2F47"/>
    <w:rsid w:val="00AD3115"/>
    <w:rsid w:val="00AD42E6"/>
    <w:rsid w:val="00AD4778"/>
    <w:rsid w:val="00AD4A77"/>
    <w:rsid w:val="00AD54DF"/>
    <w:rsid w:val="00AD60F5"/>
    <w:rsid w:val="00AD6287"/>
    <w:rsid w:val="00AE14E6"/>
    <w:rsid w:val="00AE1E73"/>
    <w:rsid w:val="00AE2151"/>
    <w:rsid w:val="00AE2E42"/>
    <w:rsid w:val="00AE457C"/>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49F9"/>
    <w:rsid w:val="00AF4C48"/>
    <w:rsid w:val="00AF5375"/>
    <w:rsid w:val="00AF6841"/>
    <w:rsid w:val="00B03864"/>
    <w:rsid w:val="00B042AF"/>
    <w:rsid w:val="00B04A88"/>
    <w:rsid w:val="00B05BD7"/>
    <w:rsid w:val="00B066BA"/>
    <w:rsid w:val="00B07AB1"/>
    <w:rsid w:val="00B07B7E"/>
    <w:rsid w:val="00B07BDE"/>
    <w:rsid w:val="00B11696"/>
    <w:rsid w:val="00B13024"/>
    <w:rsid w:val="00B13488"/>
    <w:rsid w:val="00B13C79"/>
    <w:rsid w:val="00B1462F"/>
    <w:rsid w:val="00B151C0"/>
    <w:rsid w:val="00B153A7"/>
    <w:rsid w:val="00B15926"/>
    <w:rsid w:val="00B15AB5"/>
    <w:rsid w:val="00B15BD1"/>
    <w:rsid w:val="00B16D06"/>
    <w:rsid w:val="00B21ECB"/>
    <w:rsid w:val="00B21F81"/>
    <w:rsid w:val="00B238B1"/>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5019F"/>
    <w:rsid w:val="00B50BCD"/>
    <w:rsid w:val="00B518F6"/>
    <w:rsid w:val="00B51FFE"/>
    <w:rsid w:val="00B52B21"/>
    <w:rsid w:val="00B531FA"/>
    <w:rsid w:val="00B53C8C"/>
    <w:rsid w:val="00B5444D"/>
    <w:rsid w:val="00B56731"/>
    <w:rsid w:val="00B60107"/>
    <w:rsid w:val="00B612B1"/>
    <w:rsid w:val="00B61400"/>
    <w:rsid w:val="00B619C5"/>
    <w:rsid w:val="00B70160"/>
    <w:rsid w:val="00B7045D"/>
    <w:rsid w:val="00B708D8"/>
    <w:rsid w:val="00B71716"/>
    <w:rsid w:val="00B719B9"/>
    <w:rsid w:val="00B7203F"/>
    <w:rsid w:val="00B7242D"/>
    <w:rsid w:val="00B7262D"/>
    <w:rsid w:val="00B72741"/>
    <w:rsid w:val="00B73DD6"/>
    <w:rsid w:val="00B749DA"/>
    <w:rsid w:val="00B74B14"/>
    <w:rsid w:val="00B75168"/>
    <w:rsid w:val="00B753D5"/>
    <w:rsid w:val="00B75583"/>
    <w:rsid w:val="00B75712"/>
    <w:rsid w:val="00B75A7C"/>
    <w:rsid w:val="00B75CE8"/>
    <w:rsid w:val="00B76258"/>
    <w:rsid w:val="00B77CFF"/>
    <w:rsid w:val="00B80B25"/>
    <w:rsid w:val="00B81202"/>
    <w:rsid w:val="00B81559"/>
    <w:rsid w:val="00B81AEA"/>
    <w:rsid w:val="00B823AE"/>
    <w:rsid w:val="00B82422"/>
    <w:rsid w:val="00B83E0B"/>
    <w:rsid w:val="00B83F85"/>
    <w:rsid w:val="00B847B7"/>
    <w:rsid w:val="00B8771A"/>
    <w:rsid w:val="00B90725"/>
    <w:rsid w:val="00B90881"/>
    <w:rsid w:val="00B9137A"/>
    <w:rsid w:val="00B914F8"/>
    <w:rsid w:val="00B91CC4"/>
    <w:rsid w:val="00B922B4"/>
    <w:rsid w:val="00B92BCD"/>
    <w:rsid w:val="00B933D0"/>
    <w:rsid w:val="00B93BB3"/>
    <w:rsid w:val="00B941B1"/>
    <w:rsid w:val="00B949B4"/>
    <w:rsid w:val="00B954B5"/>
    <w:rsid w:val="00B95776"/>
    <w:rsid w:val="00B95829"/>
    <w:rsid w:val="00B96F1C"/>
    <w:rsid w:val="00B97476"/>
    <w:rsid w:val="00BA0A25"/>
    <w:rsid w:val="00BA0AF2"/>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2D7B"/>
    <w:rsid w:val="00BE352C"/>
    <w:rsid w:val="00BE3697"/>
    <w:rsid w:val="00BE3F16"/>
    <w:rsid w:val="00BE5152"/>
    <w:rsid w:val="00BE6457"/>
    <w:rsid w:val="00BE6A3D"/>
    <w:rsid w:val="00BE792C"/>
    <w:rsid w:val="00BE7947"/>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0E5F"/>
    <w:rsid w:val="00C11E78"/>
    <w:rsid w:val="00C12AD9"/>
    <w:rsid w:val="00C13767"/>
    <w:rsid w:val="00C141A0"/>
    <w:rsid w:val="00C14E35"/>
    <w:rsid w:val="00C16297"/>
    <w:rsid w:val="00C20478"/>
    <w:rsid w:val="00C22665"/>
    <w:rsid w:val="00C22A12"/>
    <w:rsid w:val="00C22BCB"/>
    <w:rsid w:val="00C23344"/>
    <w:rsid w:val="00C2396C"/>
    <w:rsid w:val="00C23EC2"/>
    <w:rsid w:val="00C24053"/>
    <w:rsid w:val="00C242F0"/>
    <w:rsid w:val="00C24F01"/>
    <w:rsid w:val="00C253B8"/>
    <w:rsid w:val="00C2564B"/>
    <w:rsid w:val="00C26986"/>
    <w:rsid w:val="00C26B49"/>
    <w:rsid w:val="00C27611"/>
    <w:rsid w:val="00C2764A"/>
    <w:rsid w:val="00C30684"/>
    <w:rsid w:val="00C3078B"/>
    <w:rsid w:val="00C3268F"/>
    <w:rsid w:val="00C331AC"/>
    <w:rsid w:val="00C336B9"/>
    <w:rsid w:val="00C338FD"/>
    <w:rsid w:val="00C33D6B"/>
    <w:rsid w:val="00C344E4"/>
    <w:rsid w:val="00C356A7"/>
    <w:rsid w:val="00C35D7D"/>
    <w:rsid w:val="00C36DD2"/>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DB9"/>
    <w:rsid w:val="00C60580"/>
    <w:rsid w:val="00C60A09"/>
    <w:rsid w:val="00C61A70"/>
    <w:rsid w:val="00C63B65"/>
    <w:rsid w:val="00C63E2A"/>
    <w:rsid w:val="00C65A7E"/>
    <w:rsid w:val="00C65CBF"/>
    <w:rsid w:val="00C66437"/>
    <w:rsid w:val="00C666B3"/>
    <w:rsid w:val="00C71C40"/>
    <w:rsid w:val="00C7272D"/>
    <w:rsid w:val="00C732FE"/>
    <w:rsid w:val="00C73377"/>
    <w:rsid w:val="00C737DD"/>
    <w:rsid w:val="00C73D49"/>
    <w:rsid w:val="00C742F7"/>
    <w:rsid w:val="00C755D8"/>
    <w:rsid w:val="00C757A5"/>
    <w:rsid w:val="00C767BB"/>
    <w:rsid w:val="00C76A18"/>
    <w:rsid w:val="00C76EAD"/>
    <w:rsid w:val="00C77B43"/>
    <w:rsid w:val="00C77BE8"/>
    <w:rsid w:val="00C81D35"/>
    <w:rsid w:val="00C828AB"/>
    <w:rsid w:val="00C83B8E"/>
    <w:rsid w:val="00C8444E"/>
    <w:rsid w:val="00C85350"/>
    <w:rsid w:val="00C8545B"/>
    <w:rsid w:val="00C87747"/>
    <w:rsid w:val="00C87E64"/>
    <w:rsid w:val="00C9019A"/>
    <w:rsid w:val="00C9034C"/>
    <w:rsid w:val="00C916E7"/>
    <w:rsid w:val="00C94C26"/>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44A4"/>
    <w:rsid w:val="00CC4B99"/>
    <w:rsid w:val="00CC5C41"/>
    <w:rsid w:val="00CC70A6"/>
    <w:rsid w:val="00CC7D0E"/>
    <w:rsid w:val="00CD05AD"/>
    <w:rsid w:val="00CD0DA1"/>
    <w:rsid w:val="00CD1837"/>
    <w:rsid w:val="00CD2C29"/>
    <w:rsid w:val="00CD337F"/>
    <w:rsid w:val="00CD44A9"/>
    <w:rsid w:val="00CD5332"/>
    <w:rsid w:val="00CD5B29"/>
    <w:rsid w:val="00CD6AAD"/>
    <w:rsid w:val="00CE030C"/>
    <w:rsid w:val="00CE065D"/>
    <w:rsid w:val="00CE0BC9"/>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23F5"/>
    <w:rsid w:val="00D0376F"/>
    <w:rsid w:val="00D03D1B"/>
    <w:rsid w:val="00D05142"/>
    <w:rsid w:val="00D052DE"/>
    <w:rsid w:val="00D07092"/>
    <w:rsid w:val="00D1075C"/>
    <w:rsid w:val="00D107CF"/>
    <w:rsid w:val="00D10DF8"/>
    <w:rsid w:val="00D12B5B"/>
    <w:rsid w:val="00D12DB0"/>
    <w:rsid w:val="00D13863"/>
    <w:rsid w:val="00D138A4"/>
    <w:rsid w:val="00D148FD"/>
    <w:rsid w:val="00D150D3"/>
    <w:rsid w:val="00D1510C"/>
    <w:rsid w:val="00D16341"/>
    <w:rsid w:val="00D16621"/>
    <w:rsid w:val="00D216DD"/>
    <w:rsid w:val="00D21A84"/>
    <w:rsid w:val="00D23A8D"/>
    <w:rsid w:val="00D24B46"/>
    <w:rsid w:val="00D24C0D"/>
    <w:rsid w:val="00D253FE"/>
    <w:rsid w:val="00D2651C"/>
    <w:rsid w:val="00D316D3"/>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193"/>
    <w:rsid w:val="00D52FCE"/>
    <w:rsid w:val="00D538A2"/>
    <w:rsid w:val="00D54B8A"/>
    <w:rsid w:val="00D54EEE"/>
    <w:rsid w:val="00D55AF0"/>
    <w:rsid w:val="00D56E8C"/>
    <w:rsid w:val="00D574AA"/>
    <w:rsid w:val="00D60A1F"/>
    <w:rsid w:val="00D6136C"/>
    <w:rsid w:val="00D617E0"/>
    <w:rsid w:val="00D62890"/>
    <w:rsid w:val="00D6354D"/>
    <w:rsid w:val="00D637D2"/>
    <w:rsid w:val="00D654DD"/>
    <w:rsid w:val="00D65BB6"/>
    <w:rsid w:val="00D66325"/>
    <w:rsid w:val="00D667B3"/>
    <w:rsid w:val="00D66A46"/>
    <w:rsid w:val="00D67615"/>
    <w:rsid w:val="00D67F30"/>
    <w:rsid w:val="00D7121E"/>
    <w:rsid w:val="00D71524"/>
    <w:rsid w:val="00D71702"/>
    <w:rsid w:val="00D722C7"/>
    <w:rsid w:val="00D7281A"/>
    <w:rsid w:val="00D72CB3"/>
    <w:rsid w:val="00D72DE6"/>
    <w:rsid w:val="00D72E44"/>
    <w:rsid w:val="00D73DD9"/>
    <w:rsid w:val="00D74250"/>
    <w:rsid w:val="00D759D6"/>
    <w:rsid w:val="00D77C49"/>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A7A31"/>
    <w:rsid w:val="00DB056D"/>
    <w:rsid w:val="00DB1E11"/>
    <w:rsid w:val="00DB2A40"/>
    <w:rsid w:val="00DB3DAF"/>
    <w:rsid w:val="00DB4895"/>
    <w:rsid w:val="00DB4946"/>
    <w:rsid w:val="00DB4D30"/>
    <w:rsid w:val="00DB69B7"/>
    <w:rsid w:val="00DB7098"/>
    <w:rsid w:val="00DC04B3"/>
    <w:rsid w:val="00DC0F42"/>
    <w:rsid w:val="00DC117A"/>
    <w:rsid w:val="00DC2C31"/>
    <w:rsid w:val="00DC481B"/>
    <w:rsid w:val="00DD06E1"/>
    <w:rsid w:val="00DD07D3"/>
    <w:rsid w:val="00DD132E"/>
    <w:rsid w:val="00DD13CF"/>
    <w:rsid w:val="00DD1ABE"/>
    <w:rsid w:val="00DD2436"/>
    <w:rsid w:val="00DD30A1"/>
    <w:rsid w:val="00DD3601"/>
    <w:rsid w:val="00DD3A5A"/>
    <w:rsid w:val="00DD469B"/>
    <w:rsid w:val="00DD46A5"/>
    <w:rsid w:val="00DD5165"/>
    <w:rsid w:val="00DD6423"/>
    <w:rsid w:val="00DD7BBF"/>
    <w:rsid w:val="00DE0EE4"/>
    <w:rsid w:val="00DE1469"/>
    <w:rsid w:val="00DE3614"/>
    <w:rsid w:val="00DE4376"/>
    <w:rsid w:val="00DE481B"/>
    <w:rsid w:val="00DE51ED"/>
    <w:rsid w:val="00DE6C26"/>
    <w:rsid w:val="00DF03CD"/>
    <w:rsid w:val="00DF1B72"/>
    <w:rsid w:val="00DF1EED"/>
    <w:rsid w:val="00DF21CE"/>
    <w:rsid w:val="00DF22D2"/>
    <w:rsid w:val="00DF28D8"/>
    <w:rsid w:val="00DF30CB"/>
    <w:rsid w:val="00DF3446"/>
    <w:rsid w:val="00DF52AE"/>
    <w:rsid w:val="00DF5BF1"/>
    <w:rsid w:val="00DF64E8"/>
    <w:rsid w:val="00DF7926"/>
    <w:rsid w:val="00E003E4"/>
    <w:rsid w:val="00E00CA2"/>
    <w:rsid w:val="00E0119F"/>
    <w:rsid w:val="00E01445"/>
    <w:rsid w:val="00E02CE7"/>
    <w:rsid w:val="00E03789"/>
    <w:rsid w:val="00E04075"/>
    <w:rsid w:val="00E04E95"/>
    <w:rsid w:val="00E057DE"/>
    <w:rsid w:val="00E06E13"/>
    <w:rsid w:val="00E070DC"/>
    <w:rsid w:val="00E102C3"/>
    <w:rsid w:val="00E104D5"/>
    <w:rsid w:val="00E10602"/>
    <w:rsid w:val="00E110BB"/>
    <w:rsid w:val="00E11AFF"/>
    <w:rsid w:val="00E11D00"/>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27EC0"/>
    <w:rsid w:val="00E30BF2"/>
    <w:rsid w:val="00E31B69"/>
    <w:rsid w:val="00E3378B"/>
    <w:rsid w:val="00E3428E"/>
    <w:rsid w:val="00E343E9"/>
    <w:rsid w:val="00E3518A"/>
    <w:rsid w:val="00E3539B"/>
    <w:rsid w:val="00E36C16"/>
    <w:rsid w:val="00E425E8"/>
    <w:rsid w:val="00E4270A"/>
    <w:rsid w:val="00E43667"/>
    <w:rsid w:val="00E4496B"/>
    <w:rsid w:val="00E45286"/>
    <w:rsid w:val="00E46CA6"/>
    <w:rsid w:val="00E47964"/>
    <w:rsid w:val="00E47EC9"/>
    <w:rsid w:val="00E51581"/>
    <w:rsid w:val="00E51BAE"/>
    <w:rsid w:val="00E51FCC"/>
    <w:rsid w:val="00E543D3"/>
    <w:rsid w:val="00E54C6B"/>
    <w:rsid w:val="00E550F0"/>
    <w:rsid w:val="00E565E7"/>
    <w:rsid w:val="00E567C1"/>
    <w:rsid w:val="00E60034"/>
    <w:rsid w:val="00E60302"/>
    <w:rsid w:val="00E62071"/>
    <w:rsid w:val="00E620D0"/>
    <w:rsid w:val="00E62A2A"/>
    <w:rsid w:val="00E64A41"/>
    <w:rsid w:val="00E64DD7"/>
    <w:rsid w:val="00E65A9D"/>
    <w:rsid w:val="00E66353"/>
    <w:rsid w:val="00E66DF5"/>
    <w:rsid w:val="00E67061"/>
    <w:rsid w:val="00E67EFA"/>
    <w:rsid w:val="00E7024C"/>
    <w:rsid w:val="00E72780"/>
    <w:rsid w:val="00E73089"/>
    <w:rsid w:val="00E730D0"/>
    <w:rsid w:val="00E7356C"/>
    <w:rsid w:val="00E7390E"/>
    <w:rsid w:val="00E73973"/>
    <w:rsid w:val="00E76B34"/>
    <w:rsid w:val="00E77E24"/>
    <w:rsid w:val="00E8157D"/>
    <w:rsid w:val="00E82101"/>
    <w:rsid w:val="00E837B9"/>
    <w:rsid w:val="00E83894"/>
    <w:rsid w:val="00E8421B"/>
    <w:rsid w:val="00E84222"/>
    <w:rsid w:val="00E84490"/>
    <w:rsid w:val="00E85EE6"/>
    <w:rsid w:val="00E8657F"/>
    <w:rsid w:val="00E9033D"/>
    <w:rsid w:val="00E91D03"/>
    <w:rsid w:val="00E9248A"/>
    <w:rsid w:val="00E95D0B"/>
    <w:rsid w:val="00E95FB4"/>
    <w:rsid w:val="00E96D00"/>
    <w:rsid w:val="00E973E3"/>
    <w:rsid w:val="00E978CD"/>
    <w:rsid w:val="00EA0278"/>
    <w:rsid w:val="00EA032D"/>
    <w:rsid w:val="00EA0FAC"/>
    <w:rsid w:val="00EA17FA"/>
    <w:rsid w:val="00EA38AA"/>
    <w:rsid w:val="00EA397A"/>
    <w:rsid w:val="00EA3F32"/>
    <w:rsid w:val="00EA404B"/>
    <w:rsid w:val="00EA6DF7"/>
    <w:rsid w:val="00EB10BA"/>
    <w:rsid w:val="00EB16E6"/>
    <w:rsid w:val="00EB1CD9"/>
    <w:rsid w:val="00EB2914"/>
    <w:rsid w:val="00EB2B91"/>
    <w:rsid w:val="00EB2EFC"/>
    <w:rsid w:val="00EB3158"/>
    <w:rsid w:val="00EB3307"/>
    <w:rsid w:val="00EB4422"/>
    <w:rsid w:val="00EB57AD"/>
    <w:rsid w:val="00EB58C7"/>
    <w:rsid w:val="00EB5907"/>
    <w:rsid w:val="00EB5C6A"/>
    <w:rsid w:val="00EB6B08"/>
    <w:rsid w:val="00EB778C"/>
    <w:rsid w:val="00EB785F"/>
    <w:rsid w:val="00EB78E9"/>
    <w:rsid w:val="00EC1C87"/>
    <w:rsid w:val="00EC26F6"/>
    <w:rsid w:val="00EC27CD"/>
    <w:rsid w:val="00EC3465"/>
    <w:rsid w:val="00EC3EF6"/>
    <w:rsid w:val="00EC4873"/>
    <w:rsid w:val="00EC48F3"/>
    <w:rsid w:val="00EC5C22"/>
    <w:rsid w:val="00EC63D6"/>
    <w:rsid w:val="00EC65BD"/>
    <w:rsid w:val="00EC6696"/>
    <w:rsid w:val="00EC6E49"/>
    <w:rsid w:val="00EC6EAB"/>
    <w:rsid w:val="00EC6FA0"/>
    <w:rsid w:val="00EC73BA"/>
    <w:rsid w:val="00ED21CB"/>
    <w:rsid w:val="00ED270B"/>
    <w:rsid w:val="00ED2804"/>
    <w:rsid w:val="00ED4011"/>
    <w:rsid w:val="00ED41F7"/>
    <w:rsid w:val="00ED4E5F"/>
    <w:rsid w:val="00ED55B2"/>
    <w:rsid w:val="00ED5FB2"/>
    <w:rsid w:val="00ED6105"/>
    <w:rsid w:val="00ED6AA1"/>
    <w:rsid w:val="00ED779B"/>
    <w:rsid w:val="00EE07B8"/>
    <w:rsid w:val="00EE081B"/>
    <w:rsid w:val="00EE0D57"/>
    <w:rsid w:val="00EE227B"/>
    <w:rsid w:val="00EE2C0E"/>
    <w:rsid w:val="00EE32DA"/>
    <w:rsid w:val="00EE44BC"/>
    <w:rsid w:val="00EE47F1"/>
    <w:rsid w:val="00EE5491"/>
    <w:rsid w:val="00EE6152"/>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2017B"/>
    <w:rsid w:val="00F20B1C"/>
    <w:rsid w:val="00F22725"/>
    <w:rsid w:val="00F23868"/>
    <w:rsid w:val="00F24BE3"/>
    <w:rsid w:val="00F24BF3"/>
    <w:rsid w:val="00F256DB"/>
    <w:rsid w:val="00F25F05"/>
    <w:rsid w:val="00F26D3A"/>
    <w:rsid w:val="00F26FF8"/>
    <w:rsid w:val="00F27413"/>
    <w:rsid w:val="00F30EEC"/>
    <w:rsid w:val="00F30F57"/>
    <w:rsid w:val="00F32FF3"/>
    <w:rsid w:val="00F33B84"/>
    <w:rsid w:val="00F34E9F"/>
    <w:rsid w:val="00F37CC7"/>
    <w:rsid w:val="00F403DD"/>
    <w:rsid w:val="00F41058"/>
    <w:rsid w:val="00F416DD"/>
    <w:rsid w:val="00F4180E"/>
    <w:rsid w:val="00F41861"/>
    <w:rsid w:val="00F42C7D"/>
    <w:rsid w:val="00F43701"/>
    <w:rsid w:val="00F45115"/>
    <w:rsid w:val="00F45852"/>
    <w:rsid w:val="00F46D8E"/>
    <w:rsid w:val="00F50BDC"/>
    <w:rsid w:val="00F52740"/>
    <w:rsid w:val="00F52B4D"/>
    <w:rsid w:val="00F53957"/>
    <w:rsid w:val="00F546A8"/>
    <w:rsid w:val="00F54B08"/>
    <w:rsid w:val="00F55032"/>
    <w:rsid w:val="00F57372"/>
    <w:rsid w:val="00F578B5"/>
    <w:rsid w:val="00F6064C"/>
    <w:rsid w:val="00F6210D"/>
    <w:rsid w:val="00F63E2A"/>
    <w:rsid w:val="00F64015"/>
    <w:rsid w:val="00F64B37"/>
    <w:rsid w:val="00F64D47"/>
    <w:rsid w:val="00F65191"/>
    <w:rsid w:val="00F65621"/>
    <w:rsid w:val="00F65A3D"/>
    <w:rsid w:val="00F67594"/>
    <w:rsid w:val="00F7080A"/>
    <w:rsid w:val="00F71867"/>
    <w:rsid w:val="00F74E4D"/>
    <w:rsid w:val="00F757F3"/>
    <w:rsid w:val="00F75B8B"/>
    <w:rsid w:val="00F76DBF"/>
    <w:rsid w:val="00F800AA"/>
    <w:rsid w:val="00F804CF"/>
    <w:rsid w:val="00F80DE5"/>
    <w:rsid w:val="00F80E0E"/>
    <w:rsid w:val="00F81C71"/>
    <w:rsid w:val="00F8228F"/>
    <w:rsid w:val="00F825B8"/>
    <w:rsid w:val="00F82FE6"/>
    <w:rsid w:val="00F831F2"/>
    <w:rsid w:val="00F83B12"/>
    <w:rsid w:val="00F84B01"/>
    <w:rsid w:val="00F84B92"/>
    <w:rsid w:val="00F84F3E"/>
    <w:rsid w:val="00F857EC"/>
    <w:rsid w:val="00F85D8A"/>
    <w:rsid w:val="00F90594"/>
    <w:rsid w:val="00F909D3"/>
    <w:rsid w:val="00F91590"/>
    <w:rsid w:val="00F91C40"/>
    <w:rsid w:val="00F91E21"/>
    <w:rsid w:val="00F923BA"/>
    <w:rsid w:val="00F93690"/>
    <w:rsid w:val="00F940F2"/>
    <w:rsid w:val="00F94A3D"/>
    <w:rsid w:val="00F95478"/>
    <w:rsid w:val="00F96136"/>
    <w:rsid w:val="00F97D45"/>
    <w:rsid w:val="00FA042A"/>
    <w:rsid w:val="00FA15F6"/>
    <w:rsid w:val="00FA16CC"/>
    <w:rsid w:val="00FA1E10"/>
    <w:rsid w:val="00FA1E97"/>
    <w:rsid w:val="00FA1ED8"/>
    <w:rsid w:val="00FA3240"/>
    <w:rsid w:val="00FA35A7"/>
    <w:rsid w:val="00FA3A11"/>
    <w:rsid w:val="00FA478F"/>
    <w:rsid w:val="00FA491A"/>
    <w:rsid w:val="00FA50B2"/>
    <w:rsid w:val="00FA58D6"/>
    <w:rsid w:val="00FA5BF7"/>
    <w:rsid w:val="00FA724C"/>
    <w:rsid w:val="00FA75AB"/>
    <w:rsid w:val="00FA793B"/>
    <w:rsid w:val="00FB1497"/>
    <w:rsid w:val="00FB158C"/>
    <w:rsid w:val="00FB1A61"/>
    <w:rsid w:val="00FB21E4"/>
    <w:rsid w:val="00FB2329"/>
    <w:rsid w:val="00FB2456"/>
    <w:rsid w:val="00FB2ED5"/>
    <w:rsid w:val="00FB3F29"/>
    <w:rsid w:val="00FB46DE"/>
    <w:rsid w:val="00FB5E42"/>
    <w:rsid w:val="00FB69C6"/>
    <w:rsid w:val="00FB762C"/>
    <w:rsid w:val="00FC2368"/>
    <w:rsid w:val="00FC32C8"/>
    <w:rsid w:val="00FC3A9D"/>
    <w:rsid w:val="00FC4591"/>
    <w:rsid w:val="00FC5276"/>
    <w:rsid w:val="00FC568B"/>
    <w:rsid w:val="00FC61F0"/>
    <w:rsid w:val="00FC6296"/>
    <w:rsid w:val="00FC66F7"/>
    <w:rsid w:val="00FD08E8"/>
    <w:rsid w:val="00FD1BB0"/>
    <w:rsid w:val="00FD1BD6"/>
    <w:rsid w:val="00FD2789"/>
    <w:rsid w:val="00FD2F36"/>
    <w:rsid w:val="00FD40EF"/>
    <w:rsid w:val="00FD4868"/>
    <w:rsid w:val="00FD5B96"/>
    <w:rsid w:val="00FD7224"/>
    <w:rsid w:val="00FE1506"/>
    <w:rsid w:val="00FE317B"/>
    <w:rsid w:val="00FE3342"/>
    <w:rsid w:val="00FE364A"/>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39015999">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328862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488115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63934624">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71206195">
      <w:bodyDiv w:val="1"/>
      <w:marLeft w:val="0"/>
      <w:marRight w:val="0"/>
      <w:marTop w:val="0"/>
      <w:marBottom w:val="0"/>
      <w:divBdr>
        <w:top w:val="none" w:sz="0" w:space="0" w:color="auto"/>
        <w:left w:val="none" w:sz="0" w:space="0" w:color="auto"/>
        <w:bottom w:val="none" w:sz="0" w:space="0" w:color="auto"/>
        <w:right w:val="none" w:sz="0" w:space="0" w:color="auto"/>
      </w:divBdr>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13728322">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65719720">
      <w:bodyDiv w:val="1"/>
      <w:marLeft w:val="0"/>
      <w:marRight w:val="0"/>
      <w:marTop w:val="0"/>
      <w:marBottom w:val="0"/>
      <w:divBdr>
        <w:top w:val="none" w:sz="0" w:space="0" w:color="auto"/>
        <w:left w:val="none" w:sz="0" w:space="0" w:color="auto"/>
        <w:bottom w:val="none" w:sz="0" w:space="0" w:color="auto"/>
        <w:right w:val="none" w:sz="0" w:space="0" w:color="auto"/>
      </w:divBdr>
    </w:div>
    <w:div w:id="371000182">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28431840">
      <w:bodyDiv w:val="1"/>
      <w:marLeft w:val="0"/>
      <w:marRight w:val="0"/>
      <w:marTop w:val="0"/>
      <w:marBottom w:val="0"/>
      <w:divBdr>
        <w:top w:val="none" w:sz="0" w:space="0" w:color="auto"/>
        <w:left w:val="none" w:sz="0" w:space="0" w:color="auto"/>
        <w:bottom w:val="none" w:sz="0" w:space="0" w:color="auto"/>
        <w:right w:val="none" w:sz="0" w:space="0" w:color="auto"/>
      </w:divBdr>
    </w:div>
    <w:div w:id="4311700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099936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59569508">
      <w:bodyDiv w:val="1"/>
      <w:marLeft w:val="0"/>
      <w:marRight w:val="0"/>
      <w:marTop w:val="0"/>
      <w:marBottom w:val="0"/>
      <w:divBdr>
        <w:top w:val="none" w:sz="0" w:space="0" w:color="auto"/>
        <w:left w:val="none" w:sz="0" w:space="0" w:color="auto"/>
        <w:bottom w:val="none" w:sz="0" w:space="0" w:color="auto"/>
        <w:right w:val="none" w:sz="0" w:space="0" w:color="auto"/>
      </w:divBdr>
    </w:div>
    <w:div w:id="463692745">
      <w:bodyDiv w:val="1"/>
      <w:marLeft w:val="0"/>
      <w:marRight w:val="0"/>
      <w:marTop w:val="0"/>
      <w:marBottom w:val="0"/>
      <w:divBdr>
        <w:top w:val="none" w:sz="0" w:space="0" w:color="auto"/>
        <w:left w:val="none" w:sz="0" w:space="0" w:color="auto"/>
        <w:bottom w:val="none" w:sz="0" w:space="0" w:color="auto"/>
        <w:right w:val="none" w:sz="0" w:space="0" w:color="auto"/>
      </w:divBdr>
    </w:div>
    <w:div w:id="473956878">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83670737">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492068575">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14538370">
      <w:bodyDiv w:val="1"/>
      <w:marLeft w:val="0"/>
      <w:marRight w:val="0"/>
      <w:marTop w:val="0"/>
      <w:marBottom w:val="0"/>
      <w:divBdr>
        <w:top w:val="none" w:sz="0" w:space="0" w:color="auto"/>
        <w:left w:val="none" w:sz="0" w:space="0" w:color="auto"/>
        <w:bottom w:val="none" w:sz="0" w:space="0" w:color="auto"/>
        <w:right w:val="none" w:sz="0" w:space="0" w:color="auto"/>
      </w:divBdr>
    </w:div>
    <w:div w:id="514543051">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36885181">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85446087">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1906408">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2390468">
      <w:bodyDiv w:val="1"/>
      <w:marLeft w:val="0"/>
      <w:marRight w:val="0"/>
      <w:marTop w:val="0"/>
      <w:marBottom w:val="0"/>
      <w:divBdr>
        <w:top w:val="none" w:sz="0" w:space="0" w:color="auto"/>
        <w:left w:val="none" w:sz="0" w:space="0" w:color="auto"/>
        <w:bottom w:val="none" w:sz="0" w:space="0" w:color="auto"/>
        <w:right w:val="none" w:sz="0" w:space="0" w:color="auto"/>
      </w:divBdr>
    </w:div>
    <w:div w:id="737167927">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19422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2033927">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993217931">
      <w:bodyDiv w:val="1"/>
      <w:marLeft w:val="0"/>
      <w:marRight w:val="0"/>
      <w:marTop w:val="0"/>
      <w:marBottom w:val="0"/>
      <w:divBdr>
        <w:top w:val="none" w:sz="0" w:space="0" w:color="auto"/>
        <w:left w:val="none" w:sz="0" w:space="0" w:color="auto"/>
        <w:bottom w:val="none" w:sz="0" w:space="0" w:color="auto"/>
        <w:right w:val="none" w:sz="0" w:space="0" w:color="auto"/>
      </w:divBdr>
    </w:div>
    <w:div w:id="102743986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7813697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2400971">
      <w:bodyDiv w:val="1"/>
      <w:marLeft w:val="0"/>
      <w:marRight w:val="0"/>
      <w:marTop w:val="0"/>
      <w:marBottom w:val="0"/>
      <w:divBdr>
        <w:top w:val="none" w:sz="0" w:space="0" w:color="auto"/>
        <w:left w:val="none" w:sz="0" w:space="0" w:color="auto"/>
        <w:bottom w:val="none" w:sz="0" w:space="0" w:color="auto"/>
        <w:right w:val="none" w:sz="0" w:space="0" w:color="auto"/>
      </w:divBdr>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46636057">
      <w:bodyDiv w:val="1"/>
      <w:marLeft w:val="0"/>
      <w:marRight w:val="0"/>
      <w:marTop w:val="0"/>
      <w:marBottom w:val="0"/>
      <w:divBdr>
        <w:top w:val="none" w:sz="0" w:space="0" w:color="auto"/>
        <w:left w:val="none" w:sz="0" w:space="0" w:color="auto"/>
        <w:bottom w:val="none" w:sz="0" w:space="0" w:color="auto"/>
        <w:right w:val="none" w:sz="0" w:space="0" w:color="auto"/>
      </w:divBdr>
    </w:div>
    <w:div w:id="1367677859">
      <w:bodyDiv w:val="1"/>
      <w:marLeft w:val="0"/>
      <w:marRight w:val="0"/>
      <w:marTop w:val="0"/>
      <w:marBottom w:val="0"/>
      <w:divBdr>
        <w:top w:val="none" w:sz="0" w:space="0" w:color="auto"/>
        <w:left w:val="none" w:sz="0" w:space="0" w:color="auto"/>
        <w:bottom w:val="none" w:sz="0" w:space="0" w:color="auto"/>
        <w:right w:val="none" w:sz="0" w:space="0" w:color="auto"/>
      </w:divBdr>
    </w:div>
    <w:div w:id="1368221254">
      <w:bodyDiv w:val="1"/>
      <w:marLeft w:val="0"/>
      <w:marRight w:val="0"/>
      <w:marTop w:val="0"/>
      <w:marBottom w:val="0"/>
      <w:divBdr>
        <w:top w:val="none" w:sz="0" w:space="0" w:color="auto"/>
        <w:left w:val="none" w:sz="0" w:space="0" w:color="auto"/>
        <w:bottom w:val="none" w:sz="0" w:space="0" w:color="auto"/>
        <w:right w:val="none" w:sz="0" w:space="0" w:color="auto"/>
      </w:divBdr>
    </w:div>
    <w:div w:id="1372656164">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19599634">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494953443">
      <w:bodyDiv w:val="1"/>
      <w:marLeft w:val="0"/>
      <w:marRight w:val="0"/>
      <w:marTop w:val="0"/>
      <w:marBottom w:val="0"/>
      <w:divBdr>
        <w:top w:val="none" w:sz="0" w:space="0" w:color="auto"/>
        <w:left w:val="none" w:sz="0" w:space="0" w:color="auto"/>
        <w:bottom w:val="none" w:sz="0" w:space="0" w:color="auto"/>
        <w:right w:val="none" w:sz="0" w:space="0" w:color="auto"/>
      </w:divBdr>
    </w:div>
    <w:div w:id="1496846366">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49141634">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88686338">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07083280">
      <w:bodyDiv w:val="1"/>
      <w:marLeft w:val="0"/>
      <w:marRight w:val="0"/>
      <w:marTop w:val="0"/>
      <w:marBottom w:val="0"/>
      <w:divBdr>
        <w:top w:val="none" w:sz="0" w:space="0" w:color="auto"/>
        <w:left w:val="none" w:sz="0" w:space="0" w:color="auto"/>
        <w:bottom w:val="none" w:sz="0" w:space="0" w:color="auto"/>
        <w:right w:val="none" w:sz="0" w:space="0" w:color="auto"/>
      </w:divBdr>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527497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684815338">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5712753">
      <w:bodyDiv w:val="1"/>
      <w:marLeft w:val="0"/>
      <w:marRight w:val="0"/>
      <w:marTop w:val="0"/>
      <w:marBottom w:val="0"/>
      <w:divBdr>
        <w:top w:val="none" w:sz="0" w:space="0" w:color="auto"/>
        <w:left w:val="none" w:sz="0" w:space="0" w:color="auto"/>
        <w:bottom w:val="none" w:sz="0" w:space="0" w:color="auto"/>
        <w:right w:val="none" w:sz="0" w:space="0" w:color="auto"/>
      </w:divBdr>
    </w:div>
    <w:div w:id="1726172415">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43285156">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0539461">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2429993">
      <w:bodyDiv w:val="1"/>
      <w:marLeft w:val="0"/>
      <w:marRight w:val="0"/>
      <w:marTop w:val="0"/>
      <w:marBottom w:val="0"/>
      <w:divBdr>
        <w:top w:val="none" w:sz="0" w:space="0" w:color="auto"/>
        <w:left w:val="none" w:sz="0" w:space="0" w:color="auto"/>
        <w:bottom w:val="none" w:sz="0" w:space="0" w:color="auto"/>
        <w:right w:val="none" w:sz="0" w:space="0" w:color="auto"/>
      </w:divBdr>
    </w:div>
    <w:div w:id="1849051688">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2305165">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899121582">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1682644">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69835269">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19864</Words>
  <Characters>125144</Characters>
  <Application>Microsoft Office Word</Application>
  <DocSecurity>0</DocSecurity>
  <Lines>2780</Lines>
  <Paragraphs>1421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143587</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165</cp:revision>
  <dcterms:created xsi:type="dcterms:W3CDTF">2025-03-18T13:52:00Z</dcterms:created>
  <dcterms:modified xsi:type="dcterms:W3CDTF">2025-03-27T19:29:00Z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zotero-version="7.0.15"&gt;&lt;session id="kFbwipvB"/&gt;&lt;style id="http://www.zotero.org/styles/apa" locale="en-US" hasBibliography="1" bibliographyStyleHasBeenSet="1"/&gt;&lt;prefs&gt;&lt;pref name="fieldType" value="Field"/&gt;&lt;/prefs&gt;&lt;/data&gt;</vt:lpwstr>
  </property>
</Properties>
</file>