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F1618C6" w14:textId="5DC3D072" w:rsidR="00932591" w:rsidRPr="00932591" w:rsidRDefault="00932591" w:rsidP="00932591">
      <w:pPr>
        <w:rPr>
          <w:rFonts w:ascii="Times New Roman" w:hAnsi="Times New Roman" w:cs="Times New Roman"/>
          <w:sz w:val="24"/>
          <w:szCs w:val="22"/>
        </w:rPr>
      </w:pPr>
      <w:commentRangeStart w:id="0"/>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commentRangeEnd w:id="0"/>
      <w:r w:rsidR="00A268EC">
        <w:rPr>
          <w:rStyle w:val="Kommentarzeichen"/>
        </w:rPr>
        <w:commentReference w:id="0"/>
      </w:r>
      <w:r w:rsidRPr="00932591">
        <w:rPr>
          <w:rFonts w:ascii="Times New Roman" w:hAnsi="Times New Roman" w:cs="Times New Roman"/>
          <w:sz w:val="24"/>
          <w:szCs w:val="22"/>
        </w:rPr>
        <w:t>Effectively managing such disruptions is therefore a key component of successful classroom management (Helmke, 2022).</w:t>
      </w:r>
    </w:p>
    <w:p w14:paraId="0DC1736C" w14:textId="27BCD97A"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A central element of this ability is teachers’ </w:t>
      </w:r>
      <w:r w:rsidRPr="00932591">
        <w:rPr>
          <w:rFonts w:ascii="Times New Roman" w:hAnsi="Times New Roman" w:cs="Times New Roman"/>
          <w:i/>
          <w:iCs/>
          <w:sz w:val="24"/>
          <w:szCs w:val="22"/>
        </w:rPr>
        <w:t>professional vision</w:t>
      </w:r>
      <w:r>
        <w:rPr>
          <w:rFonts w:ascii="Times New Roman" w:hAnsi="Times New Roman" w:cs="Times New Roman"/>
          <w:sz w:val="24"/>
          <w:szCs w:val="22"/>
        </w:rPr>
        <w:t xml:space="preserve"> – </w:t>
      </w:r>
      <w:r w:rsidRPr="00932591">
        <w:rPr>
          <w:rFonts w:ascii="Times New Roman" w:hAnsi="Times New Roman" w:cs="Times New Roman"/>
          <w:sz w:val="24"/>
          <w:szCs w:val="22"/>
        </w:rPr>
        <w:t xml:space="preserve">the process of noticing, interpreting, and responding to relevant events in the classroom based on expert knowledge (Goodwin, 1994; </w:t>
      </w:r>
      <w:proofErr w:type="spellStart"/>
      <w:r w:rsidRPr="00932591">
        <w:rPr>
          <w:rFonts w:ascii="Times New Roman" w:hAnsi="Times New Roman" w:cs="Times New Roman"/>
          <w:sz w:val="24"/>
          <w:szCs w:val="22"/>
        </w:rPr>
        <w:t>Sherin</w:t>
      </w:r>
      <w:proofErr w:type="spellEnd"/>
      <w:r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4F1E57E0"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lastRenderedPageBreak/>
        <w:t>in which teachers were confronted with a series of scripted classroom disruption</w:t>
      </w:r>
      <w:r w:rsidRPr="007545D9">
        <w:rPr>
          <w:rFonts w:ascii="Times New Roman" w:hAnsi="Times New Roman" w:cs="Times New Roman"/>
          <w:sz w:val="24"/>
          <w:szCs w:val="22"/>
        </w:rPr>
        <w:t xml:space="preserve">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w:t>
      </w:r>
      <w:commentRangeStart w:id="1"/>
      <w:r w:rsidRPr="007545D9">
        <w:rPr>
          <w:rFonts w:ascii="Times New Roman" w:hAnsi="Times New Roman" w:cs="Times New Roman"/>
          <w:sz w:val="24"/>
          <w:szCs w:val="22"/>
        </w:rPr>
        <w:t>The study aims to contribute to a deeper understanding of professional vision and its relevance for effective classroom management</w:t>
      </w:r>
      <w:r w:rsidR="00B67009">
        <w:rPr>
          <w:rFonts w:ascii="Times New Roman" w:hAnsi="Times New Roman" w:cs="Times New Roman"/>
          <w:sz w:val="24"/>
          <w:szCs w:val="22"/>
        </w:rPr>
        <w:t>.</w:t>
      </w:r>
      <w:commentRangeEnd w:id="1"/>
      <w:r w:rsidR="007A1228">
        <w:rPr>
          <w:rStyle w:val="Kommentarzeichen"/>
        </w:rPr>
        <w:commentReference w:id="1"/>
      </w:r>
    </w:p>
    <w:p w14:paraId="1388B6CF" w14:textId="7ADBB431"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2"/>
      <w:commentRangeStart w:id="3"/>
      <w:commentRangeStart w:id="4"/>
      <w:r w:rsidRPr="0093630C">
        <w:rPr>
          <w:rFonts w:ascii="Times New Roman" w:hAnsi="Times New Roman" w:cs="Times New Roman"/>
          <w:b/>
          <w:sz w:val="24"/>
          <w:szCs w:val="24"/>
        </w:rPr>
        <w:t xml:space="preserve">Classroom Disruptions </w:t>
      </w:r>
      <w:commentRangeEnd w:id="2"/>
      <w:r w:rsidR="0036594D">
        <w:rPr>
          <w:rStyle w:val="Kommentarzeichen"/>
        </w:rPr>
        <w:commentReference w:id="2"/>
      </w:r>
      <w:commentRangeEnd w:id="3"/>
      <w:r w:rsidR="009401DF">
        <w:rPr>
          <w:rStyle w:val="Kommentarzeichen"/>
        </w:rPr>
        <w:commentReference w:id="3"/>
      </w:r>
      <w:commentRangeEnd w:id="4"/>
      <w:r w:rsidR="008A2FE4">
        <w:rPr>
          <w:rStyle w:val="Kommentarzeichen"/>
        </w:rPr>
        <w:commentReference w:id="4"/>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 xml:space="preserve">a key prerequisite for effective management. Highly salient behaviors, such as loud outbursts, tend to capture immediate attention, whereas </w:t>
      </w:r>
      <w:r w:rsidRPr="00A45999">
        <w:rPr>
          <w:rFonts w:ascii="Times New Roman" w:hAnsi="Times New Roman" w:cs="Times New Roman"/>
          <w:sz w:val="24"/>
          <w:szCs w:val="22"/>
        </w:rPr>
        <w:lastRenderedPageBreak/>
        <w:t>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77777777"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p>
    <w:p w14:paraId="412067B1" w14:textId="6281030E"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classroom management and requires teachers to develop context-sensitive strategies for responding to disruptive situations (Helmke, 2022). 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75EEB4D6"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commentRangeStart w:id="5"/>
      <w:commentRangeStart w:id="6"/>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5"/>
      <w:r w:rsidR="005E276B">
        <w:rPr>
          <w:rStyle w:val="Kommentarzeichen"/>
        </w:rPr>
        <w:commentReference w:id="5"/>
      </w:r>
      <w:commentRangeEnd w:id="6"/>
      <w:r w:rsidR="00FB58DD">
        <w:rPr>
          <w:rStyle w:val="Kommentarzeichen"/>
        </w:rPr>
        <w:commentReference w:id="6"/>
      </w:r>
    </w:p>
    <w:p w14:paraId="2FD639A0" w14:textId="3FF4C04D" w:rsidR="005343E9" w:rsidRDefault="00F206EE" w:rsidP="003C7AC7">
      <w:pPr>
        <w:ind w:firstLine="0"/>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2B82217E" wp14:editId="5E37B24F">
            <wp:extent cx="6233311" cy="2051648"/>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a:extLst>
                        <a:ext uri="{28A0092B-C50C-407E-A947-70E740481C1C}">
                          <a14:useLocalDpi xmlns:a14="http://schemas.microsoft.com/office/drawing/2010/main" val="0"/>
                        </a:ext>
                      </a:extLst>
                    </a:blip>
                    <a:srcRect l="2819" t="15302" b="27832"/>
                    <a:stretch/>
                  </pic:blipFill>
                  <pic:spPr bwMode="auto">
                    <a:xfrm>
                      <a:off x="0" y="0"/>
                      <a:ext cx="6253029" cy="2058138"/>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261CF77C"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knowledge, such as the s</w:t>
      </w:r>
      <w:r w:rsidR="00975D8B" w:rsidRPr="00975D8B">
        <w:rPr>
          <w:rFonts w:ascii="Times New Roman" w:hAnsi="Times New Roman" w:cs="Times New Roman"/>
          <w:sz w:val="24"/>
          <w:szCs w:val="22"/>
        </w:rPr>
        <w:t xml:space="preserve">trategic knowledge </w:t>
      </w:r>
      <w:r w:rsidR="00975D8B">
        <w:rPr>
          <w:rFonts w:ascii="Times New Roman" w:hAnsi="Times New Roman" w:cs="Times New Roman"/>
          <w:sz w:val="24"/>
          <w:szCs w:val="22"/>
        </w:rPr>
        <w:t xml:space="preserve">of classroom management, </w:t>
      </w:r>
      <w:r w:rsidR="00975D8B" w:rsidRPr="00975D8B">
        <w:rPr>
          <w:rFonts w:ascii="Times New Roman" w:hAnsi="Times New Roman" w:cs="Times New Roman"/>
          <w:sz w:val="24"/>
          <w:szCs w:val="22"/>
        </w:rPr>
        <w:t xml:space="preserve">is essential for managing classroom disruptions, as it involves professional judgment in selecting appropriate responses within complex,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allows teachers to weigh alternative courses of action and choose strategies that maintain instructional flow while addressing the disruption effectively.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lastRenderedPageBreak/>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7"/>
      <w:r w:rsidR="00C666B3" w:rsidRPr="00C666B3">
        <w:rPr>
          <w:rFonts w:ascii="Times New Roman" w:hAnsi="Times New Roman" w:cs="Times New Roman"/>
          <w:sz w:val="24"/>
          <w:szCs w:val="22"/>
        </w:rPr>
        <w:t xml:space="preserve">. </w:t>
      </w:r>
      <w:commentRangeEnd w:id="7"/>
      <w:r w:rsidR="005E276B">
        <w:rPr>
          <w:rStyle w:val="Kommentarzeichen"/>
        </w:rPr>
        <w:commentReference w:id="7"/>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054F3DE"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w:t>
      </w:r>
      <w:r w:rsidR="005E276B">
        <w:rPr>
          <w:rFonts w:ascii="Times New Roman" w:hAnsi="Times New Roman" w:cs="Times New Roman"/>
          <w:sz w:val="24"/>
          <w:szCs w:val="22"/>
        </w:rPr>
        <w:t xml:space="preserve">, such as classroom disruptions, </w:t>
      </w:r>
      <w:r w:rsidRPr="00A33B2E">
        <w:rPr>
          <w:rFonts w:ascii="Times New Roman" w:hAnsi="Times New Roman" w:cs="Times New Roman"/>
          <w:sz w:val="24"/>
          <w:szCs w:val="22"/>
        </w:rPr>
        <w:t xml:space="preserve">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2002; König et al., 2022). </w:t>
      </w:r>
      <w:r w:rsidR="005E276B">
        <w:rPr>
          <w:rFonts w:ascii="Times New Roman" w:hAnsi="Times New Roman" w:cs="Times New Roman"/>
          <w:sz w:val="24"/>
          <w:szCs w:val="22"/>
        </w:rPr>
        <w:t>Beyond</w:t>
      </w:r>
      <w:r w:rsidR="005E276B" w:rsidRPr="00A33B2E">
        <w:rPr>
          <w:rFonts w:ascii="Times New Roman" w:hAnsi="Times New Roman" w:cs="Times New Roman"/>
          <w:sz w:val="24"/>
          <w:szCs w:val="22"/>
        </w:rPr>
        <w:t xml:space="preserve"> </w:t>
      </w:r>
      <w:r w:rsidRPr="00A33B2E">
        <w:rPr>
          <w:rFonts w:ascii="Times New Roman" w:hAnsi="Times New Roman" w:cs="Times New Roman"/>
          <w:sz w:val="24"/>
          <w:szCs w:val="22"/>
        </w:rPr>
        <w:t>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60DF3107"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w:t>
      </w:r>
      <w:r w:rsidR="0036594D">
        <w:rPr>
          <w:rFonts w:ascii="Times New Roman" w:hAnsi="Times New Roman" w:cs="Times New Roman"/>
          <w:sz w:val="24"/>
          <w:szCs w:val="22"/>
        </w:rPr>
        <w:t>, e.g.</w:t>
      </w:r>
      <w:r w:rsidR="006744B6">
        <w:rPr>
          <w:rFonts w:ascii="Times New Roman" w:hAnsi="Times New Roman" w:cs="Times New Roman"/>
          <w:sz w:val="24"/>
          <w:szCs w:val="22"/>
        </w:rPr>
        <w:t>,</w:t>
      </w:r>
      <w:r w:rsidR="0036594D">
        <w:rPr>
          <w:rFonts w:ascii="Times New Roman" w:hAnsi="Times New Roman" w:cs="Times New Roman"/>
          <w:sz w:val="24"/>
          <w:szCs w:val="22"/>
        </w:rPr>
        <w:t xml:space="preserve"> how to respond to a classroom </w:t>
      </w:r>
      <w:r w:rsidR="001544DD">
        <w:rPr>
          <w:rFonts w:ascii="Times New Roman" w:hAnsi="Times New Roman" w:cs="Times New Roman"/>
          <w:sz w:val="24"/>
          <w:szCs w:val="22"/>
        </w:rPr>
        <w:t>disruption</w:t>
      </w:r>
      <w:r w:rsidR="000478AE" w:rsidRPr="00331FC3">
        <w:rPr>
          <w:rFonts w:ascii="Times New Roman" w:hAnsi="Times New Roman" w:cs="Times New Roman"/>
          <w:sz w:val="24"/>
          <w:szCs w:val="22"/>
        </w:rPr>
        <w:t xml:space="preserve"> (</w:t>
      </w:r>
      <w:r w:rsidR="00335E17" w:rsidRPr="00331FC3">
        <w:rPr>
          <w:rFonts w:ascii="Times New Roman" w:hAnsi="Times New Roman" w:cs="Times New Roman"/>
          <w:sz w:val="24"/>
          <w:szCs w:val="22"/>
        </w:rPr>
        <w:t xml:space="preserve">van Es &amp; </w:t>
      </w:r>
      <w:proofErr w:type="spellStart"/>
      <w:r w:rsidR="00335E17" w:rsidRPr="00331FC3">
        <w:rPr>
          <w:rFonts w:ascii="Times New Roman" w:hAnsi="Times New Roman" w:cs="Times New Roman"/>
          <w:sz w:val="24"/>
          <w:szCs w:val="22"/>
        </w:rPr>
        <w:t>Sherin</w:t>
      </w:r>
      <w:proofErr w:type="spellEnd"/>
      <w:r w:rsidR="00335E17" w:rsidRPr="00331FC3">
        <w:rPr>
          <w:rFonts w:ascii="Times New Roman" w:hAnsi="Times New Roman" w:cs="Times New Roman"/>
          <w:sz w:val="24"/>
          <w:szCs w:val="22"/>
        </w:rPr>
        <w:t>,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582BCC56"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001544DD">
        <w:rPr>
          <w:rFonts w:ascii="Times New Roman" w:hAnsi="Times New Roman" w:cs="Times New Roman"/>
          <w:sz w:val="24"/>
          <w:szCs w:val="22"/>
        </w:rPr>
        <w:t>visual scanning</w:t>
      </w:r>
      <w:r w:rsidRPr="0099753A">
        <w:rPr>
          <w:rFonts w:ascii="Times New Roman" w:hAnsi="Times New Roman" w:cs="Times New Roman"/>
          <w:sz w:val="24"/>
          <w:szCs w:val="22"/>
        </w:rPr>
        <w:t>,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w:t>
      </w:r>
      <w:commentRangeStart w:id="8"/>
      <w:r w:rsidRPr="0099753A">
        <w:rPr>
          <w:rFonts w:ascii="Times New Roman" w:hAnsi="Times New Roman" w:cs="Times New Roman"/>
          <w:sz w:val="24"/>
          <w:szCs w:val="22"/>
        </w:rPr>
        <w:t xml:space="preserve">perceptual cycle </w:t>
      </w:r>
      <w:commentRangeEnd w:id="8"/>
      <w:r w:rsidR="0036594D">
        <w:rPr>
          <w:rStyle w:val="Kommentarzeichen"/>
        </w:rPr>
        <w:commentReference w:id="8"/>
      </w:r>
      <w:r w:rsidRPr="0099753A">
        <w:rPr>
          <w:rFonts w:ascii="Times New Roman" w:hAnsi="Times New Roman" w:cs="Times New Roman"/>
          <w:sz w:val="24"/>
          <w:szCs w:val="22"/>
        </w:rPr>
        <w:t xml:space="preserve">that </w:t>
      </w:r>
      <w:r w:rsidRPr="0099753A">
        <w:rPr>
          <w:rFonts w:ascii="Times New Roman" w:hAnsi="Times New Roman" w:cs="Times New Roman"/>
          <w:sz w:val="24"/>
          <w:szCs w:val="22"/>
        </w:rPr>
        <w:lastRenderedPageBreak/>
        <w:t xml:space="preserve">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341B453E" w:rsidR="002530FD" w:rsidRPr="002530FD" w:rsidRDefault="001A712A" w:rsidP="008A57DB">
      <w:pPr>
        <w:rPr>
          <w:rFonts w:ascii="Times New Roman" w:hAnsi="Times New Roman" w:cs="Times New Roman"/>
          <w:sz w:val="24"/>
          <w:szCs w:val="22"/>
        </w:rPr>
      </w:pPr>
      <w:commentRangeStart w:id="9"/>
      <w:r w:rsidRPr="001A712A">
        <w:rPr>
          <w:rFonts w:ascii="Times New Roman" w:hAnsi="Times New Roman" w:cs="Times New Roman"/>
          <w:sz w:val="24"/>
          <w:szCs w:val="22"/>
        </w:rPr>
        <w:t xml:space="preserve">professional teaching practice </w:t>
      </w:r>
      <w:commentRangeEnd w:id="9"/>
      <w:r w:rsidRPr="001A712A">
        <w:rPr>
          <w:rFonts w:ascii="Times New Roman" w:hAnsi="Times New Roman" w:cs="Times New Roman"/>
          <w:sz w:val="24"/>
          <w:szCs w:val="22"/>
        </w:rPr>
        <w:commentReference w:id="9"/>
      </w:r>
      <w:r w:rsidR="002530FD" w:rsidRPr="002530FD">
        <w:rPr>
          <w:rFonts w:ascii="Times New Roman" w:hAnsi="Times New Roman" w:cs="Times New Roman"/>
          <w:sz w:val="24"/>
          <w:szCs w:val="22"/>
        </w:rPr>
        <w:t xml:space="preserve">The third component of the model, </w:t>
      </w:r>
      <w:commentRangeStart w:id="10"/>
      <w:r w:rsidR="002530FD" w:rsidRPr="002530FD">
        <w:rPr>
          <w:rFonts w:ascii="Times New Roman" w:hAnsi="Times New Roman" w:cs="Times New Roman"/>
          <w:i/>
          <w:iCs/>
          <w:sz w:val="24"/>
          <w:szCs w:val="22"/>
        </w:rPr>
        <w:t>observable behavior</w:t>
      </w:r>
      <w:commentRangeEnd w:id="10"/>
      <w:r w:rsidR="00E128E1">
        <w:rPr>
          <w:rStyle w:val="Kommentarzeichen"/>
        </w:rPr>
        <w:commentReference w:id="10"/>
      </w:r>
      <w:r w:rsidR="002530FD" w:rsidRPr="002530FD">
        <w:rPr>
          <w:rFonts w:ascii="Times New Roman" w:hAnsi="Times New Roman" w:cs="Times New Roman"/>
          <w:sz w:val="24"/>
          <w:szCs w:val="22"/>
        </w:rPr>
        <w:t>, refers to the visible application of classroom management strategies</w:t>
      </w:r>
      <w:r w:rsidR="0036594D">
        <w:rPr>
          <w:rFonts w:ascii="Times New Roman" w:hAnsi="Times New Roman" w:cs="Times New Roman"/>
          <w:sz w:val="24"/>
          <w:szCs w:val="22"/>
        </w:rPr>
        <w:t>, such as the effective reaction to classroom disruptions</w:t>
      </w:r>
      <w:r w:rsidR="002530FD" w:rsidRPr="002530FD">
        <w:rPr>
          <w:rFonts w:ascii="Times New Roman" w:hAnsi="Times New Roman" w:cs="Times New Roman"/>
          <w:sz w:val="24"/>
          <w:szCs w:val="22"/>
        </w:rPr>
        <w:t xml:space="preserve">. </w:t>
      </w:r>
      <w:commentRangeStart w:id="11"/>
      <w:r w:rsidR="002530FD" w:rsidRPr="002530FD">
        <w:rPr>
          <w:rFonts w:ascii="Times New Roman" w:hAnsi="Times New Roman" w:cs="Times New Roman"/>
          <w:sz w:val="24"/>
          <w:szCs w:val="22"/>
        </w:rPr>
        <w:t xml:space="preserve">Prior research in this area spans several decades and highlights key practices linked to effective classroom functioning. </w:t>
      </w:r>
      <w:commentRangeEnd w:id="11"/>
      <w:r w:rsidR="0036594D">
        <w:rPr>
          <w:rStyle w:val="Kommentarzeichen"/>
        </w:rPr>
        <w:commentReference w:id="11"/>
      </w:r>
      <w:r w:rsidR="002530FD" w:rsidRPr="002530FD">
        <w:rPr>
          <w:rFonts w:ascii="Times New Roman" w:hAnsi="Times New Roman" w:cs="Times New Roman"/>
          <w:sz w:val="24"/>
          <w:szCs w:val="22"/>
        </w:rPr>
        <w:t xml:space="preserve">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behaviorist approaches, examining how strategies like positive reinforcement and disciplinary consequences influence student behavior</w:t>
      </w:r>
      <w:r w:rsidR="002530FD"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 xml:space="preserve">Observational studies have consistently shown that effective teachers actively </w:t>
      </w:r>
      <w:commentRangeStart w:id="12"/>
      <w:r w:rsidR="002530FD" w:rsidRPr="002530FD">
        <w:rPr>
          <w:rFonts w:ascii="Times New Roman" w:hAnsi="Times New Roman" w:cs="Times New Roman"/>
          <w:sz w:val="24"/>
          <w:szCs w:val="22"/>
        </w:rPr>
        <w:t xml:space="preserve">prevent </w:t>
      </w:r>
      <w:commentRangeEnd w:id="12"/>
      <w:r w:rsidR="0036594D">
        <w:rPr>
          <w:rStyle w:val="Kommentarzeichen"/>
        </w:rPr>
        <w:commentReference w:id="12"/>
      </w:r>
      <w:r w:rsidR="002530FD" w:rsidRPr="002530FD">
        <w:rPr>
          <w:rFonts w:ascii="Times New Roman" w:hAnsi="Times New Roman" w:cs="Times New Roman"/>
          <w:sz w:val="24"/>
          <w:szCs w:val="22"/>
        </w:rPr>
        <w:t xml:space="preserve">misbehavior through clear expectations, structured routines, and consistent responses. </w:t>
      </w:r>
      <w:proofErr w:type="spellStart"/>
      <w:r w:rsidR="002530FD" w:rsidRPr="002530FD">
        <w:rPr>
          <w:rFonts w:ascii="Times New Roman" w:hAnsi="Times New Roman" w:cs="Times New Roman"/>
          <w:sz w:val="24"/>
          <w:szCs w:val="22"/>
        </w:rPr>
        <w:t>Kounin</w:t>
      </w:r>
      <w:proofErr w:type="spellEnd"/>
      <w:r w:rsidR="002530FD" w:rsidRPr="002530FD">
        <w:rPr>
          <w:rFonts w:ascii="Times New Roman" w:hAnsi="Times New Roman" w:cs="Times New Roman"/>
          <w:sz w:val="24"/>
          <w:szCs w:val="22"/>
        </w:rPr>
        <w:t xml:space="preserve"> (1970) introduced the concept of “</w:t>
      </w:r>
      <w:commentRangeStart w:id="13"/>
      <w:r w:rsidR="002530FD" w:rsidRPr="002530FD">
        <w:rPr>
          <w:rFonts w:ascii="Times New Roman" w:hAnsi="Times New Roman" w:cs="Times New Roman"/>
          <w:sz w:val="24"/>
          <w:szCs w:val="22"/>
        </w:rPr>
        <w:t>withitness</w:t>
      </w:r>
      <w:commentRangeEnd w:id="13"/>
      <w:r w:rsidR="0036594D">
        <w:rPr>
          <w:rStyle w:val="Kommentarzeichen"/>
        </w:rPr>
        <w:commentReference w:id="13"/>
      </w:r>
      <w:r w:rsidR="002530FD" w:rsidRPr="002530FD">
        <w:rPr>
          <w:rFonts w:ascii="Times New Roman" w:hAnsi="Times New Roman" w:cs="Times New Roman"/>
          <w:sz w:val="24"/>
          <w:szCs w:val="22"/>
        </w:rPr>
        <w:t>,” emphasizing teachers’ ongoing awareness of classroom dynamics. Similarly, Anderson</w:t>
      </w:r>
      <w:r w:rsidR="003A0C7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Experimental studies have supported both single strategies (e.g., praise, rule instruction) and broader programs like the Good Behavior Game (</w:t>
      </w:r>
      <w:proofErr w:type="spellStart"/>
      <w:r w:rsidR="002530FD" w:rsidRPr="002530FD">
        <w:rPr>
          <w:rFonts w:ascii="Times New Roman" w:hAnsi="Times New Roman" w:cs="Times New Roman"/>
          <w:sz w:val="24"/>
          <w:szCs w:val="22"/>
        </w:rPr>
        <w:t>Barrish</w:t>
      </w:r>
      <w:proofErr w:type="spellEnd"/>
      <w:r w:rsidR="008A57DB">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commentRangeStart w:id="14"/>
      <w:r w:rsidR="002530FD" w:rsidRPr="002530FD">
        <w:rPr>
          <w:rFonts w:ascii="Times New Roman" w:hAnsi="Times New Roman" w:cs="Times New Roman"/>
          <w:sz w:val="24"/>
          <w:szCs w:val="22"/>
        </w:rPr>
        <w:t>.</w:t>
      </w:r>
      <w:commentRangeEnd w:id="14"/>
      <w:r w:rsidR="0036594D">
        <w:rPr>
          <w:rStyle w:val="Kommentarzeichen"/>
        </w:rPr>
        <w:commentReference w:id="14"/>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 xml:space="preserve">In summary, the model illustrates that managing classroom disruptions effectively relies not solely on theoretical knowledge but significantly on the ability to perceive and interpret </w:t>
      </w:r>
      <w:r w:rsidRPr="00F37CC7">
        <w:rPr>
          <w:rFonts w:ascii="Times New Roman" w:hAnsi="Times New Roman" w:cs="Times New Roman"/>
          <w:sz w:val="24"/>
          <w:szCs w:val="22"/>
        </w:rPr>
        <w:lastRenderedPageBreak/>
        <w:t>classroom dynamics in real-time. Integrating these components provides a comprehensive framework for describing and systematically enhancing teacher competence in classroom management.</w:t>
      </w:r>
    </w:p>
    <w:p w14:paraId="799F9A54" w14:textId="7D2B7933" w:rsidR="00A65C17" w:rsidRDefault="0036594D" w:rsidP="006B67A9">
      <w:pPr>
        <w:pStyle w:val="berschrift2"/>
        <w:rPr>
          <w:rFonts w:ascii="Times New Roman" w:hAnsi="Times New Roman" w:cs="Times New Roman"/>
          <w:sz w:val="24"/>
          <w:szCs w:val="24"/>
        </w:rPr>
      </w:pPr>
      <w:commentRangeStart w:id="15"/>
      <w:r>
        <w:rPr>
          <w:rFonts w:ascii="Times New Roman" w:hAnsi="Times New Roman" w:cs="Times New Roman"/>
          <w:sz w:val="24"/>
          <w:szCs w:val="24"/>
        </w:rPr>
        <w:t xml:space="preserve">Expertise Differences in </w:t>
      </w:r>
      <w:commentRangeStart w:id="16"/>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6"/>
      <w:r>
        <w:rPr>
          <w:rStyle w:val="Kommentarzeichen"/>
          <w:rFonts w:ascii="Calibri" w:hAnsi="Calibri" w:cs="Arial"/>
          <w:b w:val="0"/>
        </w:rPr>
        <w:commentReference w:id="16"/>
      </w:r>
      <w:commentRangeEnd w:id="15"/>
      <w:r>
        <w:rPr>
          <w:rStyle w:val="Kommentarzeichen"/>
          <w:rFonts w:ascii="Calibri" w:hAnsi="Calibri" w:cs="Arial"/>
          <w:b w:val="0"/>
        </w:rPr>
        <w:commentReference w:id="15"/>
      </w:r>
    </w:p>
    <w:p w14:paraId="1E0A88AD" w14:textId="704FE80B" w:rsidR="00001B51" w:rsidRDefault="00ED5110" w:rsidP="008C345B">
      <w:pPr>
        <w:rPr>
          <w:rFonts w:ascii="Times New Roman" w:hAnsi="Times New Roman" w:cs="Times New Roman"/>
          <w:sz w:val="24"/>
          <w:szCs w:val="22"/>
        </w:rPr>
      </w:pPr>
      <w:r w:rsidRPr="00ED5110">
        <w:rPr>
          <w:rFonts w:ascii="Times New Roman" w:hAnsi="Times New Roman" w:cs="Times New Roman"/>
          <w:sz w:val="24"/>
          <w:szCs w:val="22"/>
        </w:rPr>
        <w:t>Understanding expertise differences in classroom management requires a systematic assessment of the core professional competencies that underlie teachers’ ability to respond to disruptive behavior. Based on the three-component model of teaching competence</w:t>
      </w:r>
      <w:r>
        <w:rPr>
          <w:rFonts w:ascii="Times New Roman" w:hAnsi="Times New Roman" w:cs="Times New Roman"/>
          <w:sz w:val="24"/>
          <w:szCs w:val="22"/>
        </w:rPr>
        <w:t xml:space="preserve"> </w:t>
      </w:r>
      <w:r w:rsidR="00001B51">
        <w:rPr>
          <w:rFonts w:ascii="Times New Roman" w:hAnsi="Times New Roman" w:cs="Times New Roman"/>
          <w:sz w:val="24"/>
          <w:szCs w:val="22"/>
        </w:rPr>
        <w:t xml:space="preserve">(see Figure 1) </w:t>
      </w:r>
      <w:r>
        <w:rPr>
          <w:rFonts w:ascii="Times New Roman" w:hAnsi="Times New Roman" w:cs="Times New Roman"/>
          <w:sz w:val="24"/>
          <w:szCs w:val="22"/>
        </w:rPr>
        <w:t xml:space="preserve">– </w:t>
      </w:r>
      <w:r w:rsidRPr="00ED5110">
        <w:rPr>
          <w:rFonts w:ascii="Times New Roman" w:hAnsi="Times New Roman" w:cs="Times New Roman"/>
          <w:sz w:val="24"/>
          <w:szCs w:val="22"/>
        </w:rPr>
        <w:t>strategic knowledge, professional vision, and observable behavior</w:t>
      </w:r>
      <w:r>
        <w:rPr>
          <w:rFonts w:ascii="Times New Roman" w:hAnsi="Times New Roman" w:cs="Times New Roman"/>
          <w:sz w:val="24"/>
          <w:szCs w:val="22"/>
        </w:rPr>
        <w:t xml:space="preserve"> – </w:t>
      </w:r>
      <w:r w:rsidRPr="00ED5110">
        <w:rPr>
          <w:rFonts w:ascii="Times New Roman" w:hAnsi="Times New Roman" w:cs="Times New Roman"/>
          <w:sz w:val="24"/>
          <w:szCs w:val="22"/>
        </w:rPr>
        <w:t>this section outlines how each of these dimensions can be empirically assessed and linked to professional expertise.</w:t>
      </w:r>
      <w:r>
        <w:rPr>
          <w:rFonts w:ascii="Times New Roman" w:hAnsi="Times New Roman" w:cs="Times New Roman"/>
          <w:sz w:val="24"/>
          <w:szCs w:val="22"/>
        </w:rPr>
        <w:t xml:space="preserve"> </w:t>
      </w:r>
    </w:p>
    <w:p w14:paraId="0812332D" w14:textId="4ACD6463" w:rsidR="00BB5DCD" w:rsidRPr="00BB5DCD" w:rsidRDefault="00BB5DCD" w:rsidP="00BB5DCD">
      <w:pPr>
        <w:pStyle w:val="berschrift3"/>
        <w:rPr>
          <w:rFonts w:ascii="Times New Roman" w:hAnsi="Times New Roman" w:cs="Times New Roman"/>
          <w:i w:val="0"/>
          <w:iCs/>
          <w:sz w:val="24"/>
          <w:szCs w:val="24"/>
        </w:rPr>
      </w:pPr>
      <w:commentRangeStart w:id="17"/>
      <w:commentRangeStart w:id="18"/>
      <w:r>
        <w:rPr>
          <w:rFonts w:ascii="Times New Roman" w:hAnsi="Times New Roman" w:cs="Times New Roman"/>
          <w:i w:val="0"/>
          <w:iCs/>
          <w:sz w:val="24"/>
          <w:szCs w:val="24"/>
        </w:rPr>
        <w:t xml:space="preserve">Teachers’ Strategic Knowledge. </w:t>
      </w:r>
      <w:commentRangeEnd w:id="17"/>
      <w:r w:rsidR="00497187">
        <w:rPr>
          <w:rStyle w:val="Kommentarzeichen"/>
          <w:rFonts w:ascii="Calibri" w:hAnsi="Calibri" w:cs="Arial"/>
          <w:b w:val="0"/>
          <w:i w:val="0"/>
        </w:rPr>
        <w:commentReference w:id="17"/>
      </w:r>
      <w:commentRangeEnd w:id="18"/>
      <w:r w:rsidR="00BE48E1">
        <w:rPr>
          <w:rStyle w:val="Kommentarzeichen"/>
          <w:rFonts w:ascii="Calibri" w:hAnsi="Calibri" w:cs="Arial"/>
          <w:b w:val="0"/>
          <w:i w:val="0"/>
        </w:rPr>
        <w:commentReference w:id="18"/>
      </w:r>
    </w:p>
    <w:p w14:paraId="0ACCE77C" w14:textId="32D182E0"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Strategic knowledge refers to context-sensitive, action-oriented knowledge that enables teachers to make informed pedagogical decisions in complex and dynamic situations (</w:t>
      </w:r>
      <w:proofErr w:type="spellStart"/>
      <w:r w:rsidRPr="008C345B">
        <w:rPr>
          <w:rFonts w:ascii="Times New Roman" w:hAnsi="Times New Roman" w:cs="Times New Roman"/>
          <w:sz w:val="24"/>
          <w:szCs w:val="22"/>
        </w:rPr>
        <w:t>Fenstermacher</w:t>
      </w:r>
      <w:proofErr w:type="spellEnd"/>
      <w:r w:rsidRPr="008C345B">
        <w:rPr>
          <w:rFonts w:ascii="Times New Roman" w:hAnsi="Times New Roman" w:cs="Times New Roman"/>
          <w:sz w:val="24"/>
          <w:szCs w:val="22"/>
        </w:rPr>
        <w:t xml:space="preserve">, 1994; Doyle, 2006). Rather than relying on prescriptive rules, teachers with strong strategic knowledge are able to flexibly select appropriate courses of action that align with both instructional goals and students’ behavioral needs (Shulman, 1986; Baumert &amp; </w:t>
      </w:r>
      <w:proofErr w:type="spellStart"/>
      <w:r w:rsidRPr="008C345B">
        <w:rPr>
          <w:rFonts w:ascii="Times New Roman" w:hAnsi="Times New Roman" w:cs="Times New Roman"/>
          <w:sz w:val="24"/>
          <w:szCs w:val="22"/>
        </w:rPr>
        <w:t>Kunter</w:t>
      </w:r>
      <w:proofErr w:type="spellEnd"/>
      <w:r w:rsidRPr="008C345B">
        <w:rPr>
          <w:rFonts w:ascii="Times New Roman" w:hAnsi="Times New Roman" w:cs="Times New Roman"/>
          <w:sz w:val="24"/>
          <w:szCs w:val="22"/>
        </w:rPr>
        <w:t>, 2013).</w:t>
      </w:r>
    </w:p>
    <w:p w14:paraId="71D9432E"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w:t>
      </w:r>
      <w:proofErr w:type="spellStart"/>
      <w:r w:rsidRPr="008C345B">
        <w:rPr>
          <w:rFonts w:ascii="Times New Roman" w:hAnsi="Times New Roman" w:cs="Times New Roman"/>
          <w:sz w:val="24"/>
          <w:szCs w:val="22"/>
        </w:rPr>
        <w:t>Borko</w:t>
      </w:r>
      <w:proofErr w:type="spellEnd"/>
      <w:r w:rsidRPr="008C345B">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w:t>
      </w:r>
      <w:r w:rsidRPr="008C345B">
        <w:rPr>
          <w:rFonts w:ascii="Times New Roman" w:hAnsi="Times New Roman" w:cs="Times New Roman"/>
          <w:sz w:val="24"/>
          <w:szCs w:val="22"/>
        </w:rPr>
        <w:lastRenderedPageBreak/>
        <w:t xml:space="preserve">structured knowledge that may lead to rigid or less adaptive decision-making (Shulman, 1987; </w:t>
      </w:r>
      <w:proofErr w:type="spellStart"/>
      <w:r w:rsidRPr="008C345B">
        <w:rPr>
          <w:rFonts w:ascii="Times New Roman" w:hAnsi="Times New Roman" w:cs="Times New Roman"/>
          <w:sz w:val="24"/>
          <w:szCs w:val="22"/>
        </w:rPr>
        <w:t>Ophardt</w:t>
      </w:r>
      <w:proofErr w:type="spellEnd"/>
      <w:r w:rsidRPr="008C345B">
        <w:rPr>
          <w:rFonts w:ascii="Times New Roman" w:hAnsi="Times New Roman" w:cs="Times New Roman"/>
          <w:sz w:val="24"/>
          <w:szCs w:val="22"/>
        </w:rPr>
        <w:t xml:space="preserve"> &amp; Thiel, 2013).</w:t>
      </w:r>
    </w:p>
    <w:p w14:paraId="36F33253"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8C345B">
        <w:rPr>
          <w:rFonts w:ascii="Times New Roman" w:hAnsi="Times New Roman" w:cs="Times New Roman"/>
          <w:sz w:val="24"/>
          <w:szCs w:val="22"/>
        </w:rPr>
        <w:t>Tynjälä</w:t>
      </w:r>
      <w:proofErr w:type="spellEnd"/>
      <w:r w:rsidRPr="008C345B">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390FF927" w14:textId="6788A3B6" w:rsidR="004121D1" w:rsidRPr="004121D1" w:rsidRDefault="00BA0F10" w:rsidP="004121D1">
      <w:pPr>
        <w:rPr>
          <w:rFonts w:ascii="Times New Roman" w:hAnsi="Times New Roman" w:cs="Times New Roman"/>
          <w:sz w:val="24"/>
          <w:szCs w:val="22"/>
        </w:rPr>
      </w:pPr>
      <w:r w:rsidRPr="00BA0F10">
        <w:rPr>
          <w:rFonts w:ascii="Times New Roman" w:hAnsi="Times New Roman" w:cs="Times New Roman"/>
          <w:sz w:val="24"/>
          <w:szCs w:val="22"/>
        </w:rPr>
        <w:t xml:space="preserve">Previous efforts to assess classroom management knowledge have either embedded it as a subdimension within broader pedagogical knowledge tests (e.g., COACTIV-R, TEDS-M; </w:t>
      </w:r>
      <w:proofErr w:type="spellStart"/>
      <w:r w:rsidRPr="00BA0F10">
        <w:rPr>
          <w:rFonts w:ascii="Times New Roman" w:hAnsi="Times New Roman" w:cs="Times New Roman"/>
          <w:sz w:val="24"/>
          <w:szCs w:val="22"/>
        </w:rPr>
        <w:t>Kunter</w:t>
      </w:r>
      <w:proofErr w:type="spellEnd"/>
      <w:r w:rsidRPr="00BA0F10">
        <w:rPr>
          <w:rFonts w:ascii="Times New Roman" w:hAnsi="Times New Roman" w:cs="Times New Roman"/>
          <w:sz w:val="24"/>
          <w:szCs w:val="22"/>
        </w:rPr>
        <w:t xml:space="preserve"> et al., 2013; König et al., 2011) or used licensure-based assessments such as the Praxis Series (Educational Testing Service, 2011). </w:t>
      </w:r>
      <w:r w:rsidR="004121D1" w:rsidRPr="004121D1">
        <w:rPr>
          <w:rFonts w:ascii="Times New Roman" w:hAnsi="Times New Roman" w:cs="Times New Roman"/>
          <w:sz w:val="24"/>
          <w:szCs w:val="22"/>
        </w:rPr>
        <w:t>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w:t>
      </w:r>
      <w:r w:rsidR="00FB66E5">
        <w:rPr>
          <w:rFonts w:ascii="Times New Roman" w:hAnsi="Times New Roman" w:cs="Times New Roman"/>
          <w:sz w:val="24"/>
          <w:szCs w:val="22"/>
        </w:rPr>
        <w:t xml:space="preserve"> </w:t>
      </w:r>
      <w:r w:rsidR="00FB66E5">
        <w:rPr>
          <w:rFonts w:ascii="Times New Roman" w:hAnsi="Times New Roman" w:cs="Times New Roman"/>
          <w:sz w:val="24"/>
          <w:szCs w:val="22"/>
        </w:rPr>
        <w:fldChar w:fldCharType="begin"/>
      </w:r>
      <w:r w:rsidR="00FB66E5">
        <w:rPr>
          <w:rFonts w:ascii="Times New Roman" w:hAnsi="Times New Roman" w:cs="Times New Roman"/>
          <w:sz w:val="24"/>
          <w:szCs w:val="22"/>
        </w:rPr>
        <w:instrText xml:space="preserve"> ADDIN ZOTERO_ITEM CSL_CITATION {"citationID":"wTBMu6Ae","properties":{"formattedCitation":"(Gold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B66E5">
        <w:rPr>
          <w:rFonts w:ascii="Times New Roman" w:hAnsi="Times New Roman" w:cs="Times New Roman"/>
          <w:sz w:val="24"/>
          <w:szCs w:val="22"/>
        </w:rPr>
        <w:fldChar w:fldCharType="separate"/>
      </w:r>
      <w:r w:rsidR="00FB66E5" w:rsidRPr="00FB66E5">
        <w:rPr>
          <w:rFonts w:ascii="Times New Roman" w:hAnsi="Times New Roman" w:cs="Times New Roman"/>
          <w:sz w:val="24"/>
        </w:rPr>
        <w:t>(Gold &amp; Holodynski, 2015)</w:t>
      </w:r>
      <w:r w:rsidR="00FB66E5">
        <w:rPr>
          <w:rFonts w:ascii="Times New Roman" w:hAnsi="Times New Roman" w:cs="Times New Roman"/>
          <w:sz w:val="24"/>
          <w:szCs w:val="22"/>
        </w:rPr>
        <w:fldChar w:fldCharType="end"/>
      </w:r>
      <w:r w:rsidR="004121D1" w:rsidRPr="004121D1">
        <w:rPr>
          <w:rFonts w:ascii="Times New Roman" w:hAnsi="Times New Roman" w:cs="Times New Roman"/>
          <w:sz w:val="24"/>
          <w:szCs w:val="22"/>
        </w:rPr>
        <w:t>.</w:t>
      </w:r>
    </w:p>
    <w:p w14:paraId="62A36588" w14:textId="37DC104B" w:rsidR="00520A55" w:rsidRDefault="004121D1" w:rsidP="00F9220E">
      <w:pPr>
        <w:rPr>
          <w:rFonts w:ascii="Times New Roman" w:hAnsi="Times New Roman" w:cs="Times New Roman"/>
          <w:sz w:val="24"/>
          <w:szCs w:val="22"/>
        </w:rPr>
      </w:pPr>
      <w:r w:rsidRPr="004121D1">
        <w:rPr>
          <w:rFonts w:ascii="Times New Roman" w:hAnsi="Times New Roman" w:cs="Times New Roman"/>
          <w:sz w:val="24"/>
          <w:szCs w:val="22"/>
        </w:rPr>
        <w:t xml:space="preserve">To address this gap, Gold and </w:t>
      </w:r>
      <w:proofErr w:type="spellStart"/>
      <w:r w:rsidRPr="004121D1">
        <w:rPr>
          <w:rFonts w:ascii="Times New Roman" w:hAnsi="Times New Roman" w:cs="Times New Roman"/>
          <w:sz w:val="24"/>
          <w:szCs w:val="22"/>
        </w:rPr>
        <w:t>Holodynski</w:t>
      </w:r>
      <w:proofErr w:type="spellEnd"/>
      <w:r w:rsidRPr="004121D1">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w:t>
      </w:r>
      <w:r w:rsidR="005E2247">
        <w:rPr>
          <w:rFonts w:ascii="Times New Roman" w:hAnsi="Times New Roman" w:cs="Times New Roman"/>
          <w:sz w:val="24"/>
          <w:szCs w:val="22"/>
        </w:rPr>
        <w:t xml:space="preserve"> (</w:t>
      </w:r>
      <w:r w:rsidRPr="004121D1">
        <w:rPr>
          <w:rFonts w:ascii="Times New Roman" w:hAnsi="Times New Roman" w:cs="Times New Roman"/>
          <w:sz w:val="24"/>
          <w:szCs w:val="22"/>
        </w:rPr>
        <w:t>monitoring, managing momentum, and establishing rules and routines</w:t>
      </w:r>
      <w:r w:rsidR="005E2247">
        <w:rPr>
          <w:rFonts w:ascii="Times New Roman" w:hAnsi="Times New Roman" w:cs="Times New Roman"/>
          <w:sz w:val="24"/>
          <w:szCs w:val="22"/>
        </w:rPr>
        <w:t>)</w:t>
      </w:r>
      <w:r w:rsidR="006B256A">
        <w:rPr>
          <w:rFonts w:ascii="Times New Roman" w:hAnsi="Times New Roman" w:cs="Times New Roman"/>
          <w:sz w:val="24"/>
          <w:szCs w:val="22"/>
        </w:rPr>
        <w:t>.</w:t>
      </w:r>
      <w:r w:rsidR="005E2247">
        <w:rPr>
          <w:rFonts w:ascii="Times New Roman" w:hAnsi="Times New Roman" w:cs="Times New Roman"/>
          <w:sz w:val="24"/>
          <w:szCs w:val="22"/>
        </w:rPr>
        <w:t xml:space="preserve"> </w:t>
      </w:r>
      <w:r w:rsidR="006B256A" w:rsidRPr="008C345B">
        <w:rPr>
          <w:rFonts w:ascii="Times New Roman" w:hAnsi="Times New Roman" w:cs="Times New Roman"/>
          <w:sz w:val="24"/>
          <w:szCs w:val="22"/>
        </w:rPr>
        <w:t xml:space="preserve">Validation studies have demonstrated the SJT’s sensitivity to expertise: in-service teachers significantly outperform preservice teachers, especially in scenarios requiring proactive and nuanced management strategies (Gold &amp; </w:t>
      </w:r>
      <w:proofErr w:type="spellStart"/>
      <w:r w:rsidR="006B256A" w:rsidRPr="008C345B">
        <w:rPr>
          <w:rFonts w:ascii="Times New Roman" w:hAnsi="Times New Roman" w:cs="Times New Roman"/>
          <w:sz w:val="24"/>
          <w:szCs w:val="22"/>
        </w:rPr>
        <w:t>Holodynski</w:t>
      </w:r>
      <w:proofErr w:type="spellEnd"/>
      <w:r w:rsidR="006B256A" w:rsidRPr="008C345B">
        <w:rPr>
          <w:rFonts w:ascii="Times New Roman" w:hAnsi="Times New Roman" w:cs="Times New Roman"/>
          <w:sz w:val="24"/>
          <w:szCs w:val="22"/>
        </w:rPr>
        <w:t xml:space="preserve">, 2015). </w:t>
      </w:r>
      <w:r w:rsidRPr="004121D1">
        <w:rPr>
          <w:rFonts w:ascii="Times New Roman" w:hAnsi="Times New Roman" w:cs="Times New Roman"/>
          <w:sz w:val="24"/>
          <w:szCs w:val="22"/>
        </w:rPr>
        <w:t xml:space="preserve">In contrast to dichotomous formats, their SJT asks participants to rate the effectiveness of each response, allowing for a more nuanced </w:t>
      </w:r>
      <w:r w:rsidRPr="004121D1">
        <w:rPr>
          <w:rFonts w:ascii="Times New Roman" w:hAnsi="Times New Roman" w:cs="Times New Roman"/>
          <w:sz w:val="24"/>
          <w:szCs w:val="22"/>
        </w:rPr>
        <w:lastRenderedPageBreak/>
        <w:t>assessment.</w:t>
      </w:r>
      <w:r w:rsidR="006B256A">
        <w:rPr>
          <w:rFonts w:ascii="Times New Roman" w:hAnsi="Times New Roman" w:cs="Times New Roman"/>
          <w:sz w:val="24"/>
          <w:szCs w:val="22"/>
        </w:rPr>
        <w:t xml:space="preserve"> </w:t>
      </w:r>
      <w:r w:rsidR="008C345B" w:rsidRPr="008C345B">
        <w:rPr>
          <w:rFonts w:ascii="Times New Roman" w:hAnsi="Times New Roman" w:cs="Times New Roman"/>
          <w:sz w:val="24"/>
          <w:szCs w:val="22"/>
        </w:rPr>
        <w:t>These findings support the claim that strategic knowledge is not only a core component of classroom management competence but also a reliable indicator of professional expertise.</w:t>
      </w:r>
    </w:p>
    <w:p w14:paraId="0A3AEA13" w14:textId="449105C1" w:rsidR="00751975" w:rsidRPr="00BB5DCD" w:rsidRDefault="00BB5DCD" w:rsidP="00751975">
      <w:pPr>
        <w:pStyle w:val="berschrift3"/>
        <w:rPr>
          <w:rFonts w:ascii="Times New Roman" w:hAnsi="Times New Roman" w:cs="Times New Roman"/>
          <w:i w:val="0"/>
          <w:iCs/>
          <w:sz w:val="24"/>
          <w:szCs w:val="24"/>
        </w:rPr>
      </w:pPr>
      <w:commentRangeStart w:id="19"/>
      <w:commentRangeStart w:id="20"/>
      <w:r w:rsidRPr="00BB5DCD">
        <w:rPr>
          <w:rFonts w:ascii="Times New Roman" w:hAnsi="Times New Roman" w:cs="Times New Roman"/>
          <w:i w:val="0"/>
          <w:iCs/>
          <w:sz w:val="24"/>
          <w:szCs w:val="24"/>
        </w:rPr>
        <w:t>Teachers’ Professional Vision</w:t>
      </w:r>
      <w:r>
        <w:rPr>
          <w:rFonts w:ascii="Times New Roman" w:hAnsi="Times New Roman" w:cs="Times New Roman"/>
          <w:i w:val="0"/>
          <w:iCs/>
          <w:sz w:val="24"/>
          <w:szCs w:val="24"/>
        </w:rPr>
        <w:t>.</w:t>
      </w:r>
      <w:commentRangeEnd w:id="19"/>
      <w:r w:rsidR="00497187">
        <w:rPr>
          <w:rStyle w:val="Kommentarzeichen"/>
          <w:rFonts w:ascii="Calibri" w:hAnsi="Calibri" w:cs="Arial"/>
          <w:b w:val="0"/>
          <w:i w:val="0"/>
        </w:rPr>
        <w:commentReference w:id="19"/>
      </w:r>
      <w:commentRangeEnd w:id="20"/>
      <w:r w:rsidR="00505BFF">
        <w:rPr>
          <w:rStyle w:val="Kommentarzeichen"/>
          <w:rFonts w:ascii="Calibri" w:hAnsi="Calibri" w:cs="Arial"/>
          <w:b w:val="0"/>
          <w:i w:val="0"/>
        </w:rPr>
        <w:commentReference w:id="20"/>
      </w:r>
    </w:p>
    <w:p w14:paraId="3A62926A" w14:textId="530961DE" w:rsidR="00F9220E" w:rsidRPr="00F9220E" w:rsidRDefault="00F9220E" w:rsidP="00F9220E">
      <w:pPr>
        <w:rPr>
          <w:rFonts w:ascii="Times New Roman" w:hAnsi="Times New Roman" w:cs="Times New Roman"/>
          <w:sz w:val="24"/>
          <w:szCs w:val="22"/>
        </w:rPr>
      </w:pPr>
      <w:commentRangeStart w:id="21"/>
      <w:r w:rsidRPr="00F9220E">
        <w:rPr>
          <w:rFonts w:ascii="Times New Roman" w:hAnsi="Times New Roman" w:cs="Times New Roman"/>
          <w:sz w:val="24"/>
          <w:szCs w:val="22"/>
        </w:rPr>
        <w:t xml:space="preserve">To assess </w:t>
      </w:r>
      <w:commentRangeEnd w:id="21"/>
      <w:r w:rsidR="00497187">
        <w:rPr>
          <w:rStyle w:val="Kommentarzeichen"/>
        </w:rPr>
        <w:commentReference w:id="21"/>
      </w:r>
      <w:r w:rsidRPr="00F9220E">
        <w:rPr>
          <w:rFonts w:ascii="Times New Roman" w:hAnsi="Times New Roman" w:cs="Times New Roman"/>
          <w:sz w:val="24"/>
          <w:szCs w:val="22"/>
        </w:rPr>
        <w:t>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 xml:space="preserve">eye-tracking has become an established process-based measurement method. It 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Pr="00F9220E">
        <w:rPr>
          <w:rFonts w:ascii="Times New Roman" w:hAnsi="Times New Roman" w:cs="Times New Roman"/>
          <w:sz w:val="24"/>
          <w:szCs w:val="22"/>
        </w:rPr>
        <w:t>Stürmer</w:t>
      </w:r>
      <w:proofErr w:type="spellEnd"/>
      <w:r w:rsidRPr="00F9220E">
        <w:rPr>
          <w:rFonts w:ascii="Times New Roman" w:hAnsi="Times New Roman" w:cs="Times New Roman"/>
          <w:sz w:val="24"/>
          <w:szCs w:val="22"/>
        </w:rPr>
        <w:t xml:space="preserve">, 2014; van den </w:t>
      </w:r>
      <w:proofErr w:type="spellStart"/>
      <w:r w:rsidRPr="00F9220E">
        <w:rPr>
          <w:rFonts w:ascii="Times New Roman" w:hAnsi="Times New Roman" w:cs="Times New Roman"/>
          <w:sz w:val="24"/>
          <w:szCs w:val="22"/>
        </w:rPr>
        <w:t>Bogert</w:t>
      </w:r>
      <w:proofErr w:type="spellEnd"/>
      <w:r w:rsidRPr="00F9220E">
        <w:rPr>
          <w:rFonts w:ascii="Times New Roman" w:hAnsi="Times New Roman" w:cs="Times New Roman"/>
          <w:sz w:val="24"/>
          <w:szCs w:val="22"/>
        </w:rPr>
        <w:t xml:space="preserve">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Pr="00F9220E">
        <w:rPr>
          <w:rFonts w:ascii="Times New Roman" w:hAnsi="Times New Roman" w:cs="Times New Roman"/>
          <w:sz w:val="24"/>
          <w:szCs w:val="22"/>
        </w:rPr>
        <w:t>Holmqvist</w:t>
      </w:r>
      <w:proofErr w:type="spellEnd"/>
      <w:r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 Lowe &amp; </w:t>
      </w:r>
      <w:proofErr w:type="spellStart"/>
      <w:r w:rsidRPr="00F9220E">
        <w:rPr>
          <w:rFonts w:ascii="Times New Roman" w:hAnsi="Times New Roman" w:cs="Times New Roman"/>
          <w:sz w:val="24"/>
          <w:szCs w:val="22"/>
        </w:rPr>
        <w:t>Boucheix</w:t>
      </w:r>
      <w:proofErr w:type="spellEnd"/>
      <w:r w:rsidRPr="00F9220E">
        <w:rPr>
          <w:rFonts w:ascii="Times New Roman" w:hAnsi="Times New Roman" w:cs="Times New Roman"/>
          <w:sz w:val="24"/>
          <w:szCs w:val="22"/>
        </w:rPr>
        <w:t xml:space="preserve">, 2016). Lower GRI values typically indicate short fixations combined with frequent gaze shifts and are associated with more efficient, top-down driven scanning behavior. Higher values suggest longer fixations with fewer shifts, </w:t>
      </w:r>
      <w:r w:rsidRPr="00F9220E">
        <w:rPr>
          <w:rFonts w:ascii="Times New Roman" w:hAnsi="Times New Roman" w:cs="Times New Roman"/>
          <w:sz w:val="24"/>
          <w:szCs w:val="22"/>
        </w:rPr>
        <w:lastRenderedPageBreak/>
        <w:t>indicating a slower, potentially more cognitively loaded processing pattern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t xml:space="preserve">Huang, 2018; </w:t>
      </w:r>
      <w:proofErr w:type="spellStart"/>
      <w:r w:rsidR="00CC5540" w:rsidRPr="00CC5540">
        <w:rPr>
          <w:rFonts w:ascii="Times New Roman" w:hAnsi="Times New Roman" w:cs="Times New Roman"/>
          <w:sz w:val="24"/>
          <w:szCs w:val="22"/>
        </w:rPr>
        <w:t>Gegenfurtner</w:t>
      </w:r>
      <w:proofErr w:type="spellEnd"/>
      <w:r w:rsidR="00CC5540" w:rsidRPr="00CC5540">
        <w:rPr>
          <w:rFonts w:ascii="Times New Roman" w:hAnsi="Times New Roman" w:cs="Times New Roman"/>
          <w:sz w:val="24"/>
          <w:szCs w:val="22"/>
        </w:rPr>
        <w:t xml:space="preserve">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small sample size limits its validity. In another study, McIntyre (2016) compared 40 teachers from England and Hong Kong, finding that experts focused more on students, while novices 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 xml:space="preserve">and distributed their attention more evenly across students. Novices, in contrast, tended to focus disproportionately on a few individuals, regardless of their behavioral or academic characteristics. These differences were associated with higher CLASS </w:t>
      </w:r>
      <w:r w:rsidR="00114401" w:rsidRPr="00114401">
        <w:rPr>
          <w:rFonts w:ascii="Times New Roman" w:hAnsi="Times New Roman" w:cs="Times New Roman"/>
          <w:sz w:val="24"/>
          <w:szCs w:val="22"/>
        </w:rPr>
        <w:lastRenderedPageBreak/>
        <w:t>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 xml:space="preserve">In a reanalysis of two studies, </w:t>
      </w:r>
      <w:proofErr w:type="spellStart"/>
      <w:r w:rsidRPr="00B02BE9">
        <w:rPr>
          <w:rFonts w:ascii="Times New Roman" w:hAnsi="Times New Roman" w:cs="Times New Roman"/>
          <w:sz w:val="24"/>
          <w:szCs w:val="22"/>
        </w:rPr>
        <w:t>Gegenfurtner</w:t>
      </w:r>
      <w:proofErr w:type="spellEnd"/>
      <w:r w:rsidRPr="00B02BE9">
        <w:rPr>
          <w:rFonts w:ascii="Times New Roman" w:hAnsi="Times New Roman" w:cs="Times New Roman"/>
          <w:sz w:val="24"/>
          <w:szCs w:val="22"/>
        </w:rPr>
        <w:t xml:space="preserve"> et al. (2020) found that experts generally showed lower GRI values than novices, especially in familiar task contexts. While differences were not always statistically significant, the GRI proved useful for comparing visual processing patterns across expertise levels and task demands. Its application in classroom settings is still limited and calls for further research.</w:t>
      </w:r>
    </w:p>
    <w:p w14:paraId="41C4F5A9" w14:textId="75B2EA02"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Beyond fixation-based measures, </w:t>
      </w:r>
      <w:commentRangeStart w:id="22"/>
      <w:r w:rsidRPr="00F9220E">
        <w:rPr>
          <w:rFonts w:ascii="Times New Roman" w:hAnsi="Times New Roman" w:cs="Times New Roman"/>
          <w:sz w:val="24"/>
          <w:szCs w:val="22"/>
        </w:rPr>
        <w:t xml:space="preserve">time to first fixation (TTFF) </w:t>
      </w:r>
      <w:commentRangeEnd w:id="22"/>
      <w:r w:rsidR="00497187">
        <w:rPr>
          <w:rStyle w:val="Kommentarzeichen"/>
        </w:rPr>
        <w:commentReference w:id="22"/>
      </w:r>
      <w:r w:rsidRPr="00F9220E">
        <w:rPr>
          <w:rFonts w:ascii="Times New Roman" w:hAnsi="Times New Roman" w:cs="Times New Roman"/>
          <w:sz w:val="24"/>
          <w:szCs w:val="22"/>
        </w:rPr>
        <w:t>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1E7B6F">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Despite growing interest, research on the GRI in teaching contexts remains limited. Several studies have highlighted its potential as a standardized efficiency indicator but note that its interpretation depends on task complexity and instructional context (Gabel et al., 2023; </w:t>
      </w:r>
      <w:proofErr w:type="spellStart"/>
      <w:r w:rsidRPr="00F9220E">
        <w:rPr>
          <w:rFonts w:ascii="Times New Roman" w:hAnsi="Times New Roman" w:cs="Times New Roman"/>
          <w:sz w:val="24"/>
          <w:szCs w:val="22"/>
        </w:rPr>
        <w:t>Kosel</w:t>
      </w:r>
      <w:proofErr w:type="spellEnd"/>
      <w:r w:rsidRPr="00F9220E">
        <w:rPr>
          <w:rFonts w:ascii="Times New Roman" w:hAnsi="Times New Roman" w:cs="Times New Roman"/>
          <w:sz w:val="24"/>
          <w:szCs w:val="22"/>
        </w:rPr>
        <w:t xml:space="preserve"> et al., 2023). Furthermore, many eye-tracking studies in teacher research suffer from small sample sizes (e.g., </w:t>
      </w:r>
      <w:proofErr w:type="spellStart"/>
      <w:r w:rsidRPr="00F9220E">
        <w:rPr>
          <w:rFonts w:ascii="Times New Roman" w:hAnsi="Times New Roman" w:cs="Times New Roman"/>
          <w:sz w:val="24"/>
          <w:szCs w:val="22"/>
        </w:rPr>
        <w:t>Pouta</w:t>
      </w:r>
      <w:proofErr w:type="spellEnd"/>
      <w:r w:rsidRPr="00F9220E">
        <w:rPr>
          <w:rFonts w:ascii="Times New Roman" w:hAnsi="Times New Roman" w:cs="Times New Roman"/>
          <w:sz w:val="24"/>
          <w:szCs w:val="22"/>
        </w:rPr>
        <w:t xml:space="preserve"> et al., 2021) or methodological limitations, such as low ecological </w:t>
      </w:r>
      <w:r w:rsidRPr="00F9220E">
        <w:rPr>
          <w:rFonts w:ascii="Times New Roman" w:hAnsi="Times New Roman" w:cs="Times New Roman"/>
          <w:sz w:val="24"/>
          <w:szCs w:val="22"/>
        </w:rPr>
        <w:lastRenderedPageBreak/>
        <w:t>validity due to stationary setups (</w:t>
      </w:r>
      <w:proofErr w:type="spellStart"/>
      <w:r w:rsidRPr="00F9220E">
        <w:rPr>
          <w:rFonts w:ascii="Times New Roman" w:hAnsi="Times New Roman" w:cs="Times New Roman"/>
          <w:sz w:val="24"/>
          <w:szCs w:val="22"/>
        </w:rPr>
        <w:t>Stahnke</w:t>
      </w:r>
      <w:proofErr w:type="spellEnd"/>
      <w:r w:rsidRPr="00F9220E">
        <w:rPr>
          <w:rFonts w:ascii="Times New Roman" w:hAnsi="Times New Roman" w:cs="Times New Roman"/>
          <w:sz w:val="24"/>
          <w:szCs w:val="22"/>
        </w:rPr>
        <w:t xml:space="preserve"> &amp; </w:t>
      </w:r>
      <w:proofErr w:type="spellStart"/>
      <w:r w:rsidRPr="00F9220E">
        <w:rPr>
          <w:rFonts w:ascii="Times New Roman" w:hAnsi="Times New Roman" w:cs="Times New Roman"/>
          <w:sz w:val="24"/>
          <w:szCs w:val="22"/>
        </w:rPr>
        <w:t>Blömeke</w:t>
      </w:r>
      <w:proofErr w:type="spellEnd"/>
      <w:r w:rsidRPr="00F9220E">
        <w:rPr>
          <w:rFonts w:ascii="Times New Roman" w:hAnsi="Times New Roman" w:cs="Times New Roman"/>
          <w:sz w:val="24"/>
          <w:szCs w:val="22"/>
        </w:rPr>
        <w:t>,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xml:space="preserve">, GRI) and event-based indicators such as TTFF offers a robust toolkit for assessing teachers’ professional vision in classroom management. </w:t>
      </w:r>
      <w:commentRangeStart w:id="23"/>
      <w:r w:rsidRPr="00F9220E">
        <w:rPr>
          <w:rFonts w:ascii="Times New Roman" w:hAnsi="Times New Roman" w:cs="Times New Roman"/>
          <w:sz w:val="24"/>
          <w:szCs w:val="22"/>
        </w:rPr>
        <w:t>These metrics provide access to real-time, process-oriented data and allow for fine-grained comparisons of expertise differences in how teachers attend to and process classroom events.</w:t>
      </w:r>
      <w:commentRangeEnd w:id="23"/>
      <w:r w:rsidR="00335CFA">
        <w:rPr>
          <w:rStyle w:val="Kommentarzeichen"/>
        </w:rPr>
        <w:commentReference w:id="23"/>
      </w:r>
    </w:p>
    <w:p w14:paraId="70CAE88C" w14:textId="0665F9A6" w:rsidR="0084046D" w:rsidRPr="002C34BC" w:rsidRDefault="006131E4" w:rsidP="006131E4">
      <w:pPr>
        <w:pStyle w:val="berschrift3"/>
        <w:rPr>
          <w:rFonts w:ascii="Times New Roman" w:hAnsi="Times New Roman" w:cs="Times New Roman"/>
          <w:i w:val="0"/>
          <w:iCs/>
          <w:sz w:val="24"/>
          <w:szCs w:val="24"/>
        </w:rPr>
      </w:pPr>
      <w:commentRangeStart w:id="24"/>
      <w:commentRangeStart w:id="25"/>
      <w:r w:rsidRPr="002C34BC">
        <w:rPr>
          <w:rFonts w:ascii="Times New Roman" w:hAnsi="Times New Roman" w:cs="Times New Roman"/>
          <w:i w:val="0"/>
          <w:iCs/>
          <w:sz w:val="24"/>
          <w:szCs w:val="24"/>
        </w:rPr>
        <w:t xml:space="preserve">Teachers’ </w:t>
      </w:r>
      <w:r w:rsidR="001A3FBE">
        <w:rPr>
          <w:rFonts w:ascii="Times New Roman" w:hAnsi="Times New Roman" w:cs="Times New Roman"/>
          <w:i w:val="0"/>
          <w:iCs/>
          <w:sz w:val="24"/>
          <w:szCs w:val="24"/>
        </w:rPr>
        <w:t>Observable Behavior in Managing Disruptions</w:t>
      </w:r>
      <w:r w:rsidR="002C34BC" w:rsidRPr="002C34BC">
        <w:rPr>
          <w:rFonts w:ascii="Times New Roman" w:hAnsi="Times New Roman" w:cs="Times New Roman"/>
          <w:i w:val="0"/>
          <w:iCs/>
          <w:sz w:val="24"/>
          <w:szCs w:val="24"/>
        </w:rPr>
        <w:t>.</w:t>
      </w:r>
      <w:commentRangeEnd w:id="24"/>
      <w:r w:rsidR="00D94381">
        <w:rPr>
          <w:rStyle w:val="Kommentarzeichen"/>
          <w:rFonts w:ascii="Calibri" w:hAnsi="Calibri" w:cs="Arial"/>
          <w:b w:val="0"/>
          <w:i w:val="0"/>
        </w:rPr>
        <w:commentReference w:id="24"/>
      </w:r>
      <w:commentRangeEnd w:id="25"/>
      <w:r w:rsidR="00D93D6B">
        <w:rPr>
          <w:rStyle w:val="Kommentarzeichen"/>
          <w:rFonts w:ascii="Calibri" w:hAnsi="Calibri" w:cs="Arial"/>
          <w:b w:val="0"/>
          <w:i w:val="0"/>
        </w:rPr>
        <w:commentReference w:id="25"/>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w:t>
      </w:r>
      <w:commentRangeStart w:id="26"/>
      <w:r w:rsidRPr="00D52445">
        <w:rPr>
          <w:rFonts w:ascii="Times New Roman" w:hAnsi="Times New Roman" w:cs="Times New Roman"/>
          <w:sz w:val="24"/>
          <w:szCs w:val="22"/>
        </w:rPr>
        <w:t xml:space="preserve">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xml:space="preserve">, 2006), whereas novices frequently overlook such signals or react too late. </w:t>
      </w:r>
      <w:commentRangeEnd w:id="26"/>
      <w:r w:rsidR="000828CA">
        <w:rPr>
          <w:rStyle w:val="Kommentarzeichen"/>
        </w:rPr>
        <w:commentReference w:id="26"/>
      </w:r>
      <w:r w:rsidRPr="00D52445">
        <w:rPr>
          <w:rFonts w:ascii="Times New Roman" w:hAnsi="Times New Roman" w:cs="Times New Roman"/>
          <w:sz w:val="24"/>
          <w:szCs w:val="22"/>
        </w:rPr>
        <w:t>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lastRenderedPageBreak/>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xml:space="preserve">, the experimenter activated </w:t>
      </w:r>
      <w:r w:rsidRPr="008E7C14">
        <w:rPr>
          <w:rFonts w:ascii="Times New Roman" w:eastAsia="Times New Roman" w:hAnsi="Times New Roman" w:cs="Times New Roman"/>
          <w:color w:val="000000" w:themeColor="text1"/>
          <w:sz w:val="24"/>
          <w:szCs w:val="24"/>
          <w:lang w:eastAsia="de-DE"/>
        </w:rPr>
        <w:lastRenderedPageBreak/>
        <w:t>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w:t>
      </w:r>
      <w:r w:rsidR="004821BA">
        <w:rPr>
          <w:rFonts w:ascii="Times New Roman" w:eastAsia="Times New Roman" w:hAnsi="Times New Roman" w:cs="Times New Roman"/>
          <w:color w:val="000000" w:themeColor="text1"/>
          <w:sz w:val="24"/>
          <w:szCs w:val="24"/>
          <w:lang w:eastAsia="de-DE"/>
        </w:rPr>
        <w:lastRenderedPageBreak/>
        <w:t xml:space="preserve">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w:t>
      </w:r>
      <w:r w:rsidR="00212824" w:rsidRPr="00212824">
        <w:rPr>
          <w:rFonts w:ascii="Times New Roman" w:eastAsia="Times New Roman" w:hAnsi="Times New Roman" w:cs="Times New Roman"/>
          <w:sz w:val="24"/>
          <w:szCs w:val="24"/>
          <w:lang w:eastAsia="de-DE"/>
        </w:rPr>
        <w:lastRenderedPageBreak/>
        <w:t>&gt;30s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w:t>
      </w:r>
      <w:r w:rsidRPr="00EF0B44">
        <w:rPr>
          <w:rFonts w:ascii="Times New Roman" w:eastAsia="Times New Roman" w:hAnsi="Times New Roman" w:cs="Times New Roman"/>
          <w:color w:val="000000" w:themeColor="text1"/>
          <w:sz w:val="24"/>
          <w:szCs w:val="24"/>
          <w:lang w:eastAsia="de-DE"/>
        </w:rPr>
        <w:lastRenderedPageBreak/>
        <w:t>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7"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8" w:name="_Hlk189575193"/>
            <w:bookmarkEnd w:id="27"/>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8"/>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commentRangeStart w:id="29"/>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9"/>
      <w:r w:rsidR="00502D2B">
        <w:rPr>
          <w:rStyle w:val="Kommentarzeichen"/>
        </w:rPr>
        <w:commentReference w:id="29"/>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30"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30"/>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26F8A141" w14:textId="77777777" w:rsidR="001E7B6F" w:rsidRPr="001E7B6F" w:rsidRDefault="00CB5001" w:rsidP="001E7B6F">
      <w:pPr>
        <w:pStyle w:val="Literaturverzeichnis"/>
        <w:rPr>
          <w:rFonts w:cs="Calibri"/>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1E7B6F" w:rsidRPr="001E7B6F">
        <w:rPr>
          <w:rFonts w:cs="Calibri"/>
          <w:lang w:val="de-DE"/>
        </w:rPr>
        <w:t xml:space="preserve">Barth, V. L. (2017). </w:t>
      </w:r>
      <w:r w:rsidR="001E7B6F" w:rsidRPr="001E7B6F">
        <w:rPr>
          <w:rFonts w:cs="Calibri"/>
          <w:i/>
          <w:iCs/>
          <w:lang w:val="de-DE"/>
        </w:rPr>
        <w:t>Professionelle Wahrnehmung von Störungen im Unterricht</w:t>
      </w:r>
      <w:r w:rsidR="001E7B6F" w:rsidRPr="001E7B6F">
        <w:rPr>
          <w:rFonts w:cs="Calibri"/>
          <w:lang w:val="de-DE"/>
        </w:rPr>
        <w:t xml:space="preserve">. </w:t>
      </w:r>
      <w:r w:rsidR="001E7B6F" w:rsidRPr="001E7B6F">
        <w:rPr>
          <w:rFonts w:cs="Calibri"/>
        </w:rPr>
        <w:t>Springer VS. https://doi.org/10.1007/978-3-658-16371-6</w:t>
      </w:r>
    </w:p>
    <w:p w14:paraId="2B4EFBF4" w14:textId="77777777" w:rsidR="001E7B6F" w:rsidRPr="001E7B6F" w:rsidRDefault="001E7B6F" w:rsidP="001E7B6F">
      <w:pPr>
        <w:pStyle w:val="Literaturverzeichnis"/>
        <w:rPr>
          <w:rFonts w:cs="Calibri"/>
        </w:rPr>
      </w:pPr>
      <w:r w:rsidRPr="001E7B6F">
        <w:rPr>
          <w:rFonts w:cs="Calibri"/>
        </w:rPr>
        <w:t xml:space="preserve">Beaty-O’Ferrall, M. E., Green, A., &amp; Hanna, F. (2010). Classroom Management Strategies for Difficult Students: Promoting Change through Relationships. </w:t>
      </w:r>
      <w:r w:rsidRPr="001E7B6F">
        <w:rPr>
          <w:rFonts w:cs="Calibri"/>
          <w:i/>
          <w:iCs/>
        </w:rPr>
        <w:t>Middle School Journal (J1)</w:t>
      </w:r>
      <w:r w:rsidRPr="001E7B6F">
        <w:rPr>
          <w:rFonts w:cs="Calibri"/>
        </w:rPr>
        <w:t xml:space="preserve">, </w:t>
      </w:r>
      <w:r w:rsidRPr="001E7B6F">
        <w:rPr>
          <w:rFonts w:cs="Calibri"/>
          <w:i/>
          <w:iCs/>
        </w:rPr>
        <w:t>41</w:t>
      </w:r>
      <w:r w:rsidRPr="001E7B6F">
        <w:rPr>
          <w:rFonts w:cs="Calibri"/>
        </w:rPr>
        <w:t>(4), 4–11.</w:t>
      </w:r>
    </w:p>
    <w:p w14:paraId="1024821B" w14:textId="77777777" w:rsidR="001E7B6F" w:rsidRPr="001E7B6F" w:rsidRDefault="001E7B6F" w:rsidP="001E7B6F">
      <w:pPr>
        <w:pStyle w:val="Literaturverzeichnis"/>
        <w:rPr>
          <w:rFonts w:cs="Calibri"/>
          <w:lang w:val="de-DE"/>
        </w:rPr>
      </w:pPr>
      <w:r w:rsidRPr="001E7B6F">
        <w:rPr>
          <w:rFonts w:cs="Calibri"/>
        </w:rPr>
        <w:t xml:space="preserve">Blömeke, S., Gustafsson, J.-E., &amp; Shavelson, R. J. (2015). Beyond dichotomies: Competence viewed as a continuum. </w:t>
      </w:r>
      <w:r w:rsidRPr="001E7B6F">
        <w:rPr>
          <w:rFonts w:cs="Calibri"/>
          <w:i/>
          <w:iCs/>
          <w:lang w:val="de-DE"/>
        </w:rPr>
        <w:t>Zeitschrift Für Psychologie</w:t>
      </w:r>
      <w:r w:rsidRPr="001E7B6F">
        <w:rPr>
          <w:rFonts w:cs="Calibri"/>
          <w:lang w:val="de-DE"/>
        </w:rPr>
        <w:t xml:space="preserve">, </w:t>
      </w:r>
      <w:r w:rsidRPr="001E7B6F">
        <w:rPr>
          <w:rFonts w:cs="Calibri"/>
          <w:i/>
          <w:iCs/>
          <w:lang w:val="de-DE"/>
        </w:rPr>
        <w:t>223</w:t>
      </w:r>
      <w:r w:rsidRPr="001E7B6F">
        <w:rPr>
          <w:rFonts w:cs="Calibri"/>
          <w:lang w:val="de-DE"/>
        </w:rPr>
        <w:t>(1), 3–13. https://doi.org/10.1027/2151-2604/a000194</w:t>
      </w:r>
    </w:p>
    <w:p w14:paraId="639FFDB4" w14:textId="77777777" w:rsidR="001E7B6F" w:rsidRPr="001E7B6F" w:rsidRDefault="001E7B6F" w:rsidP="001E7B6F">
      <w:pPr>
        <w:pStyle w:val="Literaturverzeichnis"/>
        <w:rPr>
          <w:rFonts w:cs="Calibri"/>
        </w:rPr>
      </w:pPr>
      <w:r w:rsidRPr="001E7B6F">
        <w:rPr>
          <w:rFonts w:cs="Calibri"/>
          <w:lang w:val="de-DE"/>
        </w:rPr>
        <w:t xml:space="preserve">Chow, J. C., Sayers, R., Fu, Y., Granger, K. L., McCullough, S., Kingsbery, C., &amp; Morse, A. (2024). </w:t>
      </w:r>
      <w:r w:rsidRPr="001E7B6F">
        <w:rPr>
          <w:rFonts w:cs="Calibri"/>
        </w:rPr>
        <w:t xml:space="preserve">A Systematic Meta-Review of Measures of Classroom Management in School Settings. </w:t>
      </w:r>
      <w:r w:rsidRPr="001E7B6F">
        <w:rPr>
          <w:rFonts w:cs="Calibri"/>
          <w:i/>
          <w:iCs/>
        </w:rPr>
        <w:t>Assessment for Effective Intervention</w:t>
      </w:r>
      <w:r w:rsidRPr="001E7B6F">
        <w:rPr>
          <w:rFonts w:cs="Calibri"/>
        </w:rPr>
        <w:t xml:space="preserve">, </w:t>
      </w:r>
      <w:r w:rsidRPr="001E7B6F">
        <w:rPr>
          <w:rFonts w:cs="Calibri"/>
          <w:i/>
          <w:iCs/>
        </w:rPr>
        <w:t>49</w:t>
      </w:r>
      <w:r w:rsidRPr="001E7B6F">
        <w:rPr>
          <w:rFonts w:cs="Calibri"/>
        </w:rPr>
        <w:t>(2), 60–74. https://doi.org/10.1177/15345084231208671</w:t>
      </w:r>
    </w:p>
    <w:p w14:paraId="0BD4CF91" w14:textId="77777777" w:rsidR="001E7B6F" w:rsidRPr="001E7B6F" w:rsidRDefault="001E7B6F" w:rsidP="001E7B6F">
      <w:pPr>
        <w:pStyle w:val="Literaturverzeichnis"/>
        <w:rPr>
          <w:rFonts w:cs="Calibri"/>
          <w:lang w:val="de-DE"/>
        </w:rPr>
      </w:pPr>
      <w:r w:rsidRPr="001E7B6F">
        <w:rPr>
          <w:rFonts w:cs="Calibri"/>
        </w:rPr>
        <w:t xml:space="preserve">Cohen, J. (1988). Statistical power for the behavioural sciences. </w:t>
      </w:r>
      <w:r w:rsidRPr="001E7B6F">
        <w:rPr>
          <w:rFonts w:cs="Calibri"/>
          <w:lang w:val="de-DE"/>
        </w:rPr>
        <w:t xml:space="preserve">Hilsdale. </w:t>
      </w:r>
      <w:r w:rsidRPr="001E7B6F">
        <w:rPr>
          <w:rFonts w:cs="Calibri"/>
          <w:i/>
          <w:iCs/>
          <w:lang w:val="de-DE"/>
        </w:rPr>
        <w:t>NY: Lawrence Erlbaum</w:t>
      </w:r>
      <w:r w:rsidRPr="001E7B6F">
        <w:rPr>
          <w:rFonts w:cs="Calibri"/>
          <w:lang w:val="de-DE"/>
        </w:rPr>
        <w:t xml:space="preserve">, </w:t>
      </w:r>
      <w:r w:rsidRPr="001E7B6F">
        <w:rPr>
          <w:rFonts w:cs="Calibri"/>
          <w:i/>
          <w:iCs/>
          <w:lang w:val="de-DE"/>
        </w:rPr>
        <w:t>58</w:t>
      </w:r>
      <w:r w:rsidRPr="001E7B6F">
        <w:rPr>
          <w:rFonts w:cs="Calibri"/>
          <w:lang w:val="de-DE"/>
        </w:rPr>
        <w:t>(1), 7–19.</w:t>
      </w:r>
    </w:p>
    <w:p w14:paraId="7E2B93BC" w14:textId="77777777" w:rsidR="001E7B6F" w:rsidRPr="001E7B6F" w:rsidRDefault="001E7B6F" w:rsidP="001E7B6F">
      <w:pPr>
        <w:pStyle w:val="Literaturverzeichnis"/>
        <w:rPr>
          <w:rFonts w:cs="Calibri"/>
          <w:lang w:val="de-DE"/>
        </w:rPr>
      </w:pPr>
      <w:r w:rsidRPr="001E7B6F">
        <w:rPr>
          <w:rFonts w:cs="Calibri"/>
          <w:lang w:val="de-DE"/>
        </w:rPr>
        <w:t xml:space="preserve">Eckstein, B., Grob, U., &amp; Reusser, K. (2016). Unterrichtliche Devianz und subjektives Störungsempfinden. Entwicklung eines Instrumentariums zur Erfassung von Unterrichtsstörungen. </w:t>
      </w:r>
      <w:r w:rsidRPr="001E7B6F">
        <w:rPr>
          <w:rFonts w:cs="Calibri"/>
          <w:i/>
          <w:iCs/>
          <w:lang w:val="de-DE"/>
        </w:rPr>
        <w:t>Empirische Pädagogik (EP)</w:t>
      </w:r>
      <w:r w:rsidRPr="001E7B6F">
        <w:rPr>
          <w:rFonts w:cs="Calibri"/>
          <w:lang w:val="de-DE"/>
        </w:rPr>
        <w:t xml:space="preserve">, </w:t>
      </w:r>
      <w:r w:rsidRPr="001E7B6F">
        <w:rPr>
          <w:rFonts w:cs="Calibri"/>
          <w:i/>
          <w:iCs/>
          <w:lang w:val="de-DE"/>
        </w:rPr>
        <w:t>30</w:t>
      </w:r>
      <w:r w:rsidRPr="001E7B6F">
        <w:rPr>
          <w:rFonts w:cs="Calibri"/>
          <w:lang w:val="de-DE"/>
        </w:rPr>
        <w:t>(1), Article 1.</w:t>
      </w:r>
    </w:p>
    <w:p w14:paraId="68CF9DFD" w14:textId="77777777" w:rsidR="001E7B6F" w:rsidRPr="001E7B6F" w:rsidRDefault="001E7B6F" w:rsidP="001E7B6F">
      <w:pPr>
        <w:pStyle w:val="Literaturverzeichnis"/>
        <w:rPr>
          <w:rFonts w:cs="Calibri"/>
        </w:rPr>
      </w:pPr>
      <w:r w:rsidRPr="001E7B6F">
        <w:rPr>
          <w:rFonts w:cs="Calibri"/>
        </w:rPr>
        <w:t xml:space="preserve">Gold, B., &amp; Holodynski, M. (2015). Development and Construct Validation of a Situational Judgment Test of Strategic Knowledge of Classroom Management in Elementary Schools. </w:t>
      </w:r>
      <w:r w:rsidRPr="001E7B6F">
        <w:rPr>
          <w:rFonts w:cs="Calibri"/>
          <w:i/>
          <w:iCs/>
        </w:rPr>
        <w:t>Educational Assessment</w:t>
      </w:r>
      <w:r w:rsidRPr="001E7B6F">
        <w:rPr>
          <w:rFonts w:cs="Calibri"/>
        </w:rPr>
        <w:t xml:space="preserve">, </w:t>
      </w:r>
      <w:r w:rsidRPr="001E7B6F">
        <w:rPr>
          <w:rFonts w:cs="Calibri"/>
          <w:i/>
          <w:iCs/>
        </w:rPr>
        <w:t>20</w:t>
      </w:r>
      <w:r w:rsidRPr="001E7B6F">
        <w:rPr>
          <w:rFonts w:cs="Calibri"/>
        </w:rPr>
        <w:t>(3), 226–248. https://doi.org/10.1080/10627197.2015.1062087</w:t>
      </w:r>
    </w:p>
    <w:p w14:paraId="7FECD523" w14:textId="77777777" w:rsidR="001E7B6F" w:rsidRPr="001E7B6F" w:rsidRDefault="001E7B6F" w:rsidP="001E7B6F">
      <w:pPr>
        <w:pStyle w:val="Literaturverzeichnis"/>
        <w:rPr>
          <w:rFonts w:cs="Calibri"/>
        </w:rPr>
      </w:pPr>
      <w:r w:rsidRPr="001E7B6F">
        <w:rPr>
          <w:rFonts w:cs="Calibri"/>
        </w:rPr>
        <w:t xml:space="preserve">Grub, A.-S. (2023). </w:t>
      </w:r>
      <w:r w:rsidRPr="001E7B6F">
        <w:rPr>
          <w:rFonts w:cs="Calibri"/>
          <w:i/>
          <w:iCs/>
        </w:rPr>
        <w:t>PRONOEA - Professional vision of novice and expert teachers</w:t>
      </w:r>
      <w:r w:rsidRPr="001E7B6F">
        <w:rPr>
          <w:rFonts w:cs="Calibri"/>
        </w:rPr>
        <w:t xml:space="preserve"> [doctoralThesis, Saarländische Universitäts- und Landesbibliothek]. https://doi.org/10.22028/D291-39788</w:t>
      </w:r>
    </w:p>
    <w:p w14:paraId="3BB9A4F0" w14:textId="77777777" w:rsidR="001E7B6F" w:rsidRPr="001E7B6F" w:rsidRDefault="001E7B6F" w:rsidP="001E7B6F">
      <w:pPr>
        <w:pStyle w:val="Literaturverzeichnis"/>
        <w:rPr>
          <w:rFonts w:cs="Calibri"/>
          <w:lang w:val="de-DE"/>
        </w:rPr>
      </w:pPr>
      <w:r w:rsidRPr="001E7B6F">
        <w:rPr>
          <w:rFonts w:cs="Calibri"/>
          <w:lang w:val="de-DE"/>
        </w:rPr>
        <w:t xml:space="preserve">Grub, A.-S., Biermann, A., &amp; Brünken, R. (2020). </w:t>
      </w:r>
      <w:r w:rsidRPr="001E7B6F">
        <w:rPr>
          <w:rFonts w:cs="Calibri"/>
          <w:i/>
          <w:iCs/>
        </w:rPr>
        <w:t xml:space="preserve">Process-based measurement of professional vision of (prospective) teachers in the field of classroom management. </w:t>
      </w:r>
      <w:r w:rsidRPr="001E7B6F">
        <w:rPr>
          <w:rFonts w:cs="Calibri"/>
          <w:i/>
          <w:iCs/>
          <w:lang w:val="de-DE"/>
        </w:rPr>
        <w:t>A systematic review</w:t>
      </w:r>
      <w:r w:rsidRPr="001E7B6F">
        <w:rPr>
          <w:rFonts w:cs="Calibri"/>
          <w:lang w:val="de-DE"/>
        </w:rPr>
        <w:t>. https://doi.org/10.25656/01:21187</w:t>
      </w:r>
    </w:p>
    <w:p w14:paraId="5BF96387" w14:textId="77777777" w:rsidR="001E7B6F" w:rsidRPr="001E7B6F" w:rsidRDefault="001E7B6F" w:rsidP="001E7B6F">
      <w:pPr>
        <w:pStyle w:val="Literaturverzeichnis"/>
        <w:rPr>
          <w:rFonts w:cs="Calibri"/>
          <w:lang w:val="de-DE"/>
        </w:rPr>
      </w:pPr>
      <w:r w:rsidRPr="001E7B6F">
        <w:rPr>
          <w:rFonts w:cs="Calibri"/>
          <w:lang w:val="de-DE"/>
        </w:rPr>
        <w:lastRenderedPageBreak/>
        <w:t xml:space="preserve">Helmke, A. (2022). </w:t>
      </w:r>
      <w:r w:rsidRPr="001E7B6F">
        <w:rPr>
          <w:rFonts w:cs="Calibri"/>
          <w:i/>
          <w:iCs/>
          <w:lang w:val="de-DE"/>
        </w:rPr>
        <w:t>Unterrichtsqualität und Professionalisierung: Diagnostik von Lehr-Lern-Prozessen und evidenzbasierte Unterrichtsentwicklung</w:t>
      </w:r>
      <w:r w:rsidRPr="001E7B6F">
        <w:rPr>
          <w:rFonts w:cs="Calibri"/>
          <w:lang w:val="de-DE"/>
        </w:rPr>
        <w:t xml:space="preserve"> (1. Auflage). Klett Kallmeyer.</w:t>
      </w:r>
    </w:p>
    <w:p w14:paraId="096C11CE" w14:textId="77777777" w:rsidR="001E7B6F" w:rsidRPr="001E7B6F" w:rsidRDefault="001E7B6F" w:rsidP="001E7B6F">
      <w:pPr>
        <w:pStyle w:val="Literaturverzeichnis"/>
        <w:rPr>
          <w:rFonts w:cs="Calibri"/>
          <w:lang w:val="de-DE"/>
        </w:rPr>
      </w:pPr>
      <w:r w:rsidRPr="001E7B6F">
        <w:rPr>
          <w:rFonts w:cs="Calibri"/>
          <w:lang w:val="de-DE"/>
        </w:rPr>
        <w:t xml:space="preserve">Helmke, A., Schrader, F.-W., Helmke, T., Lenske, G., Pham, G., Praetorius, A.-K., &amp; Ade-Thurow, M. (2013). </w:t>
      </w:r>
      <w:r w:rsidRPr="001E7B6F">
        <w:rPr>
          <w:rFonts w:cs="Calibri"/>
          <w:i/>
          <w:iCs/>
          <w:lang w:val="de-DE"/>
        </w:rPr>
        <w:t>Basisfragebogen EMU - Evidenzbasierte Methoden der Unterrichtsentwicklung</w:t>
      </w:r>
      <w:r w:rsidRPr="001E7B6F">
        <w:rPr>
          <w:rFonts w:cs="Calibri"/>
          <w:lang w:val="de-DE"/>
        </w:rPr>
        <w:t>. Unterrichtsdiagnostik. http://www.unterrichtsdiagnostik.info/downloads/fragebogen/</w:t>
      </w:r>
    </w:p>
    <w:p w14:paraId="11F3C48F" w14:textId="77777777" w:rsidR="001E7B6F" w:rsidRPr="001E7B6F" w:rsidRDefault="001E7B6F" w:rsidP="001E7B6F">
      <w:pPr>
        <w:pStyle w:val="Literaturverzeichnis"/>
        <w:rPr>
          <w:rFonts w:cs="Calibri"/>
        </w:rPr>
      </w:pPr>
      <w:r w:rsidRPr="001E7B6F">
        <w:rPr>
          <w:rFonts w:cs="Calibri"/>
          <w:lang w:val="de-DE"/>
        </w:rPr>
        <w:t xml:space="preserve">Keskin, Ö., Gabel, S., Kollar, I., &amp; Gegenfurtner, A. (2023). </w:t>
      </w:r>
      <w:r w:rsidRPr="001E7B6F">
        <w:rPr>
          <w:rFonts w:cs="Calibri"/>
        </w:rPr>
        <w:t xml:space="preserve">Relations between pre-service teacher gaze, teacher attitude, and student ethnicity. </w:t>
      </w:r>
      <w:r w:rsidRPr="001E7B6F">
        <w:rPr>
          <w:rFonts w:cs="Calibri"/>
          <w:i/>
          <w:iCs/>
        </w:rPr>
        <w:t>Frontiers in Education</w:t>
      </w:r>
      <w:r w:rsidRPr="001E7B6F">
        <w:rPr>
          <w:rFonts w:cs="Calibri"/>
        </w:rPr>
        <w:t xml:space="preserve">, </w:t>
      </w:r>
      <w:r w:rsidRPr="001E7B6F">
        <w:rPr>
          <w:rFonts w:cs="Calibri"/>
          <w:i/>
          <w:iCs/>
        </w:rPr>
        <w:t>8</w:t>
      </w:r>
      <w:r w:rsidRPr="001E7B6F">
        <w:rPr>
          <w:rFonts w:cs="Calibri"/>
        </w:rPr>
        <w:t>. https://doi.org/10.3389/feduc.2023.1272671</w:t>
      </w:r>
    </w:p>
    <w:p w14:paraId="4FC868AE" w14:textId="77777777" w:rsidR="001E7B6F" w:rsidRPr="001E7B6F" w:rsidRDefault="001E7B6F" w:rsidP="001E7B6F">
      <w:pPr>
        <w:pStyle w:val="Literaturverzeichnis"/>
        <w:rPr>
          <w:rFonts w:cs="Calibri"/>
        </w:rPr>
      </w:pPr>
      <w:r w:rsidRPr="001E7B6F">
        <w:rPr>
          <w:rFonts w:cs="Calibri"/>
        </w:rPr>
        <w:t xml:space="preserve">Keskin, Ö., Seidel, T., Stürmer, K., &amp; Gegenfurtner, A. (2024). Eye-tracking research on teacher professional vision: A meta-analytic review. </w:t>
      </w:r>
      <w:r w:rsidRPr="001E7B6F">
        <w:rPr>
          <w:rFonts w:cs="Calibri"/>
          <w:i/>
          <w:iCs/>
        </w:rPr>
        <w:t>Educational Research Review</w:t>
      </w:r>
      <w:r w:rsidRPr="001E7B6F">
        <w:rPr>
          <w:rFonts w:cs="Calibri"/>
        </w:rPr>
        <w:t xml:space="preserve">, </w:t>
      </w:r>
      <w:r w:rsidRPr="001E7B6F">
        <w:rPr>
          <w:rFonts w:cs="Calibri"/>
          <w:i/>
          <w:iCs/>
        </w:rPr>
        <w:t>42</w:t>
      </w:r>
      <w:r w:rsidRPr="001E7B6F">
        <w:rPr>
          <w:rFonts w:cs="Calibri"/>
        </w:rPr>
        <w:t>, 100586. https://doi.org/10.1016/j.edurev.2023.100586</w:t>
      </w:r>
    </w:p>
    <w:p w14:paraId="5664C708" w14:textId="77777777" w:rsidR="001E7B6F" w:rsidRPr="001E7B6F" w:rsidRDefault="001E7B6F" w:rsidP="001E7B6F">
      <w:pPr>
        <w:pStyle w:val="Literaturverzeichnis"/>
        <w:rPr>
          <w:rFonts w:cs="Calibri"/>
          <w:lang w:val="de-DE"/>
        </w:rPr>
      </w:pPr>
      <w:r w:rsidRPr="001E7B6F">
        <w:rPr>
          <w:rFonts w:cs="Calibri"/>
        </w:rPr>
        <w:t xml:space="preserve">Kiel, E., Frey, A., &amp; Weiß, S. (2013). </w:t>
      </w:r>
      <w:r w:rsidRPr="001E7B6F">
        <w:rPr>
          <w:rFonts w:cs="Calibri"/>
          <w:i/>
          <w:iCs/>
          <w:lang w:val="de-DE"/>
        </w:rPr>
        <w:t>Trainingsbuch Klassenführung</w:t>
      </w:r>
      <w:r w:rsidRPr="001E7B6F">
        <w:rPr>
          <w:rFonts w:cs="Calibri"/>
          <w:lang w:val="de-DE"/>
        </w:rPr>
        <w:t>. Verlag Julius Klinkhardt.</w:t>
      </w:r>
    </w:p>
    <w:p w14:paraId="7334665A" w14:textId="77777777" w:rsidR="001E7B6F" w:rsidRPr="001E7B6F" w:rsidRDefault="001E7B6F" w:rsidP="001E7B6F">
      <w:pPr>
        <w:pStyle w:val="Literaturverzeichnis"/>
        <w:rPr>
          <w:rFonts w:cs="Calibri"/>
        </w:rPr>
      </w:pPr>
      <w:r w:rsidRPr="001E7B6F">
        <w:rPr>
          <w:rFonts w:cs="Calibri"/>
        </w:rPr>
        <w:t xml:space="preserve">Kilbury, M., Böhnke, A., Haase, S., &amp; Thiel, F. (2024). The development and validation of a video tool for capturing teachers’ noticing in salient and non-salient classroom disruptions. </w:t>
      </w:r>
      <w:r w:rsidRPr="001E7B6F">
        <w:rPr>
          <w:rFonts w:cs="Calibri"/>
          <w:i/>
          <w:iCs/>
        </w:rPr>
        <w:t>Computers in Human Behavior Reports</w:t>
      </w:r>
      <w:r w:rsidRPr="001E7B6F">
        <w:rPr>
          <w:rFonts w:cs="Calibri"/>
        </w:rPr>
        <w:t xml:space="preserve">, </w:t>
      </w:r>
      <w:r w:rsidRPr="001E7B6F">
        <w:rPr>
          <w:rFonts w:cs="Calibri"/>
          <w:i/>
          <w:iCs/>
        </w:rPr>
        <w:t>16</w:t>
      </w:r>
      <w:r w:rsidRPr="001E7B6F">
        <w:rPr>
          <w:rFonts w:cs="Calibri"/>
        </w:rPr>
        <w:t>, 100481. https://doi.org/10.1016/j.chbr.2024.100481</w:t>
      </w:r>
    </w:p>
    <w:p w14:paraId="3C4792D7" w14:textId="77777777" w:rsidR="001E7B6F" w:rsidRPr="001E7B6F" w:rsidRDefault="001E7B6F" w:rsidP="001E7B6F">
      <w:pPr>
        <w:pStyle w:val="Literaturverzeichnis"/>
        <w:rPr>
          <w:rFonts w:cs="Calibri"/>
          <w:lang w:val="de-DE"/>
        </w:rPr>
      </w:pPr>
      <w:r w:rsidRPr="001E7B6F">
        <w:rPr>
          <w:rFonts w:cs="Calibri"/>
          <w:lang w:val="de-DE"/>
        </w:rPr>
        <w:t xml:space="preserve">Kounin, J. S. (2006). </w:t>
      </w:r>
      <w:r w:rsidRPr="001E7B6F">
        <w:rPr>
          <w:rFonts w:cs="Calibri"/>
          <w:i/>
          <w:iCs/>
          <w:lang w:val="de-DE"/>
        </w:rPr>
        <w:t>Techniken der Klassenführung</w:t>
      </w:r>
      <w:r w:rsidRPr="001E7B6F">
        <w:rPr>
          <w:rFonts w:cs="Calibri"/>
          <w:lang w:val="de-DE"/>
        </w:rPr>
        <w:t>. Waxmann Verlag.</w:t>
      </w:r>
    </w:p>
    <w:p w14:paraId="20D91D98" w14:textId="77777777" w:rsidR="001E7B6F" w:rsidRPr="001E7B6F" w:rsidRDefault="001E7B6F" w:rsidP="001E7B6F">
      <w:pPr>
        <w:pStyle w:val="Literaturverzeichnis"/>
        <w:rPr>
          <w:rFonts w:cs="Calibri"/>
        </w:rPr>
      </w:pPr>
      <w:r w:rsidRPr="001E7B6F">
        <w:rPr>
          <w:rFonts w:cs="Calibri"/>
          <w:lang w:val="de-DE"/>
        </w:rPr>
        <w:t xml:space="preserve">Kraft, M. A., &amp; Monti-Nussbaum, M. (2021). </w:t>
      </w:r>
      <w:r w:rsidRPr="001E7B6F">
        <w:rPr>
          <w:rFonts w:cs="Calibri"/>
        </w:rPr>
        <w:t xml:space="preserve">The Big Problem With Little Interruptions to Classroom Learning. </w:t>
      </w:r>
      <w:r w:rsidRPr="001E7B6F">
        <w:rPr>
          <w:rFonts w:cs="Calibri"/>
          <w:i/>
          <w:iCs/>
        </w:rPr>
        <w:t>AERA Open</w:t>
      </w:r>
      <w:r w:rsidRPr="001E7B6F">
        <w:rPr>
          <w:rFonts w:cs="Calibri"/>
        </w:rPr>
        <w:t xml:space="preserve">, </w:t>
      </w:r>
      <w:r w:rsidRPr="001E7B6F">
        <w:rPr>
          <w:rFonts w:cs="Calibri"/>
          <w:i/>
          <w:iCs/>
        </w:rPr>
        <w:t>7</w:t>
      </w:r>
      <w:r w:rsidRPr="001E7B6F">
        <w:rPr>
          <w:rFonts w:cs="Calibri"/>
        </w:rPr>
        <w:t>, 23328584211028856. https://doi.org/10.1177/23328584211028856</w:t>
      </w:r>
    </w:p>
    <w:p w14:paraId="445121BE" w14:textId="77777777" w:rsidR="001E7B6F" w:rsidRPr="001E7B6F" w:rsidRDefault="001E7B6F" w:rsidP="001E7B6F">
      <w:pPr>
        <w:pStyle w:val="Literaturverzeichnis"/>
        <w:rPr>
          <w:rFonts w:cs="Calibri"/>
          <w:lang w:val="de-DE"/>
        </w:rPr>
      </w:pPr>
      <w:r w:rsidRPr="001E7B6F">
        <w:rPr>
          <w:rFonts w:cs="Calibri"/>
        </w:rPr>
        <w:t xml:space="preserve">Kunter, M., Baumert, J., &amp; Blum, W. (2011). </w:t>
      </w:r>
      <w:r w:rsidRPr="001E7B6F">
        <w:rPr>
          <w:rFonts w:cs="Calibri"/>
          <w:i/>
          <w:iCs/>
          <w:lang w:val="de-DE"/>
        </w:rPr>
        <w:t>Professionelle Kompetenz von Lehrkräften: Ergebnisse des Forschungsprogramms COACTIV</w:t>
      </w:r>
      <w:r w:rsidRPr="001E7B6F">
        <w:rPr>
          <w:rFonts w:cs="Calibri"/>
          <w:lang w:val="de-DE"/>
        </w:rPr>
        <w:t>. Waxmann Verlag.</w:t>
      </w:r>
    </w:p>
    <w:p w14:paraId="77884179" w14:textId="77777777" w:rsidR="001E7B6F" w:rsidRPr="001E7B6F" w:rsidRDefault="001E7B6F" w:rsidP="001E7B6F">
      <w:pPr>
        <w:pStyle w:val="Literaturverzeichnis"/>
        <w:rPr>
          <w:rFonts w:cs="Calibri"/>
        </w:rPr>
      </w:pPr>
      <w:r w:rsidRPr="001E7B6F">
        <w:rPr>
          <w:rFonts w:cs="Calibri"/>
          <w:lang w:val="de-DE"/>
        </w:rPr>
        <w:t xml:space="preserve">Lohmann, G., &amp; Meyer, H. (2003). </w:t>
      </w:r>
      <w:r w:rsidRPr="001E7B6F">
        <w:rPr>
          <w:rFonts w:cs="Calibri"/>
          <w:i/>
          <w:iCs/>
          <w:lang w:val="de-DE"/>
        </w:rPr>
        <w:t>Mit Schülern klarkommen: Professioneller Umgang mit Unterrichtsstörungen und Disziplinkonflikten</w:t>
      </w:r>
      <w:r w:rsidRPr="001E7B6F">
        <w:rPr>
          <w:rFonts w:cs="Calibri"/>
          <w:lang w:val="de-DE"/>
        </w:rPr>
        <w:t xml:space="preserve">. </w:t>
      </w:r>
      <w:r w:rsidRPr="001E7B6F">
        <w:rPr>
          <w:rFonts w:cs="Calibri"/>
        </w:rPr>
        <w:t>Cornelsen-Scriptor.</w:t>
      </w:r>
    </w:p>
    <w:p w14:paraId="4144BBCA" w14:textId="77777777" w:rsidR="001E7B6F" w:rsidRPr="001E7B6F" w:rsidRDefault="001E7B6F" w:rsidP="001E7B6F">
      <w:pPr>
        <w:pStyle w:val="Literaturverzeichnis"/>
        <w:rPr>
          <w:rFonts w:cs="Calibri"/>
        </w:rPr>
      </w:pPr>
      <w:r w:rsidRPr="001E7B6F">
        <w:rPr>
          <w:rFonts w:cs="Calibri"/>
        </w:rPr>
        <w:lastRenderedPageBreak/>
        <w:t xml:space="preserve">Marder, J., Thiel, F., &amp; Göllner, R. (2023). Classroom management and students’ mathematics achievement: The role of students’ disruptive behavior and teacher classroom management. </w:t>
      </w:r>
      <w:r w:rsidRPr="001E7B6F">
        <w:rPr>
          <w:rFonts w:cs="Calibri"/>
          <w:i/>
          <w:iCs/>
        </w:rPr>
        <w:t>Learning and Instruction</w:t>
      </w:r>
      <w:r w:rsidRPr="001E7B6F">
        <w:rPr>
          <w:rFonts w:cs="Calibri"/>
        </w:rPr>
        <w:t xml:space="preserve">, </w:t>
      </w:r>
      <w:r w:rsidRPr="001E7B6F">
        <w:rPr>
          <w:rFonts w:cs="Calibri"/>
          <w:i/>
          <w:iCs/>
        </w:rPr>
        <w:t>86</w:t>
      </w:r>
      <w:r w:rsidRPr="001E7B6F">
        <w:rPr>
          <w:rFonts w:cs="Calibri"/>
        </w:rPr>
        <w:t>, 101746. https://doi.org/10.1016/j.learninstruc.2023.101746</w:t>
      </w:r>
    </w:p>
    <w:p w14:paraId="04E4FF8A" w14:textId="77777777" w:rsidR="001E7B6F" w:rsidRPr="001E7B6F" w:rsidRDefault="001E7B6F" w:rsidP="001E7B6F">
      <w:pPr>
        <w:pStyle w:val="Literaturverzeichnis"/>
        <w:rPr>
          <w:rFonts w:cs="Calibri"/>
        </w:rPr>
      </w:pPr>
      <w:r w:rsidRPr="001E7B6F">
        <w:rPr>
          <w:rFonts w:cs="Calibri"/>
        </w:rPr>
        <w:t xml:space="preserve">Marzano, R. J. (2007). </w:t>
      </w:r>
      <w:r w:rsidRPr="001E7B6F">
        <w:rPr>
          <w:rFonts w:cs="Calibri"/>
          <w:i/>
          <w:iCs/>
        </w:rPr>
        <w:t>The Art and Science of Teaching: A Comprehensive Framework for Effective Instruction</w:t>
      </w:r>
      <w:r w:rsidRPr="001E7B6F">
        <w:rPr>
          <w:rFonts w:cs="Calibri"/>
        </w:rPr>
        <w:t>. ASCD.</w:t>
      </w:r>
    </w:p>
    <w:p w14:paraId="602C0BBA" w14:textId="77777777" w:rsidR="001E7B6F" w:rsidRPr="001E7B6F" w:rsidRDefault="001E7B6F" w:rsidP="001E7B6F">
      <w:pPr>
        <w:pStyle w:val="Literaturverzeichnis"/>
        <w:rPr>
          <w:rFonts w:cs="Calibri"/>
        </w:rPr>
      </w:pPr>
      <w:r w:rsidRPr="001E7B6F">
        <w:rPr>
          <w:rFonts w:cs="Calibri"/>
        </w:rPr>
        <w:t xml:space="preserve">Onkhar, V., Dodou, D., &amp; de Winter, J. C. F. (2024). Evaluating the Tobii Pro Glasses 2 and 3 in static and dynamic conditions. </w:t>
      </w:r>
      <w:r w:rsidRPr="001E7B6F">
        <w:rPr>
          <w:rFonts w:cs="Calibri"/>
          <w:i/>
          <w:iCs/>
        </w:rPr>
        <w:t>Behavior Research Methods</w:t>
      </w:r>
      <w:r w:rsidRPr="001E7B6F">
        <w:rPr>
          <w:rFonts w:cs="Calibri"/>
        </w:rPr>
        <w:t xml:space="preserve">, </w:t>
      </w:r>
      <w:r w:rsidRPr="001E7B6F">
        <w:rPr>
          <w:rFonts w:cs="Calibri"/>
          <w:i/>
          <w:iCs/>
        </w:rPr>
        <w:t>56</w:t>
      </w:r>
      <w:r w:rsidRPr="001E7B6F">
        <w:rPr>
          <w:rFonts w:cs="Calibri"/>
        </w:rPr>
        <w:t>(5), 4221–4238. https://doi.org/10.3758/s13428-023-02173-7</w:t>
      </w:r>
    </w:p>
    <w:p w14:paraId="14CABA10" w14:textId="77777777" w:rsidR="001E7B6F" w:rsidRPr="001E7B6F" w:rsidRDefault="001E7B6F" w:rsidP="001E7B6F">
      <w:pPr>
        <w:pStyle w:val="Literaturverzeichnis"/>
        <w:rPr>
          <w:rFonts w:cs="Calibri"/>
        </w:rPr>
      </w:pPr>
      <w:r w:rsidRPr="001E7B6F">
        <w:rPr>
          <w:rFonts w:cs="Calibri"/>
        </w:rPr>
        <w:t xml:space="preserve">RStudio Team. (2020). </w:t>
      </w:r>
      <w:r w:rsidRPr="001E7B6F">
        <w:rPr>
          <w:rFonts w:cs="Calibri"/>
          <w:i/>
          <w:iCs/>
        </w:rPr>
        <w:t>RStudio: Integrated Development Environment for R</w:t>
      </w:r>
      <w:r w:rsidRPr="001E7B6F">
        <w:rPr>
          <w:rFonts w:cs="Calibri"/>
        </w:rPr>
        <w:t>. RStudio, PBC.</w:t>
      </w:r>
    </w:p>
    <w:p w14:paraId="4050A2F9" w14:textId="77777777" w:rsidR="001E7B6F" w:rsidRPr="001E7B6F" w:rsidRDefault="001E7B6F" w:rsidP="001E7B6F">
      <w:pPr>
        <w:pStyle w:val="Literaturverzeichnis"/>
        <w:rPr>
          <w:rFonts w:cs="Calibri"/>
          <w:lang w:val="de-DE"/>
        </w:rPr>
      </w:pPr>
      <w:r w:rsidRPr="001E7B6F">
        <w:rPr>
          <w:rFonts w:cs="Calibri"/>
          <w:lang w:val="de-DE"/>
        </w:rPr>
        <w:t xml:space="preserve">Rüedi, J. (2014). Zur Bedeutung positive Beziehungen für die Klassenführung und den Umgang mit Unterrichtsstörungen. </w:t>
      </w:r>
      <w:r w:rsidRPr="001E7B6F">
        <w:rPr>
          <w:rFonts w:cs="Calibri"/>
          <w:i/>
          <w:iCs/>
          <w:lang w:val="de-DE"/>
        </w:rPr>
        <w:t>Beziehungen in Schule Und Unterricht. Teil</w:t>
      </w:r>
      <w:r w:rsidRPr="001E7B6F">
        <w:rPr>
          <w:rFonts w:cs="Calibri"/>
          <w:lang w:val="de-DE"/>
        </w:rPr>
        <w:t xml:space="preserve">, </w:t>
      </w:r>
      <w:r w:rsidRPr="001E7B6F">
        <w:rPr>
          <w:rFonts w:cs="Calibri"/>
          <w:i/>
          <w:iCs/>
          <w:lang w:val="de-DE"/>
        </w:rPr>
        <w:t>3</w:t>
      </w:r>
      <w:r w:rsidRPr="001E7B6F">
        <w:rPr>
          <w:rFonts w:cs="Calibri"/>
          <w:lang w:val="de-DE"/>
        </w:rPr>
        <w:t>, 105–126.</w:t>
      </w:r>
    </w:p>
    <w:p w14:paraId="7088F5E8" w14:textId="77777777" w:rsidR="001E7B6F" w:rsidRPr="001E7B6F" w:rsidRDefault="001E7B6F" w:rsidP="001E7B6F">
      <w:pPr>
        <w:pStyle w:val="Literaturverzeichnis"/>
        <w:rPr>
          <w:rFonts w:cs="Calibri"/>
          <w:lang w:val="de-DE"/>
        </w:rPr>
      </w:pPr>
      <w:r w:rsidRPr="001E7B6F">
        <w:rPr>
          <w:rFonts w:cs="Calibri"/>
          <w:lang w:val="de-DE"/>
        </w:rPr>
        <w:t xml:space="preserve">Tobii AB. (2024). </w:t>
      </w:r>
      <w:r w:rsidRPr="001E7B6F">
        <w:rPr>
          <w:rFonts w:cs="Calibri"/>
          <w:i/>
          <w:iCs/>
          <w:lang w:val="de-DE"/>
        </w:rPr>
        <w:t>Tobii Pro Lab User Manual v 24.21</w:t>
      </w:r>
      <w:r w:rsidRPr="001E7B6F">
        <w:rPr>
          <w:rFonts w:cs="Calibri"/>
          <w:lang w:val="de-DE"/>
        </w:rPr>
        <w:t>. https://go.tobii.com/tobii_pro_lab_user_manual</w:t>
      </w:r>
    </w:p>
    <w:p w14:paraId="514EC21C" w14:textId="77777777" w:rsidR="001E7B6F" w:rsidRPr="001E7B6F" w:rsidRDefault="001E7B6F" w:rsidP="001E7B6F">
      <w:pPr>
        <w:pStyle w:val="Literaturverzeichnis"/>
        <w:rPr>
          <w:rFonts w:cs="Calibri"/>
          <w:lang w:val="de-DE"/>
        </w:rPr>
      </w:pPr>
      <w:r w:rsidRPr="001E7B6F">
        <w:rPr>
          <w:rFonts w:cs="Calibri"/>
          <w:lang w:val="de-DE"/>
        </w:rPr>
        <w:t xml:space="preserve">Voss, T., Kunter, M., Seiz, J., Hoehne, V., &amp; Baumert, J. (2014). Die Bedeutung des pädagogisch-psychologischen Wissens von angehenden Lehrkräften für die Unterrichtsqualität. </w:t>
      </w:r>
      <w:r w:rsidRPr="001E7B6F">
        <w:rPr>
          <w:rFonts w:cs="Calibri"/>
          <w:i/>
          <w:iCs/>
          <w:lang w:val="de-DE"/>
        </w:rPr>
        <w:t>Zeitschrift für Pädagogik</w:t>
      </w:r>
      <w:r w:rsidRPr="001E7B6F">
        <w:rPr>
          <w:rFonts w:cs="Calibri"/>
          <w:lang w:val="de-DE"/>
        </w:rPr>
        <w:t xml:space="preserve">, </w:t>
      </w:r>
      <w:r w:rsidRPr="001E7B6F">
        <w:rPr>
          <w:rFonts w:cs="Calibri"/>
          <w:i/>
          <w:iCs/>
          <w:lang w:val="de-DE"/>
        </w:rPr>
        <w:t>60</w:t>
      </w:r>
      <w:r w:rsidRPr="001E7B6F">
        <w:rPr>
          <w:rFonts w:cs="Calibri"/>
          <w:lang w:val="de-DE"/>
        </w:rPr>
        <w:t>(2), 184–201.</w:t>
      </w:r>
    </w:p>
    <w:p w14:paraId="55799DB0" w14:textId="77777777" w:rsidR="001E7B6F" w:rsidRPr="001E7B6F" w:rsidRDefault="001E7B6F" w:rsidP="001E7B6F">
      <w:pPr>
        <w:pStyle w:val="Literaturverzeichnis"/>
        <w:rPr>
          <w:rFonts w:cs="Calibri"/>
          <w:lang w:val="de-DE"/>
        </w:rPr>
      </w:pPr>
      <w:r w:rsidRPr="001E7B6F">
        <w:rPr>
          <w:rFonts w:cs="Calibri"/>
          <w:lang w:val="de-DE"/>
        </w:rPr>
        <w:t xml:space="preserve">Wickham, H. (2016). </w:t>
      </w:r>
      <w:r w:rsidRPr="001E7B6F">
        <w:rPr>
          <w:rFonts w:cs="Calibri"/>
          <w:i/>
          <w:iCs/>
          <w:lang w:val="de-DE"/>
        </w:rPr>
        <w:t>ggplot2: Elegant Graphics for Data Analysis</w:t>
      </w:r>
      <w:r w:rsidRPr="001E7B6F">
        <w:rPr>
          <w:rFonts w:cs="Calibri"/>
          <w:lang w:val="de-DE"/>
        </w:rPr>
        <w:t>. Springer-Verlag New York. https://doi.org/10.1007/978-0-387-98141-3</w:t>
      </w:r>
    </w:p>
    <w:p w14:paraId="35A349E5" w14:textId="77777777" w:rsidR="001E7B6F" w:rsidRPr="001E7B6F" w:rsidRDefault="001E7B6F" w:rsidP="001E7B6F">
      <w:pPr>
        <w:pStyle w:val="Literaturverzeichnis"/>
        <w:rPr>
          <w:rFonts w:cs="Calibri"/>
          <w:lang w:val="de-DE"/>
        </w:rPr>
      </w:pPr>
      <w:r w:rsidRPr="001E7B6F">
        <w:rPr>
          <w:rFonts w:cs="Calibri"/>
          <w:lang w:val="de-DE"/>
        </w:rPr>
        <w:t xml:space="preserve">Yamamoto, T., &amp; Imai-Matsumura, K. (2013). </w:t>
      </w:r>
      <w:r w:rsidRPr="001E7B6F">
        <w:rPr>
          <w:rFonts w:cs="Calibri"/>
        </w:rPr>
        <w:t xml:space="preserve">Teachers’ Gaze and Awareness of Students’ Behavior: Using An Eye Tracker. </w:t>
      </w:r>
      <w:r w:rsidRPr="001E7B6F">
        <w:rPr>
          <w:rFonts w:cs="Calibri"/>
          <w:i/>
          <w:iCs/>
          <w:lang w:val="de-DE"/>
        </w:rPr>
        <w:t>Comprehensive Psychology</w:t>
      </w:r>
      <w:r w:rsidRPr="001E7B6F">
        <w:rPr>
          <w:rFonts w:cs="Calibri"/>
          <w:lang w:val="de-DE"/>
        </w:rPr>
        <w:t xml:space="preserve">, </w:t>
      </w:r>
      <w:r w:rsidRPr="001E7B6F">
        <w:rPr>
          <w:rFonts w:cs="Calibri"/>
          <w:i/>
          <w:iCs/>
          <w:lang w:val="de-DE"/>
        </w:rPr>
        <w:t>2</w:t>
      </w:r>
      <w:r w:rsidRPr="001E7B6F">
        <w:rPr>
          <w:rFonts w:cs="Calibri"/>
          <w:lang w:val="de-DE"/>
        </w:rPr>
        <w:t>, 01.IT.2.6. https://doi.org/10.2466/01.IT.2.6</w:t>
      </w:r>
    </w:p>
    <w:p w14:paraId="5456B1AE" w14:textId="77777777" w:rsidR="001E7B6F" w:rsidRPr="001E7B6F" w:rsidRDefault="001E7B6F" w:rsidP="001E7B6F">
      <w:pPr>
        <w:pStyle w:val="Literaturverzeichnis"/>
        <w:rPr>
          <w:rFonts w:cs="Calibri"/>
          <w:lang w:val="de-DE"/>
        </w:rPr>
      </w:pPr>
      <w:r w:rsidRPr="001E7B6F">
        <w:rPr>
          <w:rFonts w:cs="Calibri"/>
          <w:lang w:val="de-DE"/>
        </w:rPr>
        <w:t xml:space="preserve">Zierer, K. (2015). </w:t>
      </w:r>
      <w:r w:rsidRPr="001E7B6F">
        <w:rPr>
          <w:rFonts w:cs="Calibri"/>
          <w:i/>
          <w:iCs/>
          <w:lang w:val="de-DE"/>
        </w:rPr>
        <w:t>Jahrbuch für Allgemeine Didaktik 2015: Thementeil: Klassenmanagement / Klassenführung - Perspektiven, Befunde, Kontroversen</w:t>
      </w:r>
      <w:r w:rsidRPr="001E7B6F">
        <w:rPr>
          <w:rFonts w:cs="Calibri"/>
          <w:lang w:val="de-DE"/>
        </w:rPr>
        <w:t>. wbv Media GmbH &amp; Company KG.</w:t>
      </w:r>
    </w:p>
    <w:p w14:paraId="4CCAF52A" w14:textId="05DFC4C1"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4T09:11:00Z" w:initials="MK">
    <w:p w14:paraId="72436641" w14:textId="49CFD8A9" w:rsidR="00A268EC" w:rsidRPr="001D6D9D" w:rsidRDefault="00A268EC">
      <w:pPr>
        <w:pStyle w:val="Kommentartext"/>
        <w:rPr>
          <w:lang w:val="de-DE"/>
        </w:rPr>
      </w:pPr>
      <w:r>
        <w:rPr>
          <w:rStyle w:val="Kommentarzeichen"/>
        </w:rPr>
        <w:annotationRef/>
      </w:r>
      <w:r w:rsidRPr="001D6D9D">
        <w:rPr>
          <w:lang w:val="de-DE"/>
        </w:rPr>
        <w:t xml:space="preserve">Besonders für angehende Lehrpersonen belastend ist </w:t>
      </w:r>
      <w:r w:rsidR="001D6D9D" w:rsidRPr="001D6D9D">
        <w:rPr>
          <w:lang w:val="de-DE"/>
        </w:rPr>
        <w:sym w:font="Wingdings" w:char="F0E0"/>
      </w:r>
      <w:r w:rsidR="001D6D9D">
        <w:rPr>
          <w:lang w:val="de-DE"/>
        </w:rPr>
        <w:t xml:space="preserve"> Referenz</w:t>
      </w:r>
    </w:p>
  </w:comment>
  <w:comment w:id="1" w:author="Mandy Klatt" w:date="2025-04-04T09:22:00Z" w:initials="MK">
    <w:p w14:paraId="398616DF" w14:textId="2E18EAD3" w:rsidR="007A1228" w:rsidRPr="0096744F" w:rsidRDefault="007A1228">
      <w:pPr>
        <w:pStyle w:val="Kommentartext"/>
        <w:rPr>
          <w:lang w:val="de-DE"/>
        </w:rPr>
      </w:pPr>
      <w:r>
        <w:rPr>
          <w:rStyle w:val="Kommentarzeichen"/>
        </w:rPr>
        <w:annotationRef/>
      </w:r>
      <w:r w:rsidR="0096744F" w:rsidRPr="0096744F">
        <w:rPr>
          <w:lang w:val="de-DE"/>
        </w:rPr>
        <w:t xml:space="preserve">Die </w:t>
      </w:r>
      <w:r w:rsidR="0096744F">
        <w:rPr>
          <w:lang w:val="de-DE"/>
        </w:rPr>
        <w:t xml:space="preserve">Relevanz noch klarer </w:t>
      </w:r>
      <w:proofErr w:type="gramStart"/>
      <w:r w:rsidR="0096744F">
        <w:rPr>
          <w:lang w:val="de-DE"/>
        </w:rPr>
        <w:t>machen</w:t>
      </w:r>
      <w:proofErr w:type="gramEnd"/>
      <w:r w:rsidR="0096744F">
        <w:rPr>
          <w:lang w:val="de-DE"/>
        </w:rPr>
        <w:t xml:space="preserve"> </w:t>
      </w:r>
      <w:r w:rsidR="0096744F" w:rsidRPr="0096744F">
        <w:rPr>
          <w:lang w:val="de-DE"/>
        </w:rPr>
        <w:sym w:font="Wingdings" w:char="F0E0"/>
      </w:r>
      <w:r w:rsidR="0096744F">
        <w:rPr>
          <w:lang w:val="de-DE"/>
        </w:rPr>
        <w:t xml:space="preserve"> weil es förder- und lernbar ist.</w:t>
      </w:r>
    </w:p>
  </w:comment>
  <w:comment w:id="2"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3"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4" w:author="Mandy Klatt" w:date="2025-04-04T09:13:00Z" w:initials="MK">
    <w:p w14:paraId="18BCF392" w14:textId="775FE3FC"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 xml:space="preserve">uns </w:t>
      </w:r>
      <w:proofErr w:type="spellStart"/>
      <w:r w:rsidR="004C560E" w:rsidRPr="004C560E">
        <w:rPr>
          <w:lang w:val="de-DE"/>
        </w:rPr>
        <w:t>dahinterschreiben</w:t>
      </w:r>
      <w:proofErr w:type="spellEnd"/>
      <w:r w:rsidR="004C560E" w:rsidRPr="004C560E">
        <w:rPr>
          <w:lang w:val="de-DE"/>
        </w:rPr>
        <w:t>, u</w:t>
      </w:r>
      <w:r w:rsidR="004C560E">
        <w:rPr>
          <w:lang w:val="de-DE"/>
        </w:rPr>
        <w:t>m Lesbarkeit zu erhöhen</w:t>
      </w:r>
    </w:p>
  </w:comment>
  <w:comment w:id="5"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6" w:author="Mandy Klatt" w:date="2025-04-04T10:00:00Z" w:initials="MK">
    <w:p w14:paraId="0AB29212" w14:textId="643AEA71" w:rsidR="00EF51CD" w:rsidRDefault="00FB58DD">
      <w:pPr>
        <w:pStyle w:val="Kommentartext"/>
        <w:rPr>
          <w:lang w:val="de-DE"/>
        </w:rPr>
      </w:pPr>
      <w:r>
        <w:rPr>
          <w:rStyle w:val="Kommentarzeichen"/>
        </w:rPr>
        <w:annotationRef/>
      </w:r>
      <w:r w:rsidR="00EF51CD">
        <w:rPr>
          <w:rStyle w:val="Kommentarzeichen"/>
        </w:rPr>
        <w:t>Student-directed</w:t>
      </w:r>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7"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8" w:author="Deiglmayr, Anne" w:date="2025-04-01T12:33:00Z" w:initials="DA">
    <w:p w14:paraId="5D398EEE" w14:textId="41BC69F9" w:rsidR="0036594D" w:rsidRPr="00742DB8" w:rsidRDefault="0036594D">
      <w:pPr>
        <w:pStyle w:val="Kommentartext"/>
        <w:rPr>
          <w:lang w:val="de-DE"/>
        </w:rPr>
      </w:pPr>
      <w:r>
        <w:rPr>
          <w:rStyle w:val="Kommentarzeichen"/>
        </w:rPr>
        <w:annotationRef/>
      </w:r>
      <w:r w:rsidRPr="00742DB8">
        <w:rPr>
          <w:lang w:val="de-DE"/>
        </w:rPr>
        <w:t xml:space="preserve">Worin besteht der </w:t>
      </w:r>
      <w:proofErr w:type="spellStart"/>
      <w:r w:rsidRPr="00742DB8">
        <w:rPr>
          <w:lang w:val="de-DE"/>
        </w:rPr>
        <w:t>cycle</w:t>
      </w:r>
      <w:proofErr w:type="spellEnd"/>
      <w:r w:rsidRPr="00742DB8">
        <w:rPr>
          <w:lang w:val="de-DE"/>
        </w:rPr>
        <w:t>?</w:t>
      </w:r>
    </w:p>
  </w:comment>
  <w:comment w:id="9" w:author="Deiglmayr, Anne" w:date="2025-04-01T12:32:00Z" w:initials="DA">
    <w:p w14:paraId="153C1FF0" w14:textId="77777777" w:rsidR="001A712A" w:rsidRPr="0036594D" w:rsidRDefault="001A712A" w:rsidP="001A712A">
      <w:pPr>
        <w:pStyle w:val="Kommentartext"/>
        <w:rPr>
          <w:lang w:val="de-DE"/>
        </w:rPr>
      </w:pPr>
      <w:r>
        <w:rPr>
          <w:rStyle w:val="Kommentarzeichen"/>
        </w:rPr>
        <w:annotationRef/>
      </w:r>
      <w:r w:rsidRPr="0036594D">
        <w:rPr>
          <w:lang w:val="de-DE"/>
        </w:rPr>
        <w:t>Ich würde es hier e</w:t>
      </w:r>
      <w:r>
        <w:rPr>
          <w:lang w:val="de-DE"/>
        </w:rPr>
        <w:t xml:space="preserve">in paar Ebenen tiefer hängen und möglichst auf den konkreten </w:t>
      </w:r>
      <w:proofErr w:type="spellStart"/>
      <w:r>
        <w:rPr>
          <w:lang w:val="de-DE"/>
        </w:rPr>
        <w:t>skill</w:t>
      </w:r>
      <w:proofErr w:type="spellEnd"/>
      <w:r>
        <w:rPr>
          <w:lang w:val="de-DE"/>
        </w:rPr>
        <w:t xml:space="preserve">, nämlich </w:t>
      </w:r>
      <w:proofErr w:type="spellStart"/>
      <w:r>
        <w:rPr>
          <w:lang w:val="de-DE"/>
        </w:rPr>
        <w:t>classroom</w:t>
      </w:r>
      <w:proofErr w:type="spellEnd"/>
      <w:r>
        <w:rPr>
          <w:lang w:val="de-DE"/>
        </w:rPr>
        <w:t xml:space="preserve"> </w:t>
      </w:r>
      <w:proofErr w:type="spellStart"/>
      <w:r>
        <w:rPr>
          <w:lang w:val="de-DE"/>
        </w:rPr>
        <w:t>disruption</w:t>
      </w:r>
      <w:proofErr w:type="spellEnd"/>
      <w:r>
        <w:rPr>
          <w:lang w:val="de-DE"/>
        </w:rPr>
        <w:t xml:space="preserve"> </w:t>
      </w:r>
      <w:proofErr w:type="spellStart"/>
      <w:r>
        <w:rPr>
          <w:lang w:val="de-DE"/>
        </w:rPr>
        <w:t>management</w:t>
      </w:r>
      <w:proofErr w:type="spellEnd"/>
      <w:r>
        <w:rPr>
          <w:lang w:val="de-DE"/>
        </w:rPr>
        <w:t>, beziehen. Gerne mit konkreten Beispielen.</w:t>
      </w:r>
    </w:p>
  </w:comment>
  <w:comment w:id="10" w:author="Mandy Klatt" w:date="2025-04-04T09:16:00Z" w:initials="MK">
    <w:p w14:paraId="66BE6DE3" w14:textId="77777777" w:rsidR="00E128E1" w:rsidRDefault="00E128E1">
      <w:pPr>
        <w:pStyle w:val="Kommentartext"/>
        <w:rPr>
          <w:lang w:val="de-DE"/>
        </w:rPr>
      </w:pPr>
      <w:r>
        <w:rPr>
          <w:rStyle w:val="Kommentarzeichen"/>
        </w:rPr>
        <w:annotationRef/>
      </w:r>
      <w:r w:rsidRPr="00365C1B">
        <w:rPr>
          <w:lang w:val="de-DE"/>
        </w:rPr>
        <w:t>Kürzer abhandeln</w:t>
      </w:r>
      <w:r w:rsidR="00365C1B" w:rsidRPr="00365C1B">
        <w:rPr>
          <w:lang w:val="de-DE"/>
        </w:rPr>
        <w:t xml:space="preserve"> </w:t>
      </w:r>
      <w:r w:rsidR="00365C1B">
        <w:sym w:font="Wingdings" w:char="F0E0"/>
      </w:r>
      <w:r w:rsidR="00365C1B" w:rsidRPr="00365C1B">
        <w:rPr>
          <w:lang w:val="de-DE"/>
        </w:rPr>
        <w:t xml:space="preserve"> im Modell blei</w:t>
      </w:r>
      <w:r w:rsidR="00365C1B">
        <w:rPr>
          <w:lang w:val="de-DE"/>
        </w:rPr>
        <w:t>ben</w:t>
      </w:r>
      <w:r w:rsidR="009E4E80">
        <w:rPr>
          <w:lang w:val="de-DE"/>
        </w:rPr>
        <w:t xml:space="preserve"> und auf Umgang mit Störungen umgehen</w:t>
      </w:r>
    </w:p>
    <w:p w14:paraId="2EA0CDA8" w14:textId="56C35EA7" w:rsidR="002F7347" w:rsidRPr="00365C1B" w:rsidRDefault="002F7347">
      <w:pPr>
        <w:pStyle w:val="Kommentartext"/>
        <w:rPr>
          <w:lang w:val="de-DE"/>
        </w:rPr>
      </w:pPr>
      <w:r>
        <w:rPr>
          <w:lang w:val="de-DE"/>
        </w:rPr>
        <w:t>An der Stelle auf Emotionsregulation, Selbstwirksamkeit</w:t>
      </w:r>
      <w:r w:rsidR="00CC7FD2">
        <w:rPr>
          <w:lang w:val="de-DE"/>
        </w:rPr>
        <w:t xml:space="preserve"> </w:t>
      </w:r>
      <w:r w:rsidR="00CC7FD2" w:rsidRPr="00CC7FD2">
        <w:rPr>
          <w:lang w:val="de-DE"/>
        </w:rPr>
        <w:t>eingehen</w:t>
      </w:r>
      <w:r w:rsidR="00CC7FD2">
        <w:rPr>
          <w:lang w:val="de-DE"/>
        </w:rPr>
        <w:t>, um auf Ratingskalen hinzuarbeiten</w:t>
      </w:r>
    </w:p>
  </w:comment>
  <w:comment w:id="11" w:author="Deiglmayr, Anne" w:date="2025-04-01T12:34:00Z" w:initials="DA">
    <w:p w14:paraId="566D531A" w14:textId="13E3298E" w:rsidR="0036594D" w:rsidRPr="0036594D" w:rsidRDefault="0036594D">
      <w:pPr>
        <w:pStyle w:val="Kommentartext"/>
        <w:rPr>
          <w:lang w:val="de-DE"/>
        </w:rPr>
      </w:pPr>
      <w:r>
        <w:rPr>
          <w:rStyle w:val="Kommentarzeichen"/>
        </w:rPr>
        <w:annotationRef/>
      </w:r>
      <w:r w:rsidRPr="0036594D">
        <w:rPr>
          <w:lang w:val="de-DE"/>
        </w:rPr>
        <w:t>Das führt zu weit weg v</w:t>
      </w:r>
      <w:r>
        <w:rPr>
          <w:lang w:val="de-DE"/>
        </w:rPr>
        <w:t>om Umgang mit Störungen</w:t>
      </w:r>
    </w:p>
  </w:comment>
  <w:comment w:id="12" w:author="Deiglmayr, Anne" w:date="2025-04-01T12:35:00Z" w:initials="DA">
    <w:p w14:paraId="36AAD758" w14:textId="09581E0F" w:rsidR="0036594D" w:rsidRPr="0036594D" w:rsidRDefault="0036594D">
      <w:pPr>
        <w:pStyle w:val="Kommentartext"/>
        <w:rPr>
          <w:lang w:val="de-DE"/>
        </w:rPr>
      </w:pPr>
      <w:r>
        <w:rPr>
          <w:rStyle w:val="Kommentarzeichen"/>
        </w:rPr>
        <w:annotationRef/>
      </w:r>
      <w:r w:rsidRPr="0036594D">
        <w:rPr>
          <w:lang w:val="de-DE"/>
        </w:rPr>
        <w:t>Das pa</w:t>
      </w:r>
      <w:r>
        <w:rPr>
          <w:lang w:val="de-DE"/>
        </w:rPr>
        <w:t>s</w:t>
      </w:r>
      <w:r w:rsidRPr="0036594D">
        <w:rPr>
          <w:lang w:val="de-DE"/>
        </w:rPr>
        <w:t>st alles nicht s</w:t>
      </w:r>
      <w:r>
        <w:rPr>
          <w:lang w:val="de-DE"/>
        </w:rPr>
        <w:t xml:space="preserve">o gut zu deinem Fokus auf die Reaktion auf Störungen, würde ich hier weglassen. </w:t>
      </w:r>
    </w:p>
  </w:comment>
  <w:comment w:id="13" w:author="Deiglmayr, Anne" w:date="2025-04-01T12:34:00Z" w:initials="DA">
    <w:p w14:paraId="0CBDE7DC" w14:textId="426EFB48" w:rsidR="0036594D" w:rsidRPr="0036594D" w:rsidRDefault="0036594D">
      <w:pPr>
        <w:pStyle w:val="Kommentartext"/>
        <w:rPr>
          <w:lang w:val="de-DE"/>
        </w:rPr>
      </w:pPr>
      <w:r>
        <w:rPr>
          <w:rStyle w:val="Kommentarzeichen"/>
        </w:rPr>
        <w:annotationRef/>
      </w:r>
      <w:r w:rsidRPr="0036594D">
        <w:rPr>
          <w:lang w:val="de-DE"/>
        </w:rPr>
        <w:t xml:space="preserve">Achtung, das ist eher noch </w:t>
      </w:r>
      <w:proofErr w:type="spellStart"/>
      <w:r w:rsidRPr="0036594D">
        <w:rPr>
          <w:lang w:val="de-DE"/>
        </w:rPr>
        <w:t>n</w:t>
      </w:r>
      <w:r>
        <w:rPr>
          <w:lang w:val="de-DE"/>
        </w:rPr>
        <w:t>oticing</w:t>
      </w:r>
      <w:proofErr w:type="spellEnd"/>
      <w:r>
        <w:rPr>
          <w:lang w:val="de-DE"/>
        </w:rPr>
        <w:t>….</w:t>
      </w:r>
    </w:p>
  </w:comment>
  <w:comment w:id="14" w:author="Deiglmayr, Anne" w:date="2025-04-01T12:36:00Z" w:initials="DA">
    <w:p w14:paraId="1485EAE9" w14:textId="24DD24B0" w:rsidR="0036594D" w:rsidRPr="0036594D" w:rsidRDefault="0036594D">
      <w:pPr>
        <w:pStyle w:val="Kommentartext"/>
        <w:rPr>
          <w:lang w:val="de-DE"/>
        </w:rPr>
      </w:pPr>
      <w:r>
        <w:rPr>
          <w:rStyle w:val="Kommentarzeichen"/>
        </w:rPr>
        <w:annotationRef/>
      </w:r>
      <w:r w:rsidRPr="0036594D">
        <w:rPr>
          <w:lang w:val="de-DE"/>
        </w:rPr>
        <w:t>Was dagegen fehlt sind ein p</w:t>
      </w:r>
      <w:r>
        <w:rPr>
          <w:lang w:val="de-DE"/>
        </w:rPr>
        <w:t xml:space="preserve">aar Beispiele dafür, wie eine effektive Reaktion auf Störungen aussehen könnte. Da ist dann auch ein guter Ort, um auch </w:t>
      </w:r>
      <w:proofErr w:type="gramStart"/>
      <w:r>
        <w:rPr>
          <w:lang w:val="de-DE"/>
        </w:rPr>
        <w:t>auf die kognitiven und emotionalen Reaktion</w:t>
      </w:r>
      <w:proofErr w:type="gramEnd"/>
      <w:r>
        <w:rPr>
          <w:lang w:val="de-DE"/>
        </w:rPr>
        <w:t xml:space="preserve"> und </w:t>
      </w:r>
      <w:proofErr w:type="spellStart"/>
      <w:r>
        <w:rPr>
          <w:lang w:val="de-DE"/>
        </w:rPr>
        <w:t>emotion</w:t>
      </w:r>
      <w:proofErr w:type="spellEnd"/>
      <w:r>
        <w:rPr>
          <w:lang w:val="de-DE"/>
        </w:rPr>
        <w:t xml:space="preserve"> </w:t>
      </w:r>
      <w:proofErr w:type="spellStart"/>
      <w:r>
        <w:rPr>
          <w:lang w:val="de-DE"/>
        </w:rPr>
        <w:t>regulation</w:t>
      </w:r>
      <w:proofErr w:type="spellEnd"/>
      <w:r>
        <w:rPr>
          <w:lang w:val="de-DE"/>
        </w:rPr>
        <w:t xml:space="preserve"> der </w:t>
      </w:r>
      <w:proofErr w:type="spellStart"/>
      <w:r>
        <w:rPr>
          <w:lang w:val="de-DE"/>
        </w:rPr>
        <w:t>teacher</w:t>
      </w:r>
      <w:proofErr w:type="spellEnd"/>
      <w:r>
        <w:rPr>
          <w:lang w:val="de-DE"/>
        </w:rPr>
        <w:t xml:space="preserve"> einzugehen (</w:t>
      </w:r>
      <w:r w:rsidRPr="0036594D">
        <w:rPr>
          <w:lang w:val="de-DE"/>
        </w:rPr>
        <w:sym w:font="Wingdings" w:char="F0E0"/>
      </w:r>
      <w:r>
        <w:rPr>
          <w:lang w:val="de-DE"/>
        </w:rPr>
        <w:t xml:space="preserve"> Vorbereitung </w:t>
      </w:r>
      <w:proofErr w:type="spellStart"/>
      <w:r>
        <w:rPr>
          <w:lang w:val="de-DE"/>
        </w:rPr>
        <w:t>disruptiveness</w:t>
      </w:r>
      <w:proofErr w:type="spellEnd"/>
      <w:r>
        <w:rPr>
          <w:lang w:val="de-DE"/>
        </w:rPr>
        <w:t xml:space="preserve"> </w:t>
      </w:r>
      <w:proofErr w:type="spellStart"/>
      <w:r>
        <w:rPr>
          <w:lang w:val="de-DE"/>
        </w:rPr>
        <w:t>ratung</w:t>
      </w:r>
      <w:proofErr w:type="spellEnd"/>
      <w:r>
        <w:rPr>
          <w:lang w:val="de-DE"/>
        </w:rPr>
        <w:t>…)</w:t>
      </w:r>
    </w:p>
  </w:comment>
  <w:comment w:id="16" w:author="Deiglmayr, Anne" w:date="2025-04-01T12:40:00Z" w:initials="DA">
    <w:p w14:paraId="37B3E6D8" w14:textId="38D527DB" w:rsidR="0036594D" w:rsidRPr="0036594D" w:rsidRDefault="0036594D">
      <w:pPr>
        <w:pStyle w:val="Kommentartext"/>
        <w:rPr>
          <w:lang w:val="de-DE"/>
        </w:rPr>
      </w:pPr>
      <w:r>
        <w:rPr>
          <w:rStyle w:val="Kommentarzeichen"/>
        </w:rPr>
        <w:annotationRef/>
      </w:r>
      <w:r w:rsidRPr="0036594D">
        <w:rPr>
          <w:lang w:val="de-DE"/>
        </w:rPr>
        <w:t xml:space="preserve">Im Titel </w:t>
      </w:r>
      <w:proofErr w:type="spellStart"/>
      <w:r w:rsidRPr="0036594D">
        <w:rPr>
          <w:lang w:val="de-DE"/>
        </w:rPr>
        <w:t>wpürde</w:t>
      </w:r>
      <w:proofErr w:type="spellEnd"/>
      <w:r w:rsidRPr="0036594D">
        <w:rPr>
          <w:lang w:val="de-DE"/>
        </w:rPr>
        <w:t xml:space="preserve"> ich v</w:t>
      </w:r>
      <w:r>
        <w:rPr>
          <w:lang w:val="de-DE"/>
        </w:rPr>
        <w:t xml:space="preserve">on Classroom </w:t>
      </w:r>
      <w:proofErr w:type="spellStart"/>
      <w:r>
        <w:rPr>
          <w:lang w:val="de-DE"/>
        </w:rPr>
        <w:t>disruotion</w:t>
      </w:r>
      <w:proofErr w:type="spellEnd"/>
      <w:r>
        <w:rPr>
          <w:lang w:val="de-DE"/>
        </w:rPr>
        <w:t xml:space="preserve"> </w:t>
      </w:r>
      <w:proofErr w:type="spellStart"/>
      <w:r>
        <w:rPr>
          <w:lang w:val="de-DE"/>
        </w:rPr>
        <w:t>mananagment</w:t>
      </w:r>
      <w:proofErr w:type="spellEnd"/>
      <w:r>
        <w:rPr>
          <w:lang w:val="de-DE"/>
        </w:rPr>
        <w:t xml:space="preserve"> sprechen, und im </w:t>
      </w:r>
      <w:proofErr w:type="spellStart"/>
      <w:r>
        <w:rPr>
          <w:lang w:val="de-DE"/>
        </w:rPr>
        <w:t>text</w:t>
      </w:r>
      <w:proofErr w:type="spellEnd"/>
      <w:r>
        <w:rPr>
          <w:lang w:val="de-DE"/>
        </w:rPr>
        <w:t xml:space="preserve"> </w:t>
      </w:r>
      <w:proofErr w:type="gramStart"/>
      <w:r>
        <w:rPr>
          <w:lang w:val="de-DE"/>
        </w:rPr>
        <w:t>dann</w:t>
      </w:r>
      <w:proofErr w:type="gramEnd"/>
      <w:r>
        <w:rPr>
          <w:lang w:val="de-DE"/>
        </w:rPr>
        <w:t xml:space="preserve"> wenn nötig den </w:t>
      </w:r>
      <w:proofErr w:type="spellStart"/>
      <w:r>
        <w:rPr>
          <w:lang w:val="de-DE"/>
        </w:rPr>
        <w:t>bezug</w:t>
      </w:r>
      <w:proofErr w:type="spellEnd"/>
      <w:r>
        <w:rPr>
          <w:lang w:val="de-DE"/>
        </w:rPr>
        <w:t xml:space="preserve"> klären (</w:t>
      </w:r>
      <w:proofErr w:type="spellStart"/>
      <w:r>
        <w:rPr>
          <w:lang w:val="de-DE"/>
        </w:rPr>
        <w:t>teilaspekt</w:t>
      </w:r>
      <w:proofErr w:type="spellEnd"/>
      <w:r>
        <w:rPr>
          <w:lang w:val="de-DE"/>
        </w:rPr>
        <w:t xml:space="preserve">, teilweise wird auch </w:t>
      </w:r>
      <w:proofErr w:type="spellStart"/>
      <w:r>
        <w:rPr>
          <w:lang w:val="de-DE"/>
        </w:rPr>
        <w:t>Forshcung</w:t>
      </w:r>
      <w:proofErr w:type="spellEnd"/>
      <w:r>
        <w:rPr>
          <w:lang w:val="de-DE"/>
        </w:rPr>
        <w:t xml:space="preserve"> zur übergeordneten Kompetenz berichtet…)</w:t>
      </w:r>
    </w:p>
  </w:comment>
  <w:comment w:id="15" w:author="Deiglmayr, Anne" w:date="2025-04-01T12:38:00Z" w:initials="DA">
    <w:p w14:paraId="23AA9143" w14:textId="6CA60252"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proofErr w:type="spellStart"/>
      <w:r>
        <w:rPr>
          <w:lang w:val="de-DE"/>
        </w:rPr>
        <w:t>Stduie</w:t>
      </w:r>
      <w:proofErr w:type="spellEnd"/>
      <w:r>
        <w:rPr>
          <w:lang w:val="de-DE"/>
        </w:rPr>
        <w:t xml:space="preserve"> ist nicht </w:t>
      </w:r>
      <w:proofErr w:type="spellStart"/>
      <w:r>
        <w:rPr>
          <w:lang w:val="de-DE"/>
        </w:rPr>
        <w:t>sis</w:t>
      </w:r>
      <w:proofErr w:type="spellEnd"/>
      <w:r>
        <w:rPr>
          <w:lang w:val="de-DE"/>
        </w:rPr>
        <w:t xml:space="preserve"> ehr </w:t>
      </w:r>
      <w:proofErr w:type="spellStart"/>
      <w:r>
        <w:rPr>
          <w:lang w:val="de-DE"/>
        </w:rPr>
        <w:t>methodsich</w:t>
      </w:r>
      <w:proofErr w:type="spellEnd"/>
      <w:r>
        <w:rPr>
          <w:lang w:val="de-DE"/>
        </w:rPr>
        <w:t xml:space="preserve">, dass wir hier v.a. auf den Assessment </w:t>
      </w:r>
      <w:proofErr w:type="spellStart"/>
      <w:r>
        <w:rPr>
          <w:lang w:val="de-DE"/>
        </w:rPr>
        <w:t>Asopekt</w:t>
      </w:r>
      <w:proofErr w:type="spellEnd"/>
      <w:r>
        <w:rPr>
          <w:lang w:val="de-DE"/>
        </w:rPr>
        <w:t xml:space="preserve"> </w:t>
      </w:r>
      <w:proofErr w:type="spellStart"/>
      <w:r>
        <w:rPr>
          <w:lang w:val="de-DE"/>
        </w:rPr>
        <w:t>eineghen</w:t>
      </w:r>
      <w:proofErr w:type="spellEnd"/>
      <w:r>
        <w:rPr>
          <w:lang w:val="de-DE"/>
        </w:rPr>
        <w:t xml:space="preserve"> sollten.</w:t>
      </w:r>
    </w:p>
  </w:comment>
  <w:comment w:id="17"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8"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9"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20" w:author="Mandy Klatt" w:date="2025-04-04T09:52:00Z" w:initials="MK">
    <w:p w14:paraId="2EEF851E" w14:textId="66D4E1E0" w:rsidR="00505BFF" w:rsidRDefault="00505BFF">
      <w:pPr>
        <w:pStyle w:val="Kommentartext"/>
        <w:rPr>
          <w:lang w:val="de-DE"/>
        </w:rPr>
      </w:pPr>
      <w:r>
        <w:rPr>
          <w:rStyle w:val="Kommentarzeichen"/>
        </w:rPr>
        <w:annotationRef/>
      </w: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272F1F78" w14:textId="40DF1463"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21" w:author="Deiglmayr, Anne" w:date="2025-04-01T13:27:00Z" w:initials="DA">
    <w:p w14:paraId="0B19FBBF" w14:textId="7AEC31A3" w:rsidR="00497187" w:rsidRPr="00497187" w:rsidRDefault="00497187">
      <w:pPr>
        <w:pStyle w:val="Kommentartext"/>
        <w:rPr>
          <w:lang w:val="de-DE"/>
        </w:rPr>
      </w:pPr>
      <w:r>
        <w:rPr>
          <w:rStyle w:val="Kommentarzeichen"/>
        </w:rPr>
        <w:annotationRef/>
      </w:r>
      <w:r w:rsidRPr="00497187">
        <w:rPr>
          <w:lang w:val="de-DE"/>
        </w:rPr>
        <w:t xml:space="preserve">Wenn möglich, </w:t>
      </w:r>
      <w:proofErr w:type="spellStart"/>
      <w:r w:rsidRPr="00497187">
        <w:rPr>
          <w:lang w:val="de-DE"/>
        </w:rPr>
        <w:t>heir</w:t>
      </w:r>
      <w:proofErr w:type="spellEnd"/>
      <w:r w:rsidRPr="00497187">
        <w:rPr>
          <w:lang w:val="de-DE"/>
        </w:rPr>
        <w:t xml:space="preserve"> mit den </w:t>
      </w:r>
      <w:proofErr w:type="spellStart"/>
      <w:r w:rsidRPr="00497187">
        <w:rPr>
          <w:lang w:val="de-DE"/>
        </w:rPr>
        <w:t>E</w:t>
      </w:r>
      <w:r>
        <w:rPr>
          <w:lang w:val="de-DE"/>
        </w:rPr>
        <w:t>xpertiseunterscheiden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22" w:author="Deiglmayr, Anne" w:date="2025-04-01T13:31:00Z" w:initials="DA">
    <w:p w14:paraId="16C5FD19" w14:textId="39A39E04" w:rsidR="00497187" w:rsidRPr="00497187" w:rsidRDefault="00497187">
      <w:pPr>
        <w:pStyle w:val="Kommentartext"/>
        <w:rPr>
          <w:lang w:val="de-DE"/>
        </w:rPr>
      </w:pPr>
      <w:r>
        <w:rPr>
          <w:rStyle w:val="Kommentarzeichen"/>
        </w:rPr>
        <w:annotationRef/>
      </w:r>
      <w:r w:rsidRPr="00497187">
        <w:rPr>
          <w:lang w:val="de-DE"/>
        </w:rPr>
        <w:t>…das ist aber doch auch “</w:t>
      </w:r>
      <w:proofErr w:type="spellStart"/>
      <w:r>
        <w:rPr>
          <w:lang w:val="de-DE"/>
        </w:rPr>
        <w:t>fixation-based</w:t>
      </w:r>
      <w:proofErr w:type="spellEnd"/>
      <w:r>
        <w:rPr>
          <w:lang w:val="de-DE"/>
        </w:rPr>
        <w:t>“?</w:t>
      </w:r>
    </w:p>
  </w:comment>
  <w:comment w:id="23" w:author="Mandy Klatt" w:date="2025-04-04T10:09:00Z" w:initials="MK">
    <w:p w14:paraId="7CEFBA7D" w14:textId="1A644274" w:rsidR="00335CFA" w:rsidRPr="00673D84" w:rsidRDefault="00335CFA">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w:t>
      </w:r>
      <w:r w:rsidR="00673D84" w:rsidRPr="00673D84">
        <w:rPr>
          <w:lang w:val="de-DE"/>
        </w:rPr>
        <w:t>cision-making</w:t>
      </w:r>
      <w:proofErr w:type="spellEnd"/>
      <w:r w:rsidR="00673D84" w:rsidRPr="00673D84">
        <w:rPr>
          <w:lang w:val="de-DE"/>
        </w:rPr>
        <w:t xml:space="preserve">) </w:t>
      </w:r>
      <w:r w:rsidR="00673D84">
        <w:sym w:font="Wingdings" w:char="F0E0"/>
      </w:r>
      <w:r w:rsidR="00673D84" w:rsidRPr="00673D84">
        <w:rPr>
          <w:lang w:val="de-DE"/>
        </w:rPr>
        <w:t xml:space="preserve"> auf Blömeke verweis</w:t>
      </w:r>
      <w:r w:rsidR="00673D84">
        <w:rPr>
          <w:lang w:val="de-DE"/>
        </w:rPr>
        <w:t>en</w:t>
      </w:r>
    </w:p>
  </w:comment>
  <w:comment w:id="24"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25"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6" w:author="Mandy Klatt" w:date="2025-04-04T10:04:00Z" w:initials="MK">
    <w:p w14:paraId="364D8EFC" w14:textId="77777777" w:rsidR="000828CA" w:rsidRDefault="000828CA">
      <w:pPr>
        <w:pStyle w:val="Kommentartext"/>
      </w:pPr>
      <w:r>
        <w:rPr>
          <w:rStyle w:val="Kommentarzeichen"/>
        </w:rPr>
        <w:annotationRef/>
      </w:r>
      <w:proofErr w:type="spellStart"/>
      <w:r>
        <w:t>Gehört</w:t>
      </w:r>
      <w:proofErr w:type="spellEnd"/>
      <w:r>
        <w:t xml:space="preserve"> </w:t>
      </w:r>
      <w:proofErr w:type="spellStart"/>
      <w:r>
        <w:t>eher</w:t>
      </w:r>
      <w:proofErr w:type="spellEnd"/>
      <w:r>
        <w:t xml:space="preserve"> </w:t>
      </w:r>
      <w:proofErr w:type="spellStart"/>
      <w:r>
        <w:t>zum</w:t>
      </w:r>
      <w:proofErr w:type="spellEnd"/>
      <w:r>
        <w:t xml:space="preserve"> Noticing</w:t>
      </w:r>
    </w:p>
    <w:p w14:paraId="0BEA8790" w14:textId="77777777" w:rsidR="00E84C6D" w:rsidRDefault="00E84C6D">
      <w:pPr>
        <w:pStyle w:val="Kommentartext"/>
        <w:rPr>
          <w:lang w:val="de-DE"/>
        </w:rPr>
      </w:pPr>
      <w:r w:rsidRPr="00E84C6D">
        <w:rPr>
          <w:lang w:val="de-DE"/>
        </w:rPr>
        <w:t>Deutlicher trennen, aber trotzdem z</w:t>
      </w:r>
      <w:r>
        <w:rPr>
          <w:lang w:val="de-DE"/>
        </w:rPr>
        <w:t xml:space="preserve">usammengehörig </w:t>
      </w:r>
    </w:p>
    <w:p w14:paraId="5A0AA858" w14:textId="1A859C35" w:rsidR="00E84C6D" w:rsidRPr="00E84C6D" w:rsidRDefault="00E84C6D">
      <w:pPr>
        <w:pStyle w:val="Kommentartext"/>
      </w:pPr>
      <w:r w:rsidRPr="00E84C6D">
        <w:t>Based on noticing skills…. E</w:t>
      </w:r>
      <w:r>
        <w:t xml:space="preserve">arly </w:t>
      </w:r>
      <w:r w:rsidR="008B66E3">
        <w:t xml:space="preserve">effective </w:t>
      </w:r>
      <w:r>
        <w:t xml:space="preserve">intervention… </w:t>
      </w:r>
    </w:p>
  </w:comment>
  <w:comment w:id="29"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36641" w15:done="0"/>
  <w15:commentEx w15:paraId="398616DF"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0"/>
  <w15:commentEx w15:paraId="3106B015" w15:done="1"/>
  <w15:commentEx w15:paraId="5D398EEE" w15:done="1"/>
  <w15:commentEx w15:paraId="153C1FF0" w15:done="0"/>
  <w15:commentEx w15:paraId="2EA0CDA8" w15:done="0"/>
  <w15:commentEx w15:paraId="566D531A" w15:done="0"/>
  <w15:commentEx w15:paraId="36AAD758" w15:done="0"/>
  <w15:commentEx w15:paraId="0CBDE7DC" w15:done="0"/>
  <w15:commentEx w15:paraId="1485EAE9" w15:done="0"/>
  <w15:commentEx w15:paraId="37B3E6D8" w15:done="0"/>
  <w15:commentEx w15:paraId="23AA9143" w15:done="0"/>
  <w15:commentEx w15:paraId="29E16238" w15:done="0"/>
  <w15:commentEx w15:paraId="562337A8" w15:done="0"/>
  <w15:commentEx w15:paraId="3161A2E5" w15:done="0"/>
  <w15:commentEx w15:paraId="6C8A071D" w15:done="0"/>
  <w15:commentEx w15:paraId="0B19FBBF" w15:done="0"/>
  <w15:commentEx w15:paraId="16C5FD19" w15:done="0"/>
  <w15:commentEx w15:paraId="7CEFBA7D" w15:done="0"/>
  <w15:commentEx w15:paraId="6B3EA9E5" w15:done="0"/>
  <w15:commentEx w15:paraId="2779B5BC" w15:paraIdParent="6B3EA9E5" w15:done="0"/>
  <w15:commentEx w15:paraId="5A0AA858" w15:done="0"/>
  <w15:commentEx w15:paraId="5AE8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A20B2" w16cex:dateUtc="2025-04-04T07:11:00Z"/>
  <w16cex:commentExtensible w16cex:durableId="2B9A2351" w16cex:dateUtc="2025-04-04T07:22: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65B99" w16cex:dateUtc="2025-04-01T10:33:00Z"/>
  <w16cex:commentExtensible w16cex:durableId="2B965B45" w16cex:dateUtc="2025-04-01T10:32:00Z"/>
  <w16cex:commentExtensible w16cex:durableId="2B9A2200" w16cex:dateUtc="2025-04-04T07:16:00Z"/>
  <w16cex:commentExtensible w16cex:durableId="2B965BD3" w16cex:dateUtc="2025-04-01T10:34:00Z"/>
  <w16cex:commentExtensible w16cex:durableId="2B965C00" w16cex:dateUtc="2025-04-01T10:35:00Z"/>
  <w16cex:commentExtensible w16cex:durableId="2B965BEA" w16cex:dateUtc="2025-04-01T10:34:00Z"/>
  <w16cex:commentExtensible w16cex:durableId="2B965C3C" w16cex:dateUtc="2025-04-01T10:36: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966935" w16cex:dateUtc="2025-04-01T11:31:00Z"/>
  <w16cex:commentExtensible w16cex:durableId="2B9A2E70" w16cex:dateUtc="2025-04-04T08:09:00Z"/>
  <w16cex:commentExtensible w16cex:durableId="2B966A63" w16cex:dateUtc="2025-04-01T11:36:00Z"/>
  <w16cex:commentExtensible w16cex:durableId="2B9A2BBA" w16cex:dateUtc="2025-04-04T07:58:00Z"/>
  <w16cex:commentExtensible w16cex:durableId="2B9A2D1F" w16cex:dateUtc="2025-04-04T08:04: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36641" w16cid:durableId="2B9A20B2"/>
  <w16cid:commentId w16cid:paraId="398616DF" w16cid:durableId="2B9A2351"/>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5D398EEE" w16cid:durableId="2B965B99"/>
  <w16cid:commentId w16cid:paraId="153C1FF0" w16cid:durableId="2B965B45"/>
  <w16cid:commentId w16cid:paraId="2EA0CDA8" w16cid:durableId="2B9A2200"/>
  <w16cid:commentId w16cid:paraId="566D531A" w16cid:durableId="2B965BD3"/>
  <w16cid:commentId w16cid:paraId="36AAD758" w16cid:durableId="2B965C00"/>
  <w16cid:commentId w16cid:paraId="0CBDE7DC" w16cid:durableId="2B965BEA"/>
  <w16cid:commentId w16cid:paraId="1485EAE9" w16cid:durableId="2B965C3C"/>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0B19FBBF" w16cid:durableId="2B966854"/>
  <w16cid:commentId w16cid:paraId="16C5FD19" w16cid:durableId="2B966935"/>
  <w16cid:commentId w16cid:paraId="7CEFBA7D" w16cid:durableId="2B9A2E70"/>
  <w16cid:commentId w16cid:paraId="6B3EA9E5" w16cid:durableId="2B966A63"/>
  <w16cid:commentId w16cid:paraId="2779B5BC" w16cid:durableId="2B9A2BBA"/>
  <w16cid:commentId w16cid:paraId="5A0AA858" w16cid:durableId="2B9A2D1F"/>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E042" w14:textId="77777777" w:rsidR="0023736F" w:rsidRDefault="0023736F" w:rsidP="00E102C3">
      <w:r>
        <w:separator/>
      </w:r>
    </w:p>
    <w:p w14:paraId="6E0A3B8F" w14:textId="77777777" w:rsidR="0023736F" w:rsidRDefault="0023736F" w:rsidP="00E102C3"/>
  </w:endnote>
  <w:endnote w:type="continuationSeparator" w:id="0">
    <w:p w14:paraId="0AEA79A5" w14:textId="77777777" w:rsidR="0023736F" w:rsidRDefault="0023736F" w:rsidP="00E102C3">
      <w:r>
        <w:continuationSeparator/>
      </w:r>
    </w:p>
    <w:p w14:paraId="6049590D" w14:textId="77777777" w:rsidR="0023736F" w:rsidRDefault="0023736F" w:rsidP="00E102C3"/>
  </w:endnote>
  <w:endnote w:type="continuationNotice" w:id="1">
    <w:p w14:paraId="498F1D8D" w14:textId="77777777" w:rsidR="0023736F" w:rsidRDefault="002373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F4A4" w14:textId="77777777" w:rsidR="0023736F" w:rsidRDefault="0023736F" w:rsidP="00E102C3">
      <w:r>
        <w:separator/>
      </w:r>
    </w:p>
    <w:p w14:paraId="0AEF1937" w14:textId="77777777" w:rsidR="0023736F" w:rsidRDefault="0023736F" w:rsidP="00E102C3"/>
  </w:footnote>
  <w:footnote w:type="continuationSeparator" w:id="0">
    <w:p w14:paraId="4DD53D84" w14:textId="77777777" w:rsidR="0023736F" w:rsidRDefault="0023736F" w:rsidP="00E102C3">
      <w:r>
        <w:continuationSeparator/>
      </w:r>
    </w:p>
    <w:p w14:paraId="08A5BFC8" w14:textId="77777777" w:rsidR="0023736F" w:rsidRDefault="0023736F" w:rsidP="00E102C3"/>
  </w:footnote>
  <w:footnote w:type="continuationNotice" w:id="1">
    <w:p w14:paraId="78BED754" w14:textId="77777777" w:rsidR="0023736F" w:rsidRDefault="0023736F">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28CA"/>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EE9"/>
    <w:rsid w:val="001E7569"/>
    <w:rsid w:val="001E7830"/>
    <w:rsid w:val="001E7B6F"/>
    <w:rsid w:val="001F0012"/>
    <w:rsid w:val="001F0C2D"/>
    <w:rsid w:val="001F0C8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56EF"/>
    <w:rsid w:val="002B6473"/>
    <w:rsid w:val="002B69AF"/>
    <w:rsid w:val="002C0E8D"/>
    <w:rsid w:val="002C1212"/>
    <w:rsid w:val="002C12EB"/>
    <w:rsid w:val="002C18D1"/>
    <w:rsid w:val="002C1F59"/>
    <w:rsid w:val="002C211E"/>
    <w:rsid w:val="002C2186"/>
    <w:rsid w:val="002C32ED"/>
    <w:rsid w:val="002C34BC"/>
    <w:rsid w:val="002C41B0"/>
    <w:rsid w:val="002C51FC"/>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3CAF"/>
    <w:rsid w:val="002F4959"/>
    <w:rsid w:val="002F4C4B"/>
    <w:rsid w:val="002F5057"/>
    <w:rsid w:val="002F5907"/>
    <w:rsid w:val="002F6198"/>
    <w:rsid w:val="002F6753"/>
    <w:rsid w:val="002F6A10"/>
    <w:rsid w:val="002F7347"/>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2A4"/>
    <w:rsid w:val="00331FC3"/>
    <w:rsid w:val="0033200C"/>
    <w:rsid w:val="003325A6"/>
    <w:rsid w:val="0033291A"/>
    <w:rsid w:val="003332D8"/>
    <w:rsid w:val="0033418B"/>
    <w:rsid w:val="00334D7B"/>
    <w:rsid w:val="00335069"/>
    <w:rsid w:val="00335915"/>
    <w:rsid w:val="00335CFA"/>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072"/>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139D"/>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878"/>
    <w:rsid w:val="00462DCB"/>
    <w:rsid w:val="004632E0"/>
    <w:rsid w:val="00463BBA"/>
    <w:rsid w:val="00465D2C"/>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560E"/>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4C3"/>
    <w:rsid w:val="00570131"/>
    <w:rsid w:val="005708CF"/>
    <w:rsid w:val="0057203B"/>
    <w:rsid w:val="00572621"/>
    <w:rsid w:val="00572AB6"/>
    <w:rsid w:val="0057328B"/>
    <w:rsid w:val="005737E6"/>
    <w:rsid w:val="00573D82"/>
    <w:rsid w:val="00574E71"/>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5350"/>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62A"/>
    <w:rsid w:val="00702734"/>
    <w:rsid w:val="00702C0D"/>
    <w:rsid w:val="00702D8C"/>
    <w:rsid w:val="00703654"/>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4425"/>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4C7F"/>
    <w:rsid w:val="008B549F"/>
    <w:rsid w:val="008B66E3"/>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5426"/>
    <w:rsid w:val="00935F8F"/>
    <w:rsid w:val="0093630C"/>
    <w:rsid w:val="00936648"/>
    <w:rsid w:val="0093709F"/>
    <w:rsid w:val="009401D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32D"/>
    <w:rsid w:val="00966505"/>
    <w:rsid w:val="0096656A"/>
    <w:rsid w:val="00966B33"/>
    <w:rsid w:val="00966F75"/>
    <w:rsid w:val="0096744F"/>
    <w:rsid w:val="00967AD6"/>
    <w:rsid w:val="009707FE"/>
    <w:rsid w:val="00972136"/>
    <w:rsid w:val="009728C7"/>
    <w:rsid w:val="00973509"/>
    <w:rsid w:val="0097465F"/>
    <w:rsid w:val="00974979"/>
    <w:rsid w:val="00974C82"/>
    <w:rsid w:val="00974EC8"/>
    <w:rsid w:val="00975D8B"/>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1F1"/>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3D6B"/>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8DD"/>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7224"/>
    <w:rsid w:val="00FE1506"/>
    <w:rsid w:val="00FE1697"/>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14266</Words>
  <Characters>88598</Characters>
  <Application>Microsoft Office Word</Application>
  <DocSecurity>0</DocSecurity>
  <Lines>1968</Lines>
  <Paragraphs>1018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101846</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118</cp:revision>
  <dcterms:created xsi:type="dcterms:W3CDTF">2025-04-01T14:40:00Z</dcterms:created>
  <dcterms:modified xsi:type="dcterms:W3CDTF">2025-04-04T08:10:00Z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