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F1618C6" w14:textId="5DC3D072"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can significantly interfere with learning by consuming valuable instructional time, reducing student engagement, and impairing academic achievement (Keller, 2014; Chow et al., 2024; Kraft &amp; Monti-Nussbaum, 2021; Marder et al., 2023). Effectively managing such disruptions is therefore a key component of successful classroom management (Helmke, 2022).</w:t>
      </w:r>
    </w:p>
    <w:p w14:paraId="0DC1736C" w14:textId="27BCD97A"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A central element of this ability is teachers’ </w:t>
      </w:r>
      <w:r w:rsidRPr="00932591">
        <w:rPr>
          <w:rFonts w:ascii="Times New Roman" w:hAnsi="Times New Roman" w:cs="Times New Roman"/>
          <w:i/>
          <w:iCs/>
          <w:sz w:val="24"/>
          <w:szCs w:val="22"/>
        </w:rPr>
        <w:t>professional vision</w:t>
      </w:r>
      <w:r>
        <w:rPr>
          <w:rFonts w:ascii="Times New Roman" w:hAnsi="Times New Roman" w:cs="Times New Roman"/>
          <w:sz w:val="24"/>
          <w:szCs w:val="22"/>
        </w:rPr>
        <w:t xml:space="preserve"> – </w:t>
      </w:r>
      <w:r w:rsidRPr="00932591">
        <w:rPr>
          <w:rFonts w:ascii="Times New Roman" w:hAnsi="Times New Roman" w:cs="Times New Roman"/>
          <w:sz w:val="24"/>
          <w:szCs w:val="22"/>
        </w:rPr>
        <w:t xml:space="preserve">the process of noticing, interpreting, and responding to relevant events in the classroom based on expert knowledge (Goodwin, 1994; </w:t>
      </w:r>
      <w:proofErr w:type="spellStart"/>
      <w:r w:rsidRPr="00932591">
        <w:rPr>
          <w:rFonts w:ascii="Times New Roman" w:hAnsi="Times New Roman" w:cs="Times New Roman"/>
          <w:sz w:val="24"/>
          <w:szCs w:val="22"/>
        </w:rPr>
        <w:t>Sherin</w:t>
      </w:r>
      <w:proofErr w:type="spellEnd"/>
      <w:r w:rsidRPr="00932591">
        <w:rPr>
          <w:rFonts w:ascii="Times New Roman" w:hAnsi="Times New Roman" w:cs="Times New Roman"/>
          <w:sz w:val="24"/>
          <w:szCs w:val="22"/>
        </w:rPr>
        <w:t xml:space="preserve"> &amp; van Es, 2009). It links strategic knowledge with concrete action</w:t>
      </w:r>
      <w:r w:rsidR="00462DCB">
        <w:rPr>
          <w:rFonts w:ascii="Times New Roman" w:hAnsi="Times New Roman" w:cs="Times New Roman"/>
          <w:sz w:val="24"/>
          <w:szCs w:val="22"/>
        </w:rPr>
        <w:t>, allowing</w:t>
      </w:r>
      <w:r w:rsidRPr="00932591">
        <w:rPr>
          <w:rFonts w:ascii="Times New Roman" w:hAnsi="Times New Roman" w:cs="Times New Roman"/>
          <w:sz w:val="24"/>
          <w:szCs w:val="22"/>
        </w:rPr>
        <w:t xml:space="preserve"> teachers to anticipate and address disruptions proactively (Gold et al., 2016).</w:t>
      </w:r>
    </w:p>
    <w:p w14:paraId="5175A3B7" w14:textId="5042D6AB"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Expert teachers differ from novices not only in the amount of classroom experience but also in how they perceive and respond to complex instructional situations. They demonstrate more refined professional vision and possess a broader </w:t>
      </w:r>
      <w:r w:rsidR="00C00EBD">
        <w:rPr>
          <w:rFonts w:ascii="Times New Roman" w:hAnsi="Times New Roman" w:cs="Times New Roman"/>
          <w:sz w:val="24"/>
          <w:szCs w:val="22"/>
        </w:rPr>
        <w:t>range</w:t>
      </w:r>
      <w:r w:rsidRPr="00932591">
        <w:rPr>
          <w:rFonts w:ascii="Times New Roman" w:hAnsi="Times New Roman" w:cs="Times New Roman"/>
          <w:sz w:val="24"/>
          <w:szCs w:val="22"/>
        </w:rPr>
        <w:t xml:space="preserve"> of strategies for managing challenges such as disruptions (Berliner, 2001, 2004; Gold &amp; </w:t>
      </w:r>
      <w:proofErr w:type="spellStart"/>
      <w:r w:rsidRPr="00932591">
        <w:rPr>
          <w:rFonts w:ascii="Times New Roman" w:hAnsi="Times New Roman" w:cs="Times New Roman"/>
          <w:sz w:val="24"/>
          <w:szCs w:val="22"/>
        </w:rPr>
        <w:t>Holodynski</w:t>
      </w:r>
      <w:proofErr w:type="spellEnd"/>
      <w:r w:rsidRPr="00932591">
        <w:rPr>
          <w:rFonts w:ascii="Times New Roman" w:hAnsi="Times New Roman" w:cs="Times New Roman"/>
          <w:sz w:val="24"/>
          <w:szCs w:val="22"/>
        </w:rPr>
        <w:t xml:space="preserve">, 2015; Emmer &amp; </w:t>
      </w:r>
      <w:proofErr w:type="spellStart"/>
      <w:r w:rsidRPr="00932591">
        <w:rPr>
          <w:rFonts w:ascii="Times New Roman" w:hAnsi="Times New Roman" w:cs="Times New Roman"/>
          <w:sz w:val="24"/>
          <w:szCs w:val="22"/>
        </w:rPr>
        <w:t>Gerwels</w:t>
      </w:r>
      <w:proofErr w:type="spellEnd"/>
      <w:r w:rsidRPr="00932591">
        <w:rPr>
          <w:rFonts w:ascii="Times New Roman" w:hAnsi="Times New Roman" w:cs="Times New Roman"/>
          <w:sz w:val="24"/>
          <w:szCs w:val="22"/>
        </w:rPr>
        <w:t>, 2006; Barth, 2017).</w:t>
      </w:r>
    </w:p>
    <w:p w14:paraId="133AD5E4" w14:textId="6F0200C5" w:rsidR="007545D9" w:rsidRDefault="00AC4BA6" w:rsidP="007545D9">
      <w:pPr>
        <w:rPr>
          <w:rFonts w:ascii="Times New Roman" w:hAnsi="Times New Roman" w:cs="Times New Roman"/>
          <w:sz w:val="24"/>
          <w:szCs w:val="22"/>
        </w:rPr>
      </w:pPr>
      <w:r>
        <w:rPr>
          <w:rFonts w:ascii="Times New Roman" w:hAnsi="Times New Roman" w:cs="Times New Roman"/>
          <w:sz w:val="24"/>
          <w:szCs w:val="22"/>
        </w:rPr>
        <w:t xml:space="preserve">To gain a </w:t>
      </w:r>
      <w:r w:rsidR="00B44F13">
        <w:rPr>
          <w:rFonts w:ascii="Times New Roman" w:hAnsi="Times New Roman" w:cs="Times New Roman"/>
          <w:sz w:val="24"/>
          <w:szCs w:val="22"/>
        </w:rPr>
        <w:t>deeper understanding of the cognitive processes underlying such expertise, process-based methods such as</w:t>
      </w:r>
      <w:r>
        <w:rPr>
          <w:rFonts w:ascii="Times New Roman" w:hAnsi="Times New Roman" w:cs="Times New Roman"/>
          <w:sz w:val="24"/>
          <w:szCs w:val="22"/>
        </w:rPr>
        <w:t xml:space="preserve"> eye-tracking have become increasingly important. Eye-tracking enables researchers to analyze where and how teachers focus their visual attention during instruction (Dessus et al., 2016; van den </w:t>
      </w:r>
      <w:proofErr w:type="spellStart"/>
      <w:r>
        <w:rPr>
          <w:rFonts w:ascii="Times New Roman" w:hAnsi="Times New Roman" w:cs="Times New Roman"/>
          <w:sz w:val="24"/>
          <w:szCs w:val="22"/>
        </w:rPr>
        <w:t>Bogert</w:t>
      </w:r>
      <w:proofErr w:type="spellEnd"/>
      <w:r>
        <w:rPr>
          <w:rFonts w:ascii="Times New Roman" w:hAnsi="Times New Roman" w:cs="Times New Roman"/>
          <w:sz w:val="24"/>
          <w:szCs w:val="22"/>
        </w:rPr>
        <w:t>, 2016). Results indicate that expert teachers demonstrate more efficient gaze patterns, reflecting more accurate situational assessment (</w:t>
      </w:r>
      <w:proofErr w:type="spellStart"/>
      <w:r>
        <w:rPr>
          <w:rFonts w:ascii="Times New Roman" w:hAnsi="Times New Roman" w:cs="Times New Roman"/>
          <w:sz w:val="24"/>
          <w:szCs w:val="22"/>
        </w:rPr>
        <w:t>Gegenfurtner</w:t>
      </w:r>
      <w:proofErr w:type="spellEnd"/>
      <w:r>
        <w:rPr>
          <w:rFonts w:ascii="Times New Roman" w:hAnsi="Times New Roman" w:cs="Times New Roman"/>
          <w:sz w:val="24"/>
          <w:szCs w:val="22"/>
        </w:rPr>
        <w:t xml:space="preserve"> et al., 2020; Wolff et al., 2016).</w:t>
      </w:r>
      <w:r w:rsidR="007545D9">
        <w:rPr>
          <w:rFonts w:ascii="Times New Roman" w:hAnsi="Times New Roman" w:cs="Times New Roman"/>
          <w:sz w:val="24"/>
          <w:szCs w:val="22"/>
        </w:rPr>
        <w:t xml:space="preserve"> </w:t>
      </w:r>
    </w:p>
    <w:p w14:paraId="599CC1B2" w14:textId="4F1E57E0"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lastRenderedPageBreak/>
        <w:t>in which teachers were confronted with a series of scripted classroom disruption</w:t>
      </w:r>
      <w:r w:rsidRPr="007545D9">
        <w:rPr>
          <w:rFonts w:ascii="Times New Roman" w:hAnsi="Times New Roman" w:cs="Times New Roman"/>
          <w:sz w:val="24"/>
          <w:szCs w:val="22"/>
        </w:rPr>
        <w:t>s. Using eye-tracking and self-report measures, it investigates how teachers distribute their attention, how quickly they notice different types of disruptions, and whether expertise is reflected in more efficient gaze patterns, higher confidence, lower perceived disruptiveness, and greater strategic knowledge. The study aims to contribute to a deeper understanding of professional vision and its relevance for effective classroom management</w:t>
      </w:r>
      <w:r w:rsidR="00B67009">
        <w:rPr>
          <w:rFonts w:ascii="Times New Roman" w:hAnsi="Times New Roman" w:cs="Times New Roman"/>
          <w:sz w:val="24"/>
          <w:szCs w:val="22"/>
        </w:rPr>
        <w:t>.</w:t>
      </w:r>
    </w:p>
    <w:p w14:paraId="1388B6CF" w14:textId="7ADBB431"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0"/>
      <w:commentRangeStart w:id="1"/>
      <w:r w:rsidRPr="0093630C">
        <w:rPr>
          <w:rFonts w:ascii="Times New Roman" w:hAnsi="Times New Roman" w:cs="Times New Roman"/>
          <w:b/>
          <w:sz w:val="24"/>
          <w:szCs w:val="24"/>
        </w:rPr>
        <w:t xml:space="preserve">Classroom Disruptions </w:t>
      </w:r>
      <w:commentRangeEnd w:id="0"/>
      <w:r w:rsidR="0036594D">
        <w:rPr>
          <w:rStyle w:val="Kommentarzeichen"/>
        </w:rPr>
        <w:commentReference w:id="0"/>
      </w:r>
      <w:commentRangeEnd w:id="1"/>
      <w:r w:rsidR="009401DF">
        <w:rPr>
          <w:rStyle w:val="Kommentarzeichen"/>
        </w:rPr>
        <w:commentReference w:id="1"/>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w:t>
      </w:r>
      <w:proofErr w:type="spellStart"/>
      <w:r w:rsidRPr="00A45999">
        <w:rPr>
          <w:rFonts w:ascii="Times New Roman" w:hAnsi="Times New Roman" w:cs="Times New Roman"/>
          <w:sz w:val="24"/>
          <w:szCs w:val="22"/>
        </w:rPr>
        <w:t>Kilbury</w:t>
      </w:r>
      <w:proofErr w:type="spellEnd"/>
      <w:r w:rsidRPr="00A45999">
        <w:rPr>
          <w:rFonts w:ascii="Times New Roman" w:hAnsi="Times New Roman" w:cs="Times New Roman"/>
          <w:sz w:val="24"/>
          <w:szCs w:val="22"/>
        </w:rPr>
        <w:t xml:space="preserve">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 xml:space="preserve">a key prerequisite for effective management. Highly salient behaviors, such as loud outbursts, tend to capture immediate attention, whereas </w:t>
      </w:r>
      <w:r w:rsidRPr="00A45999">
        <w:rPr>
          <w:rFonts w:ascii="Times New Roman" w:hAnsi="Times New Roman" w:cs="Times New Roman"/>
          <w:sz w:val="24"/>
          <w:szCs w:val="22"/>
        </w:rPr>
        <w:lastRenderedPageBreak/>
        <w:t>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77777777"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p>
    <w:p w14:paraId="412067B1" w14:textId="6281030E"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classroom management and requires teachers to develop context-sensitive strategies for responding to disruptive situations (Helmke, 2022). 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75EEB4D6"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2E1A0C">
        <w:rPr>
          <w:rFonts w:ascii="Times New Roman" w:hAnsi="Times New Roman" w:cs="Times New Roman"/>
          <w:sz w:val="24"/>
          <w:szCs w:val="22"/>
        </w:rPr>
        <w:instrText xml:space="preserve"> ADDIN ZOTERO_ITEM CSL_CITATION {"citationID":"ZdSHVcNw","properties":{"formattedCitation":"(Bl\\uc0\\u246{}meke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5F0BE0">
        <w:rPr>
          <w:rFonts w:ascii="Times New Roman" w:hAnsi="Times New Roman" w:cs="Times New Roman"/>
          <w:sz w:val="24"/>
          <w:szCs w:val="22"/>
        </w:rPr>
        <w:instrText xml:space="preserve"> ADDIN ZOTERO_ITEM CSL_CITATION {"citationID":"riz7V6qz","properties":{"formattedCitation":"(Grub,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193EAD2F" w:rsidR="007F6EAE" w:rsidRDefault="006676AA" w:rsidP="006676AA">
      <w:pPr>
        <w:ind w:firstLine="0"/>
        <w:rPr>
          <w:rFonts w:ascii="Times New Roman" w:hAnsi="Times New Roman" w:cs="Times New Roman"/>
          <w:i/>
          <w:iCs/>
          <w:sz w:val="24"/>
          <w:szCs w:val="22"/>
        </w:rPr>
      </w:pPr>
      <w:commentRangeStart w:id="2"/>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DD3A5A" w:rsidRPr="00DD3A5A">
        <w:rPr>
          <w:rFonts w:ascii="Times New Roman" w:hAnsi="Times New Roman" w:cs="Times New Roman"/>
          <w:i/>
          <w:iCs/>
          <w:sz w:val="24"/>
          <w:szCs w:val="22"/>
        </w:rPr>
        <w:instrText xml:space="preserve"> ADDIN ZOTERO_ITEM CSL_CITATION {"citationID":"cPDvgyr6","properties":{"formattedCitation":"(Bl\\uc0\\u246{}meke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2"/>
      <w:r w:rsidR="005E276B">
        <w:rPr>
          <w:rStyle w:val="Kommentarzeichen"/>
        </w:rPr>
        <w:commentReference w:id="2"/>
      </w:r>
    </w:p>
    <w:p w14:paraId="2FD639A0" w14:textId="3FF4C04D" w:rsidR="005343E9" w:rsidRDefault="00F206EE" w:rsidP="003C7AC7">
      <w:pPr>
        <w:ind w:firstLine="0"/>
        <w:rPr>
          <w:rFonts w:ascii="Times New Roman" w:hAnsi="Times New Roman" w:cs="Times New Roman"/>
          <w:sz w:val="24"/>
          <w:szCs w:val="22"/>
        </w:rPr>
      </w:pPr>
      <w:r>
        <w:rPr>
          <w:rFonts w:ascii="Times New Roman" w:hAnsi="Times New Roman" w:cs="Times New Roman"/>
          <w:noProof/>
          <w:sz w:val="24"/>
          <w:szCs w:val="22"/>
        </w:rPr>
        <w:lastRenderedPageBreak/>
        <w:drawing>
          <wp:inline distT="0" distB="0" distL="0" distR="0" wp14:anchorId="2B82217E" wp14:editId="5E37B24F">
            <wp:extent cx="6233311" cy="2051648"/>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12">
                      <a:extLst>
                        <a:ext uri="{28A0092B-C50C-407E-A947-70E740481C1C}">
                          <a14:useLocalDpi xmlns:a14="http://schemas.microsoft.com/office/drawing/2010/main" val="0"/>
                        </a:ext>
                      </a:extLst>
                    </a:blip>
                    <a:srcRect l="2819" t="15302" b="27832"/>
                    <a:stretch/>
                  </pic:blipFill>
                  <pic:spPr bwMode="auto">
                    <a:xfrm>
                      <a:off x="0" y="0"/>
                      <a:ext cx="6253029" cy="2058138"/>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261CF77C"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knowledge, such as the s</w:t>
      </w:r>
      <w:r w:rsidR="00975D8B" w:rsidRPr="00975D8B">
        <w:rPr>
          <w:rFonts w:ascii="Times New Roman" w:hAnsi="Times New Roman" w:cs="Times New Roman"/>
          <w:sz w:val="24"/>
          <w:szCs w:val="22"/>
        </w:rPr>
        <w:t xml:space="preserve">trategic knowledge </w:t>
      </w:r>
      <w:r w:rsidR="00975D8B">
        <w:rPr>
          <w:rFonts w:ascii="Times New Roman" w:hAnsi="Times New Roman" w:cs="Times New Roman"/>
          <w:sz w:val="24"/>
          <w:szCs w:val="22"/>
        </w:rPr>
        <w:t xml:space="preserve">of classroom management, </w:t>
      </w:r>
      <w:r w:rsidR="00975D8B" w:rsidRPr="00975D8B">
        <w:rPr>
          <w:rFonts w:ascii="Times New Roman" w:hAnsi="Times New Roman" w:cs="Times New Roman"/>
          <w:sz w:val="24"/>
          <w:szCs w:val="22"/>
        </w:rPr>
        <w:t xml:space="preserve">is essential for managing classroom disruptions, as it involves professional judgment in selecting appropriate responses within complex, ambiguous situations (Gold &amp; </w:t>
      </w:r>
      <w:proofErr w:type="spellStart"/>
      <w:r w:rsidR="00975D8B" w:rsidRPr="00975D8B">
        <w:rPr>
          <w:rFonts w:ascii="Times New Roman" w:hAnsi="Times New Roman" w:cs="Times New Roman"/>
          <w:sz w:val="24"/>
          <w:szCs w:val="22"/>
        </w:rPr>
        <w:t>Holodynski</w:t>
      </w:r>
      <w:proofErr w:type="spellEnd"/>
      <w:r w:rsidR="00975D8B" w:rsidRPr="00975D8B">
        <w:rPr>
          <w:rFonts w:ascii="Times New Roman" w:hAnsi="Times New Roman" w:cs="Times New Roman"/>
          <w:sz w:val="24"/>
          <w:szCs w:val="22"/>
        </w:rPr>
        <w:t xml:space="preserve">, 2015; </w:t>
      </w:r>
      <w:proofErr w:type="spellStart"/>
      <w:r w:rsidR="00975D8B" w:rsidRPr="00975D8B">
        <w:rPr>
          <w:rFonts w:ascii="Times New Roman" w:hAnsi="Times New Roman" w:cs="Times New Roman"/>
          <w:sz w:val="24"/>
          <w:szCs w:val="22"/>
        </w:rPr>
        <w:t>Fenstermacher</w:t>
      </w:r>
      <w:proofErr w:type="spellEnd"/>
      <w:r w:rsidR="00975D8B" w:rsidRPr="00975D8B">
        <w:rPr>
          <w:rFonts w:ascii="Times New Roman" w:hAnsi="Times New Roman" w:cs="Times New Roman"/>
          <w:sz w:val="24"/>
          <w:szCs w:val="22"/>
        </w:rPr>
        <w:t xml:space="preserve">, 1994). </w:t>
      </w:r>
      <w:r w:rsidR="009A4ED5" w:rsidRPr="009A4ED5">
        <w:rPr>
          <w:rFonts w:ascii="Times New Roman" w:hAnsi="Times New Roman" w:cs="Times New Roman"/>
          <w:sz w:val="24"/>
          <w:szCs w:val="22"/>
        </w:rPr>
        <w:t xml:space="preserve">As a core element of instructional competence (Barth, 2017; D’Agostino &amp; </w:t>
      </w:r>
      <w:proofErr w:type="spellStart"/>
      <w:r w:rsidR="009A4ED5" w:rsidRPr="009A4ED5">
        <w:rPr>
          <w:rFonts w:ascii="Times New Roman" w:hAnsi="Times New Roman" w:cs="Times New Roman"/>
          <w:sz w:val="24"/>
          <w:szCs w:val="22"/>
        </w:rPr>
        <w:t>VanWinkle</w:t>
      </w:r>
      <w:proofErr w:type="spellEnd"/>
      <w:r w:rsidR="009A4ED5" w:rsidRPr="009A4ED5">
        <w:rPr>
          <w:rFonts w:ascii="Times New Roman" w:hAnsi="Times New Roman" w:cs="Times New Roman"/>
          <w:sz w:val="24"/>
          <w:szCs w:val="22"/>
        </w:rPr>
        <w:t xml:space="preserve">, 2007; </w:t>
      </w:r>
      <w:proofErr w:type="spellStart"/>
      <w:r w:rsidR="009A4ED5" w:rsidRPr="009A4ED5">
        <w:rPr>
          <w:rFonts w:ascii="Times New Roman" w:hAnsi="Times New Roman" w:cs="Times New Roman"/>
          <w:sz w:val="24"/>
          <w:szCs w:val="22"/>
        </w:rPr>
        <w:t>Kunter</w:t>
      </w:r>
      <w:proofErr w:type="spellEnd"/>
      <w:r w:rsidR="009A4ED5" w:rsidRPr="009A4ED5">
        <w:rPr>
          <w:rFonts w:ascii="Times New Roman" w:hAnsi="Times New Roman" w:cs="Times New Roman"/>
          <w:sz w:val="24"/>
          <w:szCs w:val="22"/>
        </w:rPr>
        <w:t xml:space="preserve"> et al., 2011; Voss et al., 2014), it allows teachers to weigh alternative courses of action and choose strategies that maintain instructional flow while addressing the disruption effectively. This form of knowledge evolves through practical experiences, where declarative knowledge about classroom management is gradually transformed into procedural and situationally applicable expertise (</w:t>
      </w:r>
      <w:proofErr w:type="spellStart"/>
      <w:r w:rsidR="009A4ED5" w:rsidRPr="009A4ED5">
        <w:rPr>
          <w:rFonts w:ascii="Times New Roman" w:hAnsi="Times New Roman" w:cs="Times New Roman"/>
          <w:sz w:val="24"/>
          <w:szCs w:val="22"/>
        </w:rPr>
        <w:t>Blömeke</w:t>
      </w:r>
      <w:proofErr w:type="spellEnd"/>
      <w:r w:rsidR="009A4ED5" w:rsidRPr="009A4ED5">
        <w:rPr>
          <w:rFonts w:ascii="Times New Roman" w:hAnsi="Times New Roman" w:cs="Times New Roman"/>
          <w:sz w:val="24"/>
          <w:szCs w:val="22"/>
        </w:rPr>
        <w:t xml:space="preserve"> et al., 2022; </w:t>
      </w:r>
      <w:proofErr w:type="spellStart"/>
      <w:r w:rsidR="009A4ED5" w:rsidRPr="009A4ED5">
        <w:rPr>
          <w:rFonts w:ascii="Times New Roman" w:hAnsi="Times New Roman" w:cs="Times New Roman"/>
          <w:sz w:val="24"/>
          <w:szCs w:val="22"/>
        </w:rPr>
        <w:t>Rauner</w:t>
      </w:r>
      <w:proofErr w:type="spellEnd"/>
      <w:r w:rsidR="009A4ED5" w:rsidRPr="009A4ED5">
        <w:rPr>
          <w:rFonts w:ascii="Times New Roman" w:hAnsi="Times New Roman" w:cs="Times New Roman"/>
          <w:sz w:val="24"/>
          <w:szCs w:val="22"/>
        </w:rPr>
        <w:t xml:space="preserve">, 2005). </w:t>
      </w:r>
      <w:r w:rsidR="00D2636A" w:rsidRPr="00D2636A">
        <w:rPr>
          <w:rFonts w:ascii="Times New Roman" w:hAnsi="Times New Roman" w:cs="Times New Roman"/>
          <w:sz w:val="24"/>
          <w:szCs w:val="22"/>
        </w:rPr>
        <w:t>An example of strategic classroom management knowledge is the decision to respond to a student quietly distracting a peer during a presentation not with a direct reprimand, but with a subtle, non-disruptive intervention</w:t>
      </w:r>
      <w:r w:rsidR="00D2636A">
        <w:rPr>
          <w:rFonts w:ascii="Times New Roman" w:hAnsi="Times New Roman" w:cs="Times New Roman"/>
          <w:sz w:val="24"/>
          <w:szCs w:val="22"/>
        </w:rPr>
        <w:t xml:space="preserve">, </w:t>
      </w:r>
      <w:r w:rsidR="00D2636A" w:rsidRPr="00D2636A">
        <w:rPr>
          <w:rFonts w:ascii="Times New Roman" w:hAnsi="Times New Roman" w:cs="Times New Roman"/>
          <w:sz w:val="24"/>
          <w:szCs w:val="22"/>
        </w:rPr>
        <w:t xml:space="preserve">such as calling on the student to participate or using eye contact. According to Gold and </w:t>
      </w:r>
      <w:proofErr w:type="spellStart"/>
      <w:r w:rsidR="00D2636A" w:rsidRPr="00D2636A">
        <w:rPr>
          <w:rFonts w:ascii="Times New Roman" w:hAnsi="Times New Roman" w:cs="Times New Roman"/>
          <w:sz w:val="24"/>
          <w:szCs w:val="22"/>
        </w:rPr>
        <w:t>Holodynski</w:t>
      </w:r>
      <w:proofErr w:type="spellEnd"/>
      <w:r w:rsidR="00D2636A" w:rsidRPr="00D2636A">
        <w:rPr>
          <w:rFonts w:ascii="Times New Roman" w:hAnsi="Times New Roman" w:cs="Times New Roman"/>
          <w:sz w:val="24"/>
          <w:szCs w:val="22"/>
        </w:rPr>
        <w:t xml:space="preserve"> (2015), such a response maintains instructional flow while addressing the misbehavior, reflecting the teacher’s ability to select a context-sensitive strategy rather than applying generic rules</w:t>
      </w:r>
      <w:r w:rsidR="00D2636A">
        <w:rPr>
          <w:rFonts w:ascii="Times New Roman" w:hAnsi="Times New Roman" w:cs="Times New Roman"/>
          <w:sz w:val="24"/>
          <w:szCs w:val="22"/>
        </w:rPr>
        <w:t>.</w:t>
      </w:r>
      <w:r w:rsidR="0083469A">
        <w:rPr>
          <w:rFonts w:ascii="Times New Roman" w:hAnsi="Times New Roman" w:cs="Times New Roman"/>
          <w:sz w:val="24"/>
          <w:szCs w:val="22"/>
        </w:rPr>
        <w:t xml:space="preserve"> </w:t>
      </w:r>
      <w:r w:rsidR="0083469A" w:rsidRPr="0083469A">
        <w:rPr>
          <w:rFonts w:ascii="Times New Roman" w:hAnsi="Times New Roman" w:cs="Times New Roman"/>
          <w:sz w:val="24"/>
          <w:szCs w:val="22"/>
        </w:rPr>
        <w:t>Thus, managing disruptions does not rely solely on knowing rules or routines but on the ability to apply them flexibly and appropriately in context</w:t>
      </w:r>
      <w:r w:rsidR="0083469A">
        <w:rPr>
          <w:rFonts w:ascii="Times New Roman" w:hAnsi="Times New Roman" w:cs="Times New Roman"/>
          <w:sz w:val="24"/>
          <w:szCs w:val="22"/>
        </w:rPr>
        <w:t>.</w:t>
      </w:r>
      <w:r w:rsidR="0083469A" w:rsidRPr="0083469A">
        <w:rPr>
          <w:rFonts w:ascii="Times New Roman" w:hAnsi="Times New Roman" w:cs="Times New Roman"/>
          <w:sz w:val="24"/>
          <w:szCs w:val="22"/>
        </w:rPr>
        <w:t xml:space="preserve"> </w:t>
      </w:r>
    </w:p>
    <w:p w14:paraId="7ADE94C7" w14:textId="543E242F"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lastRenderedPageBreak/>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3"/>
      <w:r w:rsidR="00C666B3" w:rsidRPr="00C666B3">
        <w:rPr>
          <w:rFonts w:ascii="Times New Roman" w:hAnsi="Times New Roman" w:cs="Times New Roman"/>
          <w:sz w:val="24"/>
          <w:szCs w:val="22"/>
        </w:rPr>
        <w:t xml:space="preserve">. </w:t>
      </w:r>
      <w:commentRangeEnd w:id="3"/>
      <w:r w:rsidR="005E276B">
        <w:rPr>
          <w:rStyle w:val="Kommentarzeichen"/>
        </w:rPr>
        <w:commentReference w:id="3"/>
      </w:r>
      <w:r w:rsidR="00FE1697" w:rsidRPr="00FE1697">
        <w:rPr>
          <w:rFonts w:ascii="Times New Roman" w:hAnsi="Times New Roman" w:cs="Times New Roman"/>
          <w:sz w:val="24"/>
          <w:szCs w:val="22"/>
        </w:rPr>
        <w:t>For example, teacher</w:t>
      </w:r>
      <w:r w:rsidR="006744B6">
        <w:rPr>
          <w:rFonts w:ascii="Times New Roman" w:hAnsi="Times New Roman" w:cs="Times New Roman"/>
          <w:sz w:val="24"/>
          <w:szCs w:val="22"/>
        </w:rPr>
        <w:t xml:space="preserve">s </w:t>
      </w:r>
      <w:r w:rsidR="00FE1697" w:rsidRPr="00FE1697">
        <w:rPr>
          <w:rFonts w:ascii="Times New Roman" w:hAnsi="Times New Roman" w:cs="Times New Roman"/>
          <w:sz w:val="24"/>
          <w:szCs w:val="22"/>
        </w:rPr>
        <w:t>with high gaze efficiency may regularly shift their gaze between students and quickly detect a student in the corner disengaging by looking away and fidgeting. Because teachers</w:t>
      </w:r>
      <w:r w:rsidR="006744B6">
        <w:rPr>
          <w:rFonts w:ascii="Times New Roman" w:hAnsi="Times New Roman" w:cs="Times New Roman"/>
          <w:sz w:val="24"/>
          <w:szCs w:val="22"/>
        </w:rPr>
        <w:t>’</w:t>
      </w:r>
      <w:r w:rsidR="00FE1697" w:rsidRPr="00FE1697">
        <w:rPr>
          <w:rFonts w:ascii="Times New Roman" w:hAnsi="Times New Roman" w:cs="Times New Roman"/>
          <w:sz w:val="24"/>
          <w:szCs w:val="22"/>
        </w:rPr>
        <w:t xml:space="preserve"> attention is not overly fixated on one area or object, but flexibly distributed, they </w:t>
      </w:r>
      <w:r w:rsidR="006744B6">
        <w:rPr>
          <w:rFonts w:ascii="Times New Roman" w:hAnsi="Times New Roman" w:cs="Times New Roman"/>
          <w:sz w:val="24"/>
          <w:szCs w:val="22"/>
        </w:rPr>
        <w:t>can</w:t>
      </w:r>
      <w:r w:rsidR="00FE1697" w:rsidRPr="00FE1697">
        <w:rPr>
          <w:rFonts w:ascii="Times New Roman" w:hAnsi="Times New Roman" w:cs="Times New Roman"/>
          <w:sz w:val="24"/>
          <w:szCs w:val="22"/>
        </w:rPr>
        <w:t xml:space="preserve"> respond before the behavior develops into a broader disruption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7F98368C" w14:textId="7054F3DE" w:rsidR="009056E8" w:rsidRDefault="00A33B2E" w:rsidP="0099753A">
      <w:pPr>
        <w:rPr>
          <w:rFonts w:ascii="Times New Roman" w:hAnsi="Times New Roman" w:cs="Times New Roman"/>
          <w:sz w:val="24"/>
          <w:szCs w:val="22"/>
        </w:rPr>
      </w:pPr>
      <w:r w:rsidRPr="00A33B2E">
        <w:rPr>
          <w:rFonts w:ascii="Times New Roman" w:hAnsi="Times New Roman" w:cs="Times New Roman"/>
          <w:i/>
          <w:iCs/>
          <w:sz w:val="24"/>
          <w:szCs w:val="22"/>
        </w:rPr>
        <w:t>Knowledge-based noticing</w:t>
      </w:r>
      <w:r w:rsidRPr="00A33B2E">
        <w:rPr>
          <w:rFonts w:ascii="Times New Roman" w:hAnsi="Times New Roman" w:cs="Times New Roman"/>
          <w:sz w:val="24"/>
          <w:szCs w:val="22"/>
        </w:rPr>
        <w:t xml:space="preserve"> refers to teachers’ ability to selectively attend to and interpret pedagogically meaningful events</w:t>
      </w:r>
      <w:r w:rsidR="005E276B">
        <w:rPr>
          <w:rFonts w:ascii="Times New Roman" w:hAnsi="Times New Roman" w:cs="Times New Roman"/>
          <w:sz w:val="24"/>
          <w:szCs w:val="22"/>
        </w:rPr>
        <w:t xml:space="preserve">, such as classroom disruptions, </w:t>
      </w:r>
      <w:r w:rsidRPr="00A33B2E">
        <w:rPr>
          <w:rFonts w:ascii="Times New Roman" w:hAnsi="Times New Roman" w:cs="Times New Roman"/>
          <w:sz w:val="24"/>
          <w:szCs w:val="22"/>
        </w:rPr>
        <w:t xml:space="preserve">in the classroom (van Es &amp;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2002; König et al., 2022). </w:t>
      </w:r>
      <w:r w:rsidR="005E276B">
        <w:rPr>
          <w:rFonts w:ascii="Times New Roman" w:hAnsi="Times New Roman" w:cs="Times New Roman"/>
          <w:sz w:val="24"/>
          <w:szCs w:val="22"/>
        </w:rPr>
        <w:t>Beyond</w:t>
      </w:r>
      <w:r w:rsidR="005E276B" w:rsidRPr="00A33B2E">
        <w:rPr>
          <w:rFonts w:ascii="Times New Roman" w:hAnsi="Times New Roman" w:cs="Times New Roman"/>
          <w:sz w:val="24"/>
          <w:szCs w:val="22"/>
        </w:rPr>
        <w:t xml:space="preserve"> </w:t>
      </w:r>
      <w:r w:rsidRPr="00A33B2E">
        <w:rPr>
          <w:rFonts w:ascii="Times New Roman" w:hAnsi="Times New Roman" w:cs="Times New Roman"/>
          <w:sz w:val="24"/>
          <w:szCs w:val="22"/>
        </w:rPr>
        <w:t>merely observing, noticing involves making sense of what is seen, guided by prior knowledge and teaching experience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et al., 2011). </w:t>
      </w:r>
      <w:r w:rsidR="009056E8" w:rsidRPr="009056E8">
        <w:rPr>
          <w:rFonts w:ascii="Times New Roman" w:hAnsi="Times New Roman" w:cs="Times New Roman"/>
          <w:sz w:val="24"/>
          <w:szCs w:val="22"/>
        </w:rPr>
        <w:t>Thus, noticing functions as a central link between perception and informed teaching action.</w:t>
      </w:r>
      <w:r w:rsidR="009056E8">
        <w:rPr>
          <w:rFonts w:ascii="Times New Roman" w:hAnsi="Times New Roman" w:cs="Times New Roman"/>
          <w:sz w:val="24"/>
          <w:szCs w:val="22"/>
        </w:rPr>
        <w:t xml:space="preserve"> </w:t>
      </w:r>
    </w:p>
    <w:p w14:paraId="1F1F4361" w14:textId="60DF3107" w:rsidR="0099753A" w:rsidRPr="0099753A" w:rsidRDefault="0099753A" w:rsidP="0099753A">
      <w:pPr>
        <w:rPr>
          <w:rFonts w:ascii="Times New Roman" w:hAnsi="Times New Roman" w:cs="Times New Roman"/>
          <w:sz w:val="24"/>
          <w:szCs w:val="22"/>
        </w:rPr>
      </w:pPr>
      <w:r w:rsidRPr="00331FC3">
        <w:rPr>
          <w:rFonts w:ascii="Times New Roman" w:hAnsi="Times New Roman" w:cs="Times New Roman"/>
          <w:sz w:val="24"/>
          <w:szCs w:val="22"/>
        </w:rPr>
        <w:t xml:space="preserve">After noticing, teachers engage in </w:t>
      </w:r>
      <w:r w:rsidRPr="00331FC3">
        <w:rPr>
          <w:rFonts w:ascii="Times New Roman" w:hAnsi="Times New Roman" w:cs="Times New Roman"/>
          <w:i/>
          <w:iCs/>
          <w:sz w:val="24"/>
          <w:szCs w:val="22"/>
        </w:rPr>
        <w:t>knowledge-based reasoning</w:t>
      </w:r>
      <w:r w:rsidR="000478AE" w:rsidRPr="00331FC3">
        <w:rPr>
          <w:rFonts w:ascii="Times New Roman" w:hAnsi="Times New Roman" w:cs="Times New Roman"/>
          <w:sz w:val="24"/>
          <w:szCs w:val="22"/>
        </w:rPr>
        <w:t xml:space="preserve"> that describes how teachers interpret what they notice and use their knowledge to decide how to act</w:t>
      </w:r>
      <w:r w:rsidR="0036594D">
        <w:rPr>
          <w:rFonts w:ascii="Times New Roman" w:hAnsi="Times New Roman" w:cs="Times New Roman"/>
          <w:sz w:val="24"/>
          <w:szCs w:val="22"/>
        </w:rPr>
        <w:t>, e.g.</w:t>
      </w:r>
      <w:r w:rsidR="006744B6">
        <w:rPr>
          <w:rFonts w:ascii="Times New Roman" w:hAnsi="Times New Roman" w:cs="Times New Roman"/>
          <w:sz w:val="24"/>
          <w:szCs w:val="22"/>
        </w:rPr>
        <w:t>,</w:t>
      </w:r>
      <w:r w:rsidR="0036594D">
        <w:rPr>
          <w:rFonts w:ascii="Times New Roman" w:hAnsi="Times New Roman" w:cs="Times New Roman"/>
          <w:sz w:val="24"/>
          <w:szCs w:val="22"/>
        </w:rPr>
        <w:t xml:space="preserve"> how to respond to a classroom </w:t>
      </w:r>
      <w:r w:rsidR="001544DD">
        <w:rPr>
          <w:rFonts w:ascii="Times New Roman" w:hAnsi="Times New Roman" w:cs="Times New Roman"/>
          <w:sz w:val="24"/>
          <w:szCs w:val="22"/>
        </w:rPr>
        <w:t>disruption</w:t>
      </w:r>
      <w:r w:rsidR="000478AE" w:rsidRPr="00331FC3">
        <w:rPr>
          <w:rFonts w:ascii="Times New Roman" w:hAnsi="Times New Roman" w:cs="Times New Roman"/>
          <w:sz w:val="24"/>
          <w:szCs w:val="22"/>
        </w:rPr>
        <w:t xml:space="preserve"> (</w:t>
      </w:r>
      <w:r w:rsidR="00335E17" w:rsidRPr="00331FC3">
        <w:rPr>
          <w:rFonts w:ascii="Times New Roman" w:hAnsi="Times New Roman" w:cs="Times New Roman"/>
          <w:sz w:val="24"/>
          <w:szCs w:val="22"/>
        </w:rPr>
        <w:t xml:space="preserve">van Es &amp; </w:t>
      </w:r>
      <w:proofErr w:type="spellStart"/>
      <w:r w:rsidR="00335E17" w:rsidRPr="00331FC3">
        <w:rPr>
          <w:rFonts w:ascii="Times New Roman" w:hAnsi="Times New Roman" w:cs="Times New Roman"/>
          <w:sz w:val="24"/>
          <w:szCs w:val="22"/>
        </w:rPr>
        <w:t>Sherin</w:t>
      </w:r>
      <w:proofErr w:type="spellEnd"/>
      <w:r w:rsidR="00335E17" w:rsidRPr="00331FC3">
        <w:rPr>
          <w:rFonts w:ascii="Times New Roman" w:hAnsi="Times New Roman" w:cs="Times New Roman"/>
          <w:sz w:val="24"/>
          <w:szCs w:val="22"/>
        </w:rPr>
        <w:t>, 2002</w:t>
      </w:r>
      <w:r w:rsidR="00331FC3" w:rsidRPr="00331FC3">
        <w:rPr>
          <w:rFonts w:ascii="Times New Roman" w:hAnsi="Times New Roman" w:cs="Times New Roman"/>
          <w:sz w:val="24"/>
          <w:szCs w:val="22"/>
        </w:rPr>
        <w:t xml:space="preserve">; </w:t>
      </w:r>
      <w:r w:rsidR="000478AE" w:rsidRPr="00331FC3">
        <w:rPr>
          <w:rFonts w:ascii="Times New Roman" w:hAnsi="Times New Roman" w:cs="Times New Roman"/>
          <w:sz w:val="24"/>
          <w:szCs w:val="22"/>
        </w:rPr>
        <w:t>Gibson &amp; Ross, 2016).</w:t>
      </w:r>
    </w:p>
    <w:p w14:paraId="0D6896DD" w14:textId="582BCC56" w:rsidR="0099753A" w:rsidRPr="0099753A" w:rsidRDefault="0099753A" w:rsidP="0099753A">
      <w:pPr>
        <w:rPr>
          <w:rFonts w:ascii="Times New Roman" w:hAnsi="Times New Roman" w:cs="Times New Roman"/>
          <w:sz w:val="24"/>
          <w:szCs w:val="22"/>
        </w:rPr>
      </w:pPr>
      <w:r w:rsidRPr="0099753A">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001544DD">
        <w:rPr>
          <w:rFonts w:ascii="Times New Roman" w:hAnsi="Times New Roman" w:cs="Times New Roman"/>
          <w:sz w:val="24"/>
          <w:szCs w:val="22"/>
        </w:rPr>
        <w:t>visual scanning</w:t>
      </w:r>
      <w:r w:rsidRPr="0099753A">
        <w:rPr>
          <w:rFonts w:ascii="Times New Roman" w:hAnsi="Times New Roman" w:cs="Times New Roman"/>
          <w:sz w:val="24"/>
          <w:szCs w:val="22"/>
        </w:rPr>
        <w:t>, knowledge-based noticing, and knowledge-based reasoning</w:t>
      </w:r>
      <w:r>
        <w:rPr>
          <w:rFonts w:ascii="Times New Roman" w:hAnsi="Times New Roman" w:cs="Times New Roman"/>
          <w:sz w:val="24"/>
          <w:szCs w:val="22"/>
        </w:rPr>
        <w:t xml:space="preserve"> – </w:t>
      </w:r>
      <w:r w:rsidRPr="0099753A">
        <w:rPr>
          <w:rFonts w:ascii="Times New Roman" w:hAnsi="Times New Roman" w:cs="Times New Roman"/>
          <w:sz w:val="24"/>
          <w:szCs w:val="22"/>
        </w:rPr>
        <w:t xml:space="preserve">constitute a situated, knowledge-driven </w:t>
      </w:r>
      <w:commentRangeStart w:id="4"/>
      <w:r w:rsidRPr="0099753A">
        <w:rPr>
          <w:rFonts w:ascii="Times New Roman" w:hAnsi="Times New Roman" w:cs="Times New Roman"/>
          <w:sz w:val="24"/>
          <w:szCs w:val="22"/>
        </w:rPr>
        <w:t xml:space="preserve">perceptual cycle </w:t>
      </w:r>
      <w:commentRangeEnd w:id="4"/>
      <w:r w:rsidR="0036594D">
        <w:rPr>
          <w:rStyle w:val="Kommentarzeichen"/>
        </w:rPr>
        <w:commentReference w:id="4"/>
      </w:r>
      <w:r w:rsidRPr="0099753A">
        <w:rPr>
          <w:rFonts w:ascii="Times New Roman" w:hAnsi="Times New Roman" w:cs="Times New Roman"/>
          <w:sz w:val="24"/>
          <w:szCs w:val="22"/>
        </w:rPr>
        <w:t xml:space="preserve">that </w:t>
      </w:r>
      <w:r w:rsidRPr="0099753A">
        <w:rPr>
          <w:rFonts w:ascii="Times New Roman" w:hAnsi="Times New Roman" w:cs="Times New Roman"/>
          <w:sz w:val="24"/>
          <w:szCs w:val="22"/>
        </w:rPr>
        <w:lastRenderedPageBreak/>
        <w:t xml:space="preserve">enables teachers to detect, interpret, and respond to classroom disruptions effectively. They bridge the gap between </w:t>
      </w:r>
      <w:r w:rsidR="00C26B49">
        <w:rPr>
          <w:rFonts w:ascii="Times New Roman" w:hAnsi="Times New Roman" w:cs="Times New Roman"/>
          <w:sz w:val="24"/>
          <w:szCs w:val="22"/>
        </w:rPr>
        <w:t>(strategic)</w:t>
      </w:r>
      <w:r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37A7864E" w14:textId="341B453E" w:rsidR="002530FD" w:rsidRPr="002530FD" w:rsidRDefault="001A712A" w:rsidP="008A57DB">
      <w:pPr>
        <w:rPr>
          <w:rFonts w:ascii="Times New Roman" w:hAnsi="Times New Roman" w:cs="Times New Roman"/>
          <w:sz w:val="24"/>
          <w:szCs w:val="22"/>
        </w:rPr>
      </w:pPr>
      <w:commentRangeStart w:id="5"/>
      <w:r w:rsidRPr="001A712A">
        <w:rPr>
          <w:rFonts w:ascii="Times New Roman" w:hAnsi="Times New Roman" w:cs="Times New Roman"/>
          <w:sz w:val="24"/>
          <w:szCs w:val="22"/>
        </w:rPr>
        <w:t xml:space="preserve">professional teaching practice </w:t>
      </w:r>
      <w:commentRangeEnd w:id="5"/>
      <w:r w:rsidRPr="001A712A">
        <w:rPr>
          <w:rFonts w:ascii="Times New Roman" w:hAnsi="Times New Roman" w:cs="Times New Roman"/>
          <w:sz w:val="24"/>
          <w:szCs w:val="22"/>
        </w:rPr>
        <w:commentReference w:id="5"/>
      </w:r>
      <w:r w:rsidR="002530FD" w:rsidRPr="002530FD">
        <w:rPr>
          <w:rFonts w:ascii="Times New Roman" w:hAnsi="Times New Roman" w:cs="Times New Roman"/>
          <w:sz w:val="24"/>
          <w:szCs w:val="22"/>
        </w:rPr>
        <w:t xml:space="preserve">The third component of the model, </w:t>
      </w:r>
      <w:r w:rsidR="002530FD" w:rsidRPr="002530FD">
        <w:rPr>
          <w:rFonts w:ascii="Times New Roman" w:hAnsi="Times New Roman" w:cs="Times New Roman"/>
          <w:i/>
          <w:iCs/>
          <w:sz w:val="24"/>
          <w:szCs w:val="22"/>
        </w:rPr>
        <w:t>observable behavior</w:t>
      </w:r>
      <w:r w:rsidR="002530FD" w:rsidRPr="002530FD">
        <w:rPr>
          <w:rFonts w:ascii="Times New Roman" w:hAnsi="Times New Roman" w:cs="Times New Roman"/>
          <w:sz w:val="24"/>
          <w:szCs w:val="22"/>
        </w:rPr>
        <w:t>, refers to the visible application of classroom management strategies</w:t>
      </w:r>
      <w:r w:rsidR="0036594D">
        <w:rPr>
          <w:rFonts w:ascii="Times New Roman" w:hAnsi="Times New Roman" w:cs="Times New Roman"/>
          <w:sz w:val="24"/>
          <w:szCs w:val="22"/>
        </w:rPr>
        <w:t>, such as the effective reaction to classroom disruptions</w:t>
      </w:r>
      <w:r w:rsidR="002530FD" w:rsidRPr="002530FD">
        <w:rPr>
          <w:rFonts w:ascii="Times New Roman" w:hAnsi="Times New Roman" w:cs="Times New Roman"/>
          <w:sz w:val="24"/>
          <w:szCs w:val="22"/>
        </w:rPr>
        <w:t xml:space="preserve">. </w:t>
      </w:r>
      <w:commentRangeStart w:id="6"/>
      <w:r w:rsidR="002530FD" w:rsidRPr="002530FD">
        <w:rPr>
          <w:rFonts w:ascii="Times New Roman" w:hAnsi="Times New Roman" w:cs="Times New Roman"/>
          <w:sz w:val="24"/>
          <w:szCs w:val="22"/>
        </w:rPr>
        <w:t xml:space="preserve">Prior research in this area spans several decades and highlights key practices linked to effective classroom functioning. </w:t>
      </w:r>
      <w:commentRangeEnd w:id="6"/>
      <w:r w:rsidR="0036594D">
        <w:rPr>
          <w:rStyle w:val="Kommentarzeichen"/>
        </w:rPr>
        <w:commentReference w:id="6"/>
      </w:r>
      <w:r w:rsidR="002530FD" w:rsidRPr="002530FD">
        <w:rPr>
          <w:rFonts w:ascii="Times New Roman" w:hAnsi="Times New Roman" w:cs="Times New Roman"/>
          <w:sz w:val="24"/>
          <w:szCs w:val="22"/>
        </w:rPr>
        <w:t xml:space="preserve">Early studies in the 1950s and 60s focused on teacher leadership styles, while </w:t>
      </w:r>
      <w:r w:rsidR="008742A5">
        <w:rPr>
          <w:rFonts w:ascii="Times New Roman" w:hAnsi="Times New Roman" w:cs="Times New Roman"/>
          <w:sz w:val="24"/>
          <w:szCs w:val="22"/>
        </w:rPr>
        <w:t>in</w:t>
      </w:r>
      <w:r w:rsidR="008742A5" w:rsidRPr="008742A5">
        <w:rPr>
          <w:rFonts w:ascii="Times New Roman" w:hAnsi="Times New Roman" w:cs="Times New Roman"/>
          <w:sz w:val="24"/>
          <w:szCs w:val="22"/>
        </w:rPr>
        <w:t xml:space="preserve"> later decades, research increasingly focused on behaviorist approaches, examining how strategies like positive reinforcement and disciplinary consequences influence student behavior</w:t>
      </w:r>
      <w:r w:rsidR="002530FD" w:rsidRPr="002530FD">
        <w:rPr>
          <w:rFonts w:ascii="Times New Roman" w:hAnsi="Times New Roman" w:cs="Times New Roman"/>
          <w:sz w:val="24"/>
          <w:szCs w:val="22"/>
        </w:rPr>
        <w:t xml:space="preserve"> (Brophy, 2006).</w:t>
      </w:r>
      <w:r w:rsidR="008A57DB">
        <w:rPr>
          <w:rFonts w:ascii="Times New Roman" w:hAnsi="Times New Roman" w:cs="Times New Roman"/>
          <w:sz w:val="24"/>
          <w:szCs w:val="22"/>
        </w:rPr>
        <w:t xml:space="preserve"> </w:t>
      </w:r>
      <w:r w:rsidR="002530FD" w:rsidRPr="002530FD">
        <w:rPr>
          <w:rFonts w:ascii="Times New Roman" w:hAnsi="Times New Roman" w:cs="Times New Roman"/>
          <w:sz w:val="24"/>
          <w:szCs w:val="22"/>
        </w:rPr>
        <w:t xml:space="preserve">Observational studies have consistently shown that effective teachers actively </w:t>
      </w:r>
      <w:commentRangeStart w:id="7"/>
      <w:r w:rsidR="002530FD" w:rsidRPr="002530FD">
        <w:rPr>
          <w:rFonts w:ascii="Times New Roman" w:hAnsi="Times New Roman" w:cs="Times New Roman"/>
          <w:sz w:val="24"/>
          <w:szCs w:val="22"/>
        </w:rPr>
        <w:t xml:space="preserve">prevent </w:t>
      </w:r>
      <w:commentRangeEnd w:id="7"/>
      <w:r w:rsidR="0036594D">
        <w:rPr>
          <w:rStyle w:val="Kommentarzeichen"/>
        </w:rPr>
        <w:commentReference w:id="7"/>
      </w:r>
      <w:r w:rsidR="002530FD" w:rsidRPr="002530FD">
        <w:rPr>
          <w:rFonts w:ascii="Times New Roman" w:hAnsi="Times New Roman" w:cs="Times New Roman"/>
          <w:sz w:val="24"/>
          <w:szCs w:val="22"/>
        </w:rPr>
        <w:t xml:space="preserve">misbehavior through clear expectations, structured routines, and consistent responses. </w:t>
      </w:r>
      <w:proofErr w:type="spellStart"/>
      <w:r w:rsidR="002530FD" w:rsidRPr="002530FD">
        <w:rPr>
          <w:rFonts w:ascii="Times New Roman" w:hAnsi="Times New Roman" w:cs="Times New Roman"/>
          <w:sz w:val="24"/>
          <w:szCs w:val="22"/>
        </w:rPr>
        <w:t>Kounin</w:t>
      </w:r>
      <w:proofErr w:type="spellEnd"/>
      <w:r w:rsidR="002530FD" w:rsidRPr="002530FD">
        <w:rPr>
          <w:rFonts w:ascii="Times New Roman" w:hAnsi="Times New Roman" w:cs="Times New Roman"/>
          <w:sz w:val="24"/>
          <w:szCs w:val="22"/>
        </w:rPr>
        <w:t xml:space="preserve"> (1970) introduced the concept of “</w:t>
      </w:r>
      <w:commentRangeStart w:id="8"/>
      <w:r w:rsidR="002530FD" w:rsidRPr="002530FD">
        <w:rPr>
          <w:rFonts w:ascii="Times New Roman" w:hAnsi="Times New Roman" w:cs="Times New Roman"/>
          <w:sz w:val="24"/>
          <w:szCs w:val="22"/>
        </w:rPr>
        <w:t>withitness</w:t>
      </w:r>
      <w:commentRangeEnd w:id="8"/>
      <w:r w:rsidR="0036594D">
        <w:rPr>
          <w:rStyle w:val="Kommentarzeichen"/>
        </w:rPr>
        <w:commentReference w:id="8"/>
      </w:r>
      <w:r w:rsidR="002530FD" w:rsidRPr="002530FD">
        <w:rPr>
          <w:rFonts w:ascii="Times New Roman" w:hAnsi="Times New Roman" w:cs="Times New Roman"/>
          <w:sz w:val="24"/>
          <w:szCs w:val="22"/>
        </w:rPr>
        <w:t>,” emphasizing teachers’ ongoing awareness of classroom dynamics. Similarly, Anderson</w:t>
      </w:r>
      <w:r w:rsidR="003A0C70">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(1979) found that teachers who explicitly teach rules and reinforce appropriate behavior from the first day of school achieve better academic and behavioral outcomes.</w:t>
      </w:r>
      <w:r w:rsidR="008A57DB">
        <w:rPr>
          <w:rFonts w:ascii="Times New Roman" w:hAnsi="Times New Roman" w:cs="Times New Roman"/>
          <w:sz w:val="24"/>
          <w:szCs w:val="22"/>
        </w:rPr>
        <w:t xml:space="preserve"> </w:t>
      </w:r>
      <w:r w:rsidR="002530FD" w:rsidRPr="002530FD">
        <w:rPr>
          <w:rFonts w:ascii="Times New Roman" w:hAnsi="Times New Roman" w:cs="Times New Roman"/>
          <w:sz w:val="24"/>
          <w:szCs w:val="22"/>
        </w:rPr>
        <w:t>Experimental studies have supported both single strategies (e.g., praise, rule instruction) and broader programs like the Good Behavior Game (</w:t>
      </w:r>
      <w:proofErr w:type="spellStart"/>
      <w:r w:rsidR="002530FD" w:rsidRPr="002530FD">
        <w:rPr>
          <w:rFonts w:ascii="Times New Roman" w:hAnsi="Times New Roman" w:cs="Times New Roman"/>
          <w:sz w:val="24"/>
          <w:szCs w:val="22"/>
        </w:rPr>
        <w:t>Barrish</w:t>
      </w:r>
      <w:proofErr w:type="spellEnd"/>
      <w:r w:rsidR="008A57DB">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1969), which uses team-based reinforcement to reduce disruptions. Oliver</w:t>
      </w:r>
      <w:r w:rsidR="00F85AB0">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(2011) conducted a targeted meta-analysis on universal, teacher-implemented classroom management practices. Their results revealed a significant reduction in disruptive behaviors, underlining the effectiveness of structured, preventive strategies led by teachers in everyday classroom settings</w:t>
      </w:r>
      <w:commentRangeStart w:id="9"/>
      <w:r w:rsidR="002530FD" w:rsidRPr="002530FD">
        <w:rPr>
          <w:rFonts w:ascii="Times New Roman" w:hAnsi="Times New Roman" w:cs="Times New Roman"/>
          <w:sz w:val="24"/>
          <w:szCs w:val="22"/>
        </w:rPr>
        <w:t>.</w:t>
      </w:r>
      <w:commentRangeEnd w:id="9"/>
      <w:r w:rsidR="0036594D">
        <w:rPr>
          <w:rStyle w:val="Kommentarzeichen"/>
        </w:rPr>
        <w:commentReference w:id="9"/>
      </w:r>
    </w:p>
    <w:p w14:paraId="291C7E7D" w14:textId="0ECC18FA" w:rsidR="00F37CC7" w:rsidRPr="00F37CC7" w:rsidRDefault="00F37CC7" w:rsidP="00F37CC7">
      <w:pPr>
        <w:rPr>
          <w:rFonts w:ascii="Times New Roman" w:hAnsi="Times New Roman" w:cs="Times New Roman"/>
          <w:sz w:val="24"/>
          <w:szCs w:val="22"/>
        </w:rPr>
      </w:pPr>
      <w:r w:rsidRPr="00F37CC7">
        <w:rPr>
          <w:rFonts w:ascii="Times New Roman" w:hAnsi="Times New Roman" w:cs="Times New Roman"/>
          <w:sz w:val="24"/>
          <w:szCs w:val="22"/>
        </w:rPr>
        <w:t xml:space="preserve">In summary, the model illustrates that managing classroom disruptions effectively relies not solely on theoretical knowledge but significantly on the ability to perceive and interpret </w:t>
      </w:r>
      <w:r w:rsidRPr="00F37CC7">
        <w:rPr>
          <w:rFonts w:ascii="Times New Roman" w:hAnsi="Times New Roman" w:cs="Times New Roman"/>
          <w:sz w:val="24"/>
          <w:szCs w:val="22"/>
        </w:rPr>
        <w:lastRenderedPageBreak/>
        <w:t>classroom dynamics in real-time. Integrating these components provides a comprehensive framework for describing and systematically enhancing teacher competence in classroom management.</w:t>
      </w:r>
    </w:p>
    <w:p w14:paraId="799F9A54" w14:textId="7D2B7933" w:rsidR="00A65C17" w:rsidRDefault="0036594D" w:rsidP="006B67A9">
      <w:pPr>
        <w:pStyle w:val="berschrift2"/>
        <w:rPr>
          <w:rFonts w:ascii="Times New Roman" w:hAnsi="Times New Roman" w:cs="Times New Roman"/>
          <w:sz w:val="24"/>
          <w:szCs w:val="24"/>
        </w:rPr>
      </w:pPr>
      <w:commentRangeStart w:id="10"/>
      <w:r>
        <w:rPr>
          <w:rFonts w:ascii="Times New Roman" w:hAnsi="Times New Roman" w:cs="Times New Roman"/>
          <w:sz w:val="24"/>
          <w:szCs w:val="24"/>
        </w:rPr>
        <w:t xml:space="preserve">Expertise Differences in </w:t>
      </w:r>
      <w:commentRangeStart w:id="11"/>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11"/>
      <w:r>
        <w:rPr>
          <w:rStyle w:val="Kommentarzeichen"/>
          <w:rFonts w:ascii="Calibri" w:hAnsi="Calibri" w:cs="Arial"/>
          <w:b w:val="0"/>
        </w:rPr>
        <w:commentReference w:id="11"/>
      </w:r>
      <w:commentRangeEnd w:id="10"/>
      <w:r>
        <w:rPr>
          <w:rStyle w:val="Kommentarzeichen"/>
          <w:rFonts w:ascii="Calibri" w:hAnsi="Calibri" w:cs="Arial"/>
          <w:b w:val="0"/>
        </w:rPr>
        <w:commentReference w:id="10"/>
      </w:r>
    </w:p>
    <w:p w14:paraId="1E0A88AD" w14:textId="704FE80B" w:rsidR="00001B51" w:rsidRDefault="00ED5110" w:rsidP="008C345B">
      <w:pPr>
        <w:rPr>
          <w:rFonts w:ascii="Times New Roman" w:hAnsi="Times New Roman" w:cs="Times New Roman"/>
          <w:sz w:val="24"/>
          <w:szCs w:val="22"/>
        </w:rPr>
      </w:pPr>
      <w:r w:rsidRPr="00ED5110">
        <w:rPr>
          <w:rFonts w:ascii="Times New Roman" w:hAnsi="Times New Roman" w:cs="Times New Roman"/>
          <w:sz w:val="24"/>
          <w:szCs w:val="22"/>
        </w:rPr>
        <w:t>Understanding expertise differences in classroom management requires a systematic assessment of the core professional competencies that underlie teachers’ ability to respond to disruptive behavior. Based on the three-component model of teaching competence</w:t>
      </w:r>
      <w:r>
        <w:rPr>
          <w:rFonts w:ascii="Times New Roman" w:hAnsi="Times New Roman" w:cs="Times New Roman"/>
          <w:sz w:val="24"/>
          <w:szCs w:val="22"/>
        </w:rPr>
        <w:t xml:space="preserve"> </w:t>
      </w:r>
      <w:r w:rsidR="00001B51">
        <w:rPr>
          <w:rFonts w:ascii="Times New Roman" w:hAnsi="Times New Roman" w:cs="Times New Roman"/>
          <w:sz w:val="24"/>
          <w:szCs w:val="22"/>
        </w:rPr>
        <w:t xml:space="preserve">(see Figure 1) </w:t>
      </w:r>
      <w:r>
        <w:rPr>
          <w:rFonts w:ascii="Times New Roman" w:hAnsi="Times New Roman" w:cs="Times New Roman"/>
          <w:sz w:val="24"/>
          <w:szCs w:val="22"/>
        </w:rPr>
        <w:t xml:space="preserve">– </w:t>
      </w:r>
      <w:r w:rsidRPr="00ED5110">
        <w:rPr>
          <w:rFonts w:ascii="Times New Roman" w:hAnsi="Times New Roman" w:cs="Times New Roman"/>
          <w:sz w:val="24"/>
          <w:szCs w:val="22"/>
        </w:rPr>
        <w:t>strategic knowledge, professional vision, and observable behavior</w:t>
      </w:r>
      <w:r>
        <w:rPr>
          <w:rFonts w:ascii="Times New Roman" w:hAnsi="Times New Roman" w:cs="Times New Roman"/>
          <w:sz w:val="24"/>
          <w:szCs w:val="22"/>
        </w:rPr>
        <w:t xml:space="preserve"> – </w:t>
      </w:r>
      <w:r w:rsidRPr="00ED5110">
        <w:rPr>
          <w:rFonts w:ascii="Times New Roman" w:hAnsi="Times New Roman" w:cs="Times New Roman"/>
          <w:sz w:val="24"/>
          <w:szCs w:val="22"/>
        </w:rPr>
        <w:t>this section outlines how each of these dimensions can be empirically assessed and linked to professional expertise.</w:t>
      </w:r>
      <w:r>
        <w:rPr>
          <w:rFonts w:ascii="Times New Roman" w:hAnsi="Times New Roman" w:cs="Times New Roman"/>
          <w:sz w:val="24"/>
          <w:szCs w:val="22"/>
        </w:rPr>
        <w:t xml:space="preserve"> </w:t>
      </w:r>
    </w:p>
    <w:p w14:paraId="0812332D" w14:textId="4ACD6463" w:rsidR="00BB5DCD" w:rsidRPr="00BB5DCD" w:rsidRDefault="00BB5DCD" w:rsidP="00BB5DCD">
      <w:pPr>
        <w:pStyle w:val="berschrift3"/>
        <w:rPr>
          <w:rFonts w:ascii="Times New Roman" w:hAnsi="Times New Roman" w:cs="Times New Roman"/>
          <w:i w:val="0"/>
          <w:iCs/>
          <w:sz w:val="24"/>
          <w:szCs w:val="24"/>
        </w:rPr>
      </w:pPr>
      <w:commentRangeStart w:id="12"/>
      <w:r>
        <w:rPr>
          <w:rFonts w:ascii="Times New Roman" w:hAnsi="Times New Roman" w:cs="Times New Roman"/>
          <w:i w:val="0"/>
          <w:iCs/>
          <w:sz w:val="24"/>
          <w:szCs w:val="24"/>
        </w:rPr>
        <w:t xml:space="preserve">Teachers’ Strategic Knowledge. </w:t>
      </w:r>
      <w:commentRangeEnd w:id="12"/>
      <w:r w:rsidR="00497187">
        <w:rPr>
          <w:rStyle w:val="Kommentarzeichen"/>
          <w:rFonts w:ascii="Calibri" w:hAnsi="Calibri" w:cs="Arial"/>
          <w:b w:val="0"/>
          <w:i w:val="0"/>
        </w:rPr>
        <w:commentReference w:id="12"/>
      </w:r>
    </w:p>
    <w:p w14:paraId="0ACCE77C" w14:textId="32D182E0"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Strategic knowledge refers to context-sensitive, action-oriented knowledge that enables teachers to make informed pedagogical decisions in complex and dynamic situations (</w:t>
      </w:r>
      <w:proofErr w:type="spellStart"/>
      <w:r w:rsidRPr="008C345B">
        <w:rPr>
          <w:rFonts w:ascii="Times New Roman" w:hAnsi="Times New Roman" w:cs="Times New Roman"/>
          <w:sz w:val="24"/>
          <w:szCs w:val="22"/>
        </w:rPr>
        <w:t>Fenstermacher</w:t>
      </w:r>
      <w:proofErr w:type="spellEnd"/>
      <w:r w:rsidRPr="008C345B">
        <w:rPr>
          <w:rFonts w:ascii="Times New Roman" w:hAnsi="Times New Roman" w:cs="Times New Roman"/>
          <w:sz w:val="24"/>
          <w:szCs w:val="22"/>
        </w:rPr>
        <w:t xml:space="preserve">, 1994; Doyle, 2006). Rather than relying on prescriptive rules, teachers with strong strategic knowledge are able to flexibly select appropriate courses of action that align with both instructional goals and students’ behavioral needs (Shulman, 1986; Baumert &amp; </w:t>
      </w:r>
      <w:proofErr w:type="spellStart"/>
      <w:r w:rsidRPr="008C345B">
        <w:rPr>
          <w:rFonts w:ascii="Times New Roman" w:hAnsi="Times New Roman" w:cs="Times New Roman"/>
          <w:sz w:val="24"/>
          <w:szCs w:val="22"/>
        </w:rPr>
        <w:t>Kunter</w:t>
      </w:r>
      <w:proofErr w:type="spellEnd"/>
      <w:r w:rsidRPr="008C345B">
        <w:rPr>
          <w:rFonts w:ascii="Times New Roman" w:hAnsi="Times New Roman" w:cs="Times New Roman"/>
          <w:sz w:val="24"/>
          <w:szCs w:val="22"/>
        </w:rPr>
        <w:t>, 2013).</w:t>
      </w:r>
    </w:p>
    <w:p w14:paraId="71D9432E"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 xml:space="preserve">Expertise research has shown that expert teachers differ significantly from novices in how their knowledge is structured and accessed. Experts possess highly organized and interconnected knowledge networks, which allow them to retrieve relevant information quickly and to apply it efficiently to novel situations (Livingston &amp; </w:t>
      </w:r>
      <w:proofErr w:type="spellStart"/>
      <w:r w:rsidRPr="008C345B">
        <w:rPr>
          <w:rFonts w:ascii="Times New Roman" w:hAnsi="Times New Roman" w:cs="Times New Roman"/>
          <w:sz w:val="24"/>
          <w:szCs w:val="22"/>
        </w:rPr>
        <w:t>Borko</w:t>
      </w:r>
      <w:proofErr w:type="spellEnd"/>
      <w:r w:rsidRPr="008C345B">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w:t>
      </w:r>
      <w:r w:rsidRPr="008C345B">
        <w:rPr>
          <w:rFonts w:ascii="Times New Roman" w:hAnsi="Times New Roman" w:cs="Times New Roman"/>
          <w:sz w:val="24"/>
          <w:szCs w:val="22"/>
        </w:rPr>
        <w:lastRenderedPageBreak/>
        <w:t xml:space="preserve">structured knowledge that may lead to rigid or less adaptive decision-making (Shulman, 1987; </w:t>
      </w:r>
      <w:proofErr w:type="spellStart"/>
      <w:r w:rsidRPr="008C345B">
        <w:rPr>
          <w:rFonts w:ascii="Times New Roman" w:hAnsi="Times New Roman" w:cs="Times New Roman"/>
          <w:sz w:val="24"/>
          <w:szCs w:val="22"/>
        </w:rPr>
        <w:t>Ophardt</w:t>
      </w:r>
      <w:proofErr w:type="spellEnd"/>
      <w:r w:rsidRPr="008C345B">
        <w:rPr>
          <w:rFonts w:ascii="Times New Roman" w:hAnsi="Times New Roman" w:cs="Times New Roman"/>
          <w:sz w:val="24"/>
          <w:szCs w:val="22"/>
        </w:rPr>
        <w:t xml:space="preserve"> &amp; Thiel, 2013).</w:t>
      </w:r>
    </w:p>
    <w:p w14:paraId="36F33253"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8C345B">
        <w:rPr>
          <w:rFonts w:ascii="Times New Roman" w:hAnsi="Times New Roman" w:cs="Times New Roman"/>
          <w:sz w:val="24"/>
          <w:szCs w:val="22"/>
        </w:rPr>
        <w:t>Tynjälä</w:t>
      </w:r>
      <w:proofErr w:type="spellEnd"/>
      <w:r w:rsidRPr="008C345B">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390FF927" w14:textId="6788A3B6" w:rsidR="004121D1" w:rsidRPr="004121D1" w:rsidRDefault="00BA0F10" w:rsidP="004121D1">
      <w:pPr>
        <w:rPr>
          <w:rFonts w:ascii="Times New Roman" w:hAnsi="Times New Roman" w:cs="Times New Roman"/>
          <w:sz w:val="24"/>
          <w:szCs w:val="22"/>
        </w:rPr>
      </w:pPr>
      <w:r w:rsidRPr="00BA0F10">
        <w:rPr>
          <w:rFonts w:ascii="Times New Roman" w:hAnsi="Times New Roman" w:cs="Times New Roman"/>
          <w:sz w:val="24"/>
          <w:szCs w:val="22"/>
        </w:rPr>
        <w:t xml:space="preserve">Previous efforts to assess classroom management knowledge have either embedded it as a subdimension within broader pedagogical knowledge tests (e.g., COACTIV-R, TEDS-M; </w:t>
      </w:r>
      <w:proofErr w:type="spellStart"/>
      <w:r w:rsidRPr="00BA0F10">
        <w:rPr>
          <w:rFonts w:ascii="Times New Roman" w:hAnsi="Times New Roman" w:cs="Times New Roman"/>
          <w:sz w:val="24"/>
          <w:szCs w:val="22"/>
        </w:rPr>
        <w:t>Kunter</w:t>
      </w:r>
      <w:proofErr w:type="spellEnd"/>
      <w:r w:rsidRPr="00BA0F10">
        <w:rPr>
          <w:rFonts w:ascii="Times New Roman" w:hAnsi="Times New Roman" w:cs="Times New Roman"/>
          <w:sz w:val="24"/>
          <w:szCs w:val="22"/>
        </w:rPr>
        <w:t xml:space="preserve"> et al., 2013; König et al., 2011) or used licensure-based assessments such as the Praxis Series (Educational Testing Service, 2011). </w:t>
      </w:r>
      <w:r w:rsidR="004121D1" w:rsidRPr="004121D1">
        <w:rPr>
          <w:rFonts w:ascii="Times New Roman" w:hAnsi="Times New Roman" w:cs="Times New Roman"/>
          <w:sz w:val="24"/>
          <w:szCs w:val="22"/>
        </w:rPr>
        <w:t>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w:t>
      </w:r>
      <w:r w:rsidR="00FB66E5">
        <w:rPr>
          <w:rFonts w:ascii="Times New Roman" w:hAnsi="Times New Roman" w:cs="Times New Roman"/>
          <w:sz w:val="24"/>
          <w:szCs w:val="22"/>
        </w:rPr>
        <w:t xml:space="preserve"> </w:t>
      </w:r>
      <w:r w:rsidR="00FB66E5">
        <w:rPr>
          <w:rFonts w:ascii="Times New Roman" w:hAnsi="Times New Roman" w:cs="Times New Roman"/>
          <w:sz w:val="24"/>
          <w:szCs w:val="22"/>
        </w:rPr>
        <w:fldChar w:fldCharType="begin"/>
      </w:r>
      <w:r w:rsidR="00FB66E5">
        <w:rPr>
          <w:rFonts w:ascii="Times New Roman" w:hAnsi="Times New Roman" w:cs="Times New Roman"/>
          <w:sz w:val="24"/>
          <w:szCs w:val="22"/>
        </w:rPr>
        <w:instrText xml:space="preserve"> ADDIN ZOTERO_ITEM CSL_CITATION {"citationID":"wTBMu6Ae","properties":{"formattedCitation":"(Gold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B66E5">
        <w:rPr>
          <w:rFonts w:ascii="Times New Roman" w:hAnsi="Times New Roman" w:cs="Times New Roman"/>
          <w:sz w:val="24"/>
          <w:szCs w:val="22"/>
        </w:rPr>
        <w:fldChar w:fldCharType="separate"/>
      </w:r>
      <w:r w:rsidR="00FB66E5" w:rsidRPr="00FB66E5">
        <w:rPr>
          <w:rFonts w:ascii="Times New Roman" w:hAnsi="Times New Roman" w:cs="Times New Roman"/>
          <w:sz w:val="24"/>
        </w:rPr>
        <w:t>(Gold &amp; Holodynski, 2015)</w:t>
      </w:r>
      <w:r w:rsidR="00FB66E5">
        <w:rPr>
          <w:rFonts w:ascii="Times New Roman" w:hAnsi="Times New Roman" w:cs="Times New Roman"/>
          <w:sz w:val="24"/>
          <w:szCs w:val="22"/>
        </w:rPr>
        <w:fldChar w:fldCharType="end"/>
      </w:r>
      <w:r w:rsidR="004121D1" w:rsidRPr="004121D1">
        <w:rPr>
          <w:rFonts w:ascii="Times New Roman" w:hAnsi="Times New Roman" w:cs="Times New Roman"/>
          <w:sz w:val="24"/>
          <w:szCs w:val="22"/>
        </w:rPr>
        <w:t>.</w:t>
      </w:r>
    </w:p>
    <w:p w14:paraId="62A36588" w14:textId="37DC104B" w:rsidR="00520A55" w:rsidRDefault="004121D1" w:rsidP="00F9220E">
      <w:pPr>
        <w:rPr>
          <w:rFonts w:ascii="Times New Roman" w:hAnsi="Times New Roman" w:cs="Times New Roman"/>
          <w:sz w:val="24"/>
          <w:szCs w:val="22"/>
        </w:rPr>
      </w:pPr>
      <w:r w:rsidRPr="004121D1">
        <w:rPr>
          <w:rFonts w:ascii="Times New Roman" w:hAnsi="Times New Roman" w:cs="Times New Roman"/>
          <w:sz w:val="24"/>
          <w:szCs w:val="22"/>
        </w:rPr>
        <w:t xml:space="preserve">To address this gap, Gold and </w:t>
      </w:r>
      <w:proofErr w:type="spellStart"/>
      <w:r w:rsidRPr="004121D1">
        <w:rPr>
          <w:rFonts w:ascii="Times New Roman" w:hAnsi="Times New Roman" w:cs="Times New Roman"/>
          <w:sz w:val="24"/>
          <w:szCs w:val="22"/>
        </w:rPr>
        <w:t>Holodynski</w:t>
      </w:r>
      <w:proofErr w:type="spellEnd"/>
      <w:r w:rsidRPr="004121D1">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w:t>
      </w:r>
      <w:r w:rsidR="005E2247">
        <w:rPr>
          <w:rFonts w:ascii="Times New Roman" w:hAnsi="Times New Roman" w:cs="Times New Roman"/>
          <w:sz w:val="24"/>
          <w:szCs w:val="22"/>
        </w:rPr>
        <w:t xml:space="preserve"> (</w:t>
      </w:r>
      <w:r w:rsidRPr="004121D1">
        <w:rPr>
          <w:rFonts w:ascii="Times New Roman" w:hAnsi="Times New Roman" w:cs="Times New Roman"/>
          <w:sz w:val="24"/>
          <w:szCs w:val="22"/>
        </w:rPr>
        <w:t>monitoring, managing momentum, and establishing rules and routines</w:t>
      </w:r>
      <w:r w:rsidR="005E2247">
        <w:rPr>
          <w:rFonts w:ascii="Times New Roman" w:hAnsi="Times New Roman" w:cs="Times New Roman"/>
          <w:sz w:val="24"/>
          <w:szCs w:val="22"/>
        </w:rPr>
        <w:t>)</w:t>
      </w:r>
      <w:r w:rsidR="006B256A">
        <w:rPr>
          <w:rFonts w:ascii="Times New Roman" w:hAnsi="Times New Roman" w:cs="Times New Roman"/>
          <w:sz w:val="24"/>
          <w:szCs w:val="22"/>
        </w:rPr>
        <w:t>.</w:t>
      </w:r>
      <w:r w:rsidR="005E2247">
        <w:rPr>
          <w:rFonts w:ascii="Times New Roman" w:hAnsi="Times New Roman" w:cs="Times New Roman"/>
          <w:sz w:val="24"/>
          <w:szCs w:val="22"/>
        </w:rPr>
        <w:t xml:space="preserve"> </w:t>
      </w:r>
      <w:r w:rsidR="006B256A" w:rsidRPr="008C345B">
        <w:rPr>
          <w:rFonts w:ascii="Times New Roman" w:hAnsi="Times New Roman" w:cs="Times New Roman"/>
          <w:sz w:val="24"/>
          <w:szCs w:val="22"/>
        </w:rPr>
        <w:t xml:space="preserve">Validation studies have demonstrated the SJT’s sensitivity to expertise: in-service teachers significantly outperform preservice teachers, especially in scenarios requiring proactive and nuanced management strategies (Gold &amp; </w:t>
      </w:r>
      <w:proofErr w:type="spellStart"/>
      <w:r w:rsidR="006B256A" w:rsidRPr="008C345B">
        <w:rPr>
          <w:rFonts w:ascii="Times New Roman" w:hAnsi="Times New Roman" w:cs="Times New Roman"/>
          <w:sz w:val="24"/>
          <w:szCs w:val="22"/>
        </w:rPr>
        <w:t>Holodynski</w:t>
      </w:r>
      <w:proofErr w:type="spellEnd"/>
      <w:r w:rsidR="006B256A" w:rsidRPr="008C345B">
        <w:rPr>
          <w:rFonts w:ascii="Times New Roman" w:hAnsi="Times New Roman" w:cs="Times New Roman"/>
          <w:sz w:val="24"/>
          <w:szCs w:val="22"/>
        </w:rPr>
        <w:t xml:space="preserve">, 2015). </w:t>
      </w:r>
      <w:r w:rsidRPr="004121D1">
        <w:rPr>
          <w:rFonts w:ascii="Times New Roman" w:hAnsi="Times New Roman" w:cs="Times New Roman"/>
          <w:sz w:val="24"/>
          <w:szCs w:val="22"/>
        </w:rPr>
        <w:t xml:space="preserve">In contrast to dichotomous formats, their SJT asks participants to rate the effectiveness of each response, allowing for a more nuanced </w:t>
      </w:r>
      <w:r w:rsidRPr="004121D1">
        <w:rPr>
          <w:rFonts w:ascii="Times New Roman" w:hAnsi="Times New Roman" w:cs="Times New Roman"/>
          <w:sz w:val="24"/>
          <w:szCs w:val="22"/>
        </w:rPr>
        <w:lastRenderedPageBreak/>
        <w:t>assessment.</w:t>
      </w:r>
      <w:r w:rsidR="006B256A">
        <w:rPr>
          <w:rFonts w:ascii="Times New Roman" w:hAnsi="Times New Roman" w:cs="Times New Roman"/>
          <w:sz w:val="24"/>
          <w:szCs w:val="22"/>
        </w:rPr>
        <w:t xml:space="preserve"> </w:t>
      </w:r>
      <w:r w:rsidR="008C345B" w:rsidRPr="008C345B">
        <w:rPr>
          <w:rFonts w:ascii="Times New Roman" w:hAnsi="Times New Roman" w:cs="Times New Roman"/>
          <w:sz w:val="24"/>
          <w:szCs w:val="22"/>
        </w:rPr>
        <w:t>These findings support the claim that strategic knowledge is not only a core component of classroom management competence but also a reliable indicator of professional expertise.</w:t>
      </w:r>
    </w:p>
    <w:p w14:paraId="0A3AEA13" w14:textId="449105C1" w:rsidR="00751975" w:rsidRPr="00BB5DCD" w:rsidRDefault="00BB5DCD" w:rsidP="00751975">
      <w:pPr>
        <w:pStyle w:val="berschrift3"/>
        <w:rPr>
          <w:rFonts w:ascii="Times New Roman" w:hAnsi="Times New Roman" w:cs="Times New Roman"/>
          <w:i w:val="0"/>
          <w:iCs/>
          <w:sz w:val="24"/>
          <w:szCs w:val="24"/>
        </w:rPr>
      </w:pPr>
      <w:commentRangeStart w:id="13"/>
      <w:r w:rsidRPr="00BB5DCD">
        <w:rPr>
          <w:rFonts w:ascii="Times New Roman" w:hAnsi="Times New Roman" w:cs="Times New Roman"/>
          <w:i w:val="0"/>
          <w:iCs/>
          <w:sz w:val="24"/>
          <w:szCs w:val="24"/>
        </w:rPr>
        <w:t>Teachers’ Professional Vision</w:t>
      </w:r>
      <w:r>
        <w:rPr>
          <w:rFonts w:ascii="Times New Roman" w:hAnsi="Times New Roman" w:cs="Times New Roman"/>
          <w:i w:val="0"/>
          <w:iCs/>
          <w:sz w:val="24"/>
          <w:szCs w:val="24"/>
        </w:rPr>
        <w:t>.</w:t>
      </w:r>
      <w:commentRangeEnd w:id="13"/>
      <w:r w:rsidR="00497187">
        <w:rPr>
          <w:rStyle w:val="Kommentarzeichen"/>
          <w:rFonts w:ascii="Calibri" w:hAnsi="Calibri" w:cs="Arial"/>
          <w:b w:val="0"/>
          <w:i w:val="0"/>
        </w:rPr>
        <w:commentReference w:id="13"/>
      </w:r>
    </w:p>
    <w:p w14:paraId="3A62926A" w14:textId="530961DE" w:rsidR="00F9220E" w:rsidRPr="00F9220E" w:rsidRDefault="00F9220E" w:rsidP="00F9220E">
      <w:pPr>
        <w:rPr>
          <w:rFonts w:ascii="Times New Roman" w:hAnsi="Times New Roman" w:cs="Times New Roman"/>
          <w:sz w:val="24"/>
          <w:szCs w:val="22"/>
        </w:rPr>
      </w:pPr>
      <w:commentRangeStart w:id="14"/>
      <w:r w:rsidRPr="00F9220E">
        <w:rPr>
          <w:rFonts w:ascii="Times New Roman" w:hAnsi="Times New Roman" w:cs="Times New Roman"/>
          <w:sz w:val="24"/>
          <w:szCs w:val="22"/>
        </w:rPr>
        <w:t xml:space="preserve">To assess </w:t>
      </w:r>
      <w:commentRangeEnd w:id="14"/>
      <w:r w:rsidR="00497187">
        <w:rPr>
          <w:rStyle w:val="Kommentarzeichen"/>
        </w:rPr>
        <w:commentReference w:id="14"/>
      </w:r>
      <w:r w:rsidRPr="00F9220E">
        <w:rPr>
          <w:rFonts w:ascii="Times New Roman" w:hAnsi="Times New Roman" w:cs="Times New Roman"/>
          <w:sz w:val="24"/>
          <w:szCs w:val="22"/>
        </w:rPr>
        <w:t>teachers’ professional vision</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understood as their ability to perceive and interpret relevant events in the classroom</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 xml:space="preserve">eye-tracking has become an established process-based measurement method. It captures attentional behavior in real time and enables inferences about underlying cognitive mechanisms such as noticing and attention control, which typically occur unconsciously and cannot be verbalized reliably (Grub et al., 2020; Seidel &amp; </w:t>
      </w:r>
      <w:proofErr w:type="spellStart"/>
      <w:r w:rsidRPr="00F9220E">
        <w:rPr>
          <w:rFonts w:ascii="Times New Roman" w:hAnsi="Times New Roman" w:cs="Times New Roman"/>
          <w:sz w:val="24"/>
          <w:szCs w:val="22"/>
        </w:rPr>
        <w:t>Stürmer</w:t>
      </w:r>
      <w:proofErr w:type="spellEnd"/>
      <w:r w:rsidRPr="00F9220E">
        <w:rPr>
          <w:rFonts w:ascii="Times New Roman" w:hAnsi="Times New Roman" w:cs="Times New Roman"/>
          <w:sz w:val="24"/>
          <w:szCs w:val="22"/>
        </w:rPr>
        <w:t xml:space="preserve">, 2014; van den </w:t>
      </w:r>
      <w:proofErr w:type="spellStart"/>
      <w:r w:rsidRPr="00F9220E">
        <w:rPr>
          <w:rFonts w:ascii="Times New Roman" w:hAnsi="Times New Roman" w:cs="Times New Roman"/>
          <w:sz w:val="24"/>
          <w:szCs w:val="22"/>
        </w:rPr>
        <w:t>Bogert</w:t>
      </w:r>
      <w:proofErr w:type="spellEnd"/>
      <w:r w:rsidRPr="00F9220E">
        <w:rPr>
          <w:rFonts w:ascii="Times New Roman" w:hAnsi="Times New Roman" w:cs="Times New Roman"/>
          <w:sz w:val="24"/>
          <w:szCs w:val="22"/>
        </w:rPr>
        <w:t xml:space="preserve"> et al., 2014).</w:t>
      </w:r>
    </w:p>
    <w:p w14:paraId="7297B3FD"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Pr="00F9220E">
        <w:rPr>
          <w:rFonts w:ascii="Times New Roman" w:hAnsi="Times New Roman" w:cs="Times New Roman"/>
          <w:sz w:val="24"/>
          <w:szCs w:val="22"/>
        </w:rPr>
        <w:t>Holmqvist</w:t>
      </w:r>
      <w:proofErr w:type="spellEnd"/>
      <w:r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2018; Negi &amp; Mitra, 2020).</w:t>
      </w:r>
    </w:p>
    <w:p w14:paraId="40E0D5B0"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The relationship between these two parameters is often summarized in the Gaze Relational Index (GRI), a derived metric that divides average fixation duration by total fixation count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 Lowe &amp; </w:t>
      </w:r>
      <w:proofErr w:type="spellStart"/>
      <w:r w:rsidRPr="00F9220E">
        <w:rPr>
          <w:rFonts w:ascii="Times New Roman" w:hAnsi="Times New Roman" w:cs="Times New Roman"/>
          <w:sz w:val="24"/>
          <w:szCs w:val="22"/>
        </w:rPr>
        <w:t>Boucheix</w:t>
      </w:r>
      <w:proofErr w:type="spellEnd"/>
      <w:r w:rsidRPr="00F9220E">
        <w:rPr>
          <w:rFonts w:ascii="Times New Roman" w:hAnsi="Times New Roman" w:cs="Times New Roman"/>
          <w:sz w:val="24"/>
          <w:szCs w:val="22"/>
        </w:rPr>
        <w:t xml:space="preserve">, 2016). Lower GRI values typically indicate short fixations combined with frequent gaze shifts and are associated with more efficient, top-down driven scanning behavior. Higher values suggest longer fixations with fewer shifts, </w:t>
      </w:r>
      <w:r w:rsidRPr="00F9220E">
        <w:rPr>
          <w:rFonts w:ascii="Times New Roman" w:hAnsi="Times New Roman" w:cs="Times New Roman"/>
          <w:sz w:val="24"/>
          <w:szCs w:val="22"/>
        </w:rPr>
        <w:lastRenderedPageBreak/>
        <w:t>indicating a slower, potentially more cognitively loaded processing pattern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w:t>
      </w:r>
    </w:p>
    <w:p w14:paraId="3F16462E" w14:textId="59F9D18F" w:rsidR="00114401" w:rsidRDefault="00F9220E" w:rsidP="002D46FF">
      <w:pPr>
        <w:rPr>
          <w:rFonts w:ascii="Times New Roman" w:hAnsi="Times New Roman" w:cs="Times New Roman"/>
          <w:sz w:val="24"/>
          <w:szCs w:val="22"/>
        </w:rPr>
      </w:pPr>
      <w:r w:rsidRPr="00F9220E">
        <w:rPr>
          <w:rFonts w:ascii="Times New Roman" w:hAnsi="Times New Roman" w:cs="Times New Roman"/>
          <w:sz w:val="24"/>
          <w:szCs w:val="22"/>
        </w:rPr>
        <w:t xml:space="preserve">In the context of classroom management, these indicators have been used to differentiate expertise levels. Studies consistently show that expert teachers exhibit more dynamic and </w:t>
      </w:r>
      <w:r w:rsidR="002B0F9D">
        <w:rPr>
          <w:rFonts w:ascii="Times New Roman" w:hAnsi="Times New Roman" w:cs="Times New Roman"/>
          <w:sz w:val="24"/>
          <w:szCs w:val="22"/>
        </w:rPr>
        <w:t xml:space="preserve">efficient </w:t>
      </w:r>
      <w:r w:rsidRPr="00F9220E">
        <w:rPr>
          <w:rFonts w:ascii="Times New Roman" w:hAnsi="Times New Roman" w:cs="Times New Roman"/>
          <w:sz w:val="24"/>
          <w:szCs w:val="22"/>
        </w:rPr>
        <w:t xml:space="preserve">gaze behavior than novices (Cortina et al., 2015; McIntyre, 2016; </w:t>
      </w:r>
      <w:r w:rsidR="00CC5540" w:rsidRPr="00CC5540">
        <w:rPr>
          <w:rFonts w:ascii="Times New Roman" w:hAnsi="Times New Roman" w:cs="Times New Roman"/>
          <w:sz w:val="24"/>
          <w:szCs w:val="22"/>
        </w:rPr>
        <w:t>Dessus et al.</w:t>
      </w:r>
      <w:r w:rsidR="00CC5540">
        <w:rPr>
          <w:rFonts w:ascii="Times New Roman" w:hAnsi="Times New Roman" w:cs="Times New Roman"/>
          <w:sz w:val="24"/>
          <w:szCs w:val="22"/>
        </w:rPr>
        <w:t xml:space="preserve">, 2016; </w:t>
      </w:r>
      <w:r w:rsidRPr="00F9220E">
        <w:rPr>
          <w:rFonts w:ascii="Times New Roman" w:hAnsi="Times New Roman" w:cs="Times New Roman"/>
          <w:sz w:val="24"/>
          <w:szCs w:val="22"/>
        </w:rPr>
        <w:t xml:space="preserve">Huang, 2018; </w:t>
      </w:r>
      <w:proofErr w:type="spellStart"/>
      <w:r w:rsidR="00CC5540" w:rsidRPr="00CC5540">
        <w:rPr>
          <w:rFonts w:ascii="Times New Roman" w:hAnsi="Times New Roman" w:cs="Times New Roman"/>
          <w:sz w:val="24"/>
          <w:szCs w:val="22"/>
        </w:rPr>
        <w:t>Gegenfurtner</w:t>
      </w:r>
      <w:proofErr w:type="spellEnd"/>
      <w:r w:rsidR="00CC5540" w:rsidRPr="00CC5540">
        <w:rPr>
          <w:rFonts w:ascii="Times New Roman" w:hAnsi="Times New Roman" w:cs="Times New Roman"/>
          <w:sz w:val="24"/>
          <w:szCs w:val="22"/>
        </w:rPr>
        <w:t xml:space="preserve"> et al.</w:t>
      </w:r>
      <w:r w:rsidR="00CC5540">
        <w:rPr>
          <w:rFonts w:ascii="Times New Roman" w:hAnsi="Times New Roman" w:cs="Times New Roman"/>
          <w:sz w:val="24"/>
          <w:szCs w:val="22"/>
        </w:rPr>
        <w:t xml:space="preserve">, </w:t>
      </w:r>
      <w:r w:rsidR="00CC5540" w:rsidRPr="00CC5540">
        <w:rPr>
          <w:rFonts w:ascii="Times New Roman" w:hAnsi="Times New Roman" w:cs="Times New Roman"/>
          <w:sz w:val="24"/>
          <w:szCs w:val="22"/>
        </w:rPr>
        <w:t>2020</w:t>
      </w:r>
      <w:r w:rsidRPr="00F9220E">
        <w:rPr>
          <w:rFonts w:ascii="Times New Roman" w:hAnsi="Times New Roman" w:cs="Times New Roman"/>
          <w:sz w:val="24"/>
          <w:szCs w:val="22"/>
        </w:rPr>
        <w:t xml:space="preserve">). For instance, </w:t>
      </w:r>
      <w:r w:rsidR="002D46FF" w:rsidRPr="002D46FF">
        <w:rPr>
          <w:rFonts w:ascii="Times New Roman" w:hAnsi="Times New Roman" w:cs="Times New Roman"/>
          <w:sz w:val="24"/>
          <w:szCs w:val="22"/>
        </w:rPr>
        <w:t>Cortina et al. (2015), for example, investigated attention distribution among 12 mentor-mentee teacher pairs, finding that mentors distributed their gaze more evenly across students, while mentees focused on fewer individuals. This suggests that expert teachers maintain broader classroom awareness, though the study’s small sample size limits its validity. In another study, McIntyre (2016) compared 40 teachers from England and Hong Kong, finding that experts focused more on students, while novices were more distracted by teaching materials and non-relevant stimuli. Huang (2018) analyzed mobile 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r w:rsidR="002D46FF">
        <w:rPr>
          <w:rFonts w:ascii="Times New Roman" w:hAnsi="Times New Roman" w:cs="Times New Roman"/>
          <w:sz w:val="24"/>
          <w:szCs w:val="22"/>
        </w:rPr>
        <w:t xml:space="preserve"> </w:t>
      </w:r>
      <w:r w:rsidR="00114401" w:rsidRPr="00114401">
        <w:rPr>
          <w:rFonts w:ascii="Times New Roman" w:hAnsi="Times New Roman" w:cs="Times New Roman"/>
          <w:sz w:val="24"/>
          <w:szCs w:val="22"/>
        </w:rPr>
        <w:t>Dessus et al. (2016) extended these findings by analyzing the gaze behavior of two novice and two expert teachers during full-length math lessons in primary school using mobile eye-tracking. Although the study had a small sample (</w:t>
      </w:r>
      <w:r w:rsidR="00114401" w:rsidRPr="00114401">
        <w:rPr>
          <w:rFonts w:ascii="Times New Roman" w:hAnsi="Times New Roman" w:cs="Times New Roman"/>
          <w:i/>
          <w:iCs/>
          <w:sz w:val="24"/>
          <w:szCs w:val="22"/>
        </w:rPr>
        <w:t>N</w:t>
      </w:r>
      <w:r w:rsidR="00114401" w:rsidRPr="00114401">
        <w:rPr>
          <w:rFonts w:ascii="Times New Roman" w:hAnsi="Times New Roman" w:cs="Times New Roman"/>
          <w:sz w:val="24"/>
          <w:szCs w:val="22"/>
        </w:rPr>
        <w:t xml:space="preserve"> = 4), it provided detailed insights into gaze distribution and attentional strategies. Experienced teachers showed lower attentional lability</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i.e., fewer rapid gaze shifts</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 xml:space="preserve">and distributed their attention more evenly across students. Novices, in contrast, tended to focus disproportionately on a few individuals, regardless of their behavioral or academic characteristics. These differences were associated with higher CLASS </w:t>
      </w:r>
      <w:r w:rsidR="00114401" w:rsidRPr="00114401">
        <w:rPr>
          <w:rFonts w:ascii="Times New Roman" w:hAnsi="Times New Roman" w:cs="Times New Roman"/>
          <w:sz w:val="24"/>
          <w:szCs w:val="22"/>
        </w:rPr>
        <w:lastRenderedPageBreak/>
        <w:t>scores among expert teachers, suggesting a link between gaze regulation, classroom climate, and instructional quality.</w:t>
      </w:r>
    </w:p>
    <w:p w14:paraId="0C72A69E" w14:textId="2A710BC5" w:rsidR="00F9220E" w:rsidRPr="00F9220E" w:rsidRDefault="00B02BE9" w:rsidP="002D46FF">
      <w:pPr>
        <w:rPr>
          <w:rFonts w:ascii="Times New Roman" w:hAnsi="Times New Roman" w:cs="Times New Roman"/>
          <w:sz w:val="24"/>
          <w:szCs w:val="22"/>
        </w:rPr>
      </w:pPr>
      <w:r w:rsidRPr="00B02BE9">
        <w:rPr>
          <w:rFonts w:ascii="Times New Roman" w:hAnsi="Times New Roman" w:cs="Times New Roman"/>
          <w:sz w:val="24"/>
          <w:szCs w:val="22"/>
        </w:rPr>
        <w:t xml:space="preserve">In a reanalysis of two studies, </w:t>
      </w:r>
      <w:proofErr w:type="spellStart"/>
      <w:r w:rsidRPr="00B02BE9">
        <w:rPr>
          <w:rFonts w:ascii="Times New Roman" w:hAnsi="Times New Roman" w:cs="Times New Roman"/>
          <w:sz w:val="24"/>
          <w:szCs w:val="22"/>
        </w:rPr>
        <w:t>Gegenfurtner</w:t>
      </w:r>
      <w:proofErr w:type="spellEnd"/>
      <w:r w:rsidRPr="00B02BE9">
        <w:rPr>
          <w:rFonts w:ascii="Times New Roman" w:hAnsi="Times New Roman" w:cs="Times New Roman"/>
          <w:sz w:val="24"/>
          <w:szCs w:val="22"/>
        </w:rPr>
        <w:t xml:space="preserve"> et al. (2020) found that experts generally showed lower GRI values than novices, especially in familiar task contexts. While differences were not always statistically significant, the GRI proved useful for comparing visual processing patterns across expertise levels and task demands. Its application in classroom settings is still limited and calls for further research.</w:t>
      </w:r>
    </w:p>
    <w:p w14:paraId="41C4F5A9" w14:textId="75B2EA02" w:rsidR="00F90E72"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Beyond fixation-based measures, </w:t>
      </w:r>
      <w:commentRangeStart w:id="15"/>
      <w:r w:rsidRPr="00F9220E">
        <w:rPr>
          <w:rFonts w:ascii="Times New Roman" w:hAnsi="Times New Roman" w:cs="Times New Roman"/>
          <w:sz w:val="24"/>
          <w:szCs w:val="22"/>
        </w:rPr>
        <w:t xml:space="preserve">time to first fixation (TTFF) </w:t>
      </w:r>
      <w:commentRangeEnd w:id="15"/>
      <w:r w:rsidR="00497187">
        <w:rPr>
          <w:rStyle w:val="Kommentarzeichen"/>
        </w:rPr>
        <w:commentReference w:id="15"/>
      </w:r>
      <w:r w:rsidRPr="00F9220E">
        <w:rPr>
          <w:rFonts w:ascii="Times New Roman" w:hAnsi="Times New Roman" w:cs="Times New Roman"/>
          <w:sz w:val="24"/>
          <w:szCs w:val="22"/>
        </w:rPr>
        <w:t>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1E7B6F">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TTFF is often interpreted as a marker of situational awareness, findings are mixed. In a study by </w:t>
      </w:r>
      <w:r w:rsidR="00E343E6" w:rsidRPr="00F4581F">
        <w:rPr>
          <w:rFonts w:ascii="Times New Roman" w:hAnsi="Times New Roman" w:cs="Times New Roman"/>
          <w:sz w:val="24"/>
          <w:szCs w:val="22"/>
        </w:rPr>
        <w:t xml:space="preserve">Yamamoto </w:t>
      </w:r>
      <w:r w:rsidR="00F4581F">
        <w:rPr>
          <w:rFonts w:ascii="Times New Roman" w:hAnsi="Times New Roman" w:cs="Times New Roman"/>
          <w:sz w:val="24"/>
          <w:szCs w:val="22"/>
        </w:rPr>
        <w:t>&amp;</w:t>
      </w:r>
      <w:r w:rsidR="00E343E6" w:rsidRPr="00F4581F">
        <w:rPr>
          <w:rFonts w:ascii="Times New Roman" w:hAnsi="Times New Roman" w:cs="Times New Roman"/>
          <w:sz w:val="24"/>
          <w:szCs w:val="22"/>
        </w:rPr>
        <w:t xml:space="preserve"> Imai-Matsumura (2013),</w:t>
      </w:r>
      <w:r w:rsidR="00E343E6" w:rsidRPr="00E343E6">
        <w:rPr>
          <w:rFonts w:ascii="Times New Roman" w:hAnsi="Times New Roman" w:cs="Times New Roman"/>
          <w:sz w:val="24"/>
          <w:szCs w:val="22"/>
        </w:rPr>
        <w:t xml:space="preserve"> teachers who noticed student misbehavior did </w:t>
      </w:r>
      <w:r w:rsidR="00E343E6" w:rsidRPr="00F4581F">
        <w:rPr>
          <w:rFonts w:ascii="Times New Roman" w:hAnsi="Times New Roman" w:cs="Times New Roman"/>
          <w:sz w:val="24"/>
          <w:szCs w:val="22"/>
        </w:rPr>
        <w:t>not</w:t>
      </w:r>
      <w:r w:rsidR="00E343E6" w:rsidRPr="00E343E6">
        <w:rPr>
          <w:rFonts w:ascii="Times New Roman" w:hAnsi="Times New Roman" w:cs="Times New Roman"/>
          <w:sz w:val="24"/>
          <w:szCs w:val="22"/>
        </w:rPr>
        <w:t xml:space="preserve"> fixate earlier on the target students than those who missed it. Similarly, </w:t>
      </w:r>
      <w:proofErr w:type="spellStart"/>
      <w:r w:rsidR="00E343E6" w:rsidRPr="00F4581F">
        <w:rPr>
          <w:rFonts w:ascii="Times New Roman" w:hAnsi="Times New Roman" w:cs="Times New Roman"/>
          <w:sz w:val="24"/>
          <w:szCs w:val="22"/>
        </w:rPr>
        <w:t>Keskin</w:t>
      </w:r>
      <w:proofErr w:type="spellEnd"/>
      <w:r w:rsidR="00E343E6" w:rsidRPr="00F4581F">
        <w:rPr>
          <w:rFonts w:ascii="Times New Roman" w:hAnsi="Times New Roman" w:cs="Times New Roman"/>
          <w:sz w:val="24"/>
          <w:szCs w:val="22"/>
        </w:rPr>
        <w:t xml:space="preserve"> et al. (2023)</w:t>
      </w:r>
      <w:r w:rsidR="00E343E6" w:rsidRPr="00E343E6">
        <w:rPr>
          <w:rFonts w:ascii="Times New Roman" w:hAnsi="Times New Roman" w:cs="Times New Roman"/>
          <w:sz w:val="24"/>
          <w:szCs w:val="22"/>
        </w:rPr>
        <w:t xml:space="preserve"> found no significant differences in TTFF related to student background. These results suggest that TTFF alone may not reliably reflect expertise but should be interpreted alongside complementary measures such as fixation frequency and distribution.</w:t>
      </w:r>
    </w:p>
    <w:p w14:paraId="250358D9" w14:textId="7B38814A"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Despite growing interest, research on the GRI in teaching contexts remains limited. Several studies have highlighted its potential as a standardized efficiency indicator but note that its interpretation depends on task complexity and instructional context (Gabel et al., 2023; </w:t>
      </w:r>
      <w:proofErr w:type="spellStart"/>
      <w:r w:rsidRPr="00F9220E">
        <w:rPr>
          <w:rFonts w:ascii="Times New Roman" w:hAnsi="Times New Roman" w:cs="Times New Roman"/>
          <w:sz w:val="24"/>
          <w:szCs w:val="22"/>
        </w:rPr>
        <w:t>Kosel</w:t>
      </w:r>
      <w:proofErr w:type="spellEnd"/>
      <w:r w:rsidRPr="00F9220E">
        <w:rPr>
          <w:rFonts w:ascii="Times New Roman" w:hAnsi="Times New Roman" w:cs="Times New Roman"/>
          <w:sz w:val="24"/>
          <w:szCs w:val="22"/>
        </w:rPr>
        <w:t xml:space="preserve"> et al., 2023). Furthermore, many eye-tracking studies in teacher research suffer from small sample sizes (e.g., </w:t>
      </w:r>
      <w:proofErr w:type="spellStart"/>
      <w:r w:rsidRPr="00F9220E">
        <w:rPr>
          <w:rFonts w:ascii="Times New Roman" w:hAnsi="Times New Roman" w:cs="Times New Roman"/>
          <w:sz w:val="24"/>
          <w:szCs w:val="22"/>
        </w:rPr>
        <w:t>Pouta</w:t>
      </w:r>
      <w:proofErr w:type="spellEnd"/>
      <w:r w:rsidRPr="00F9220E">
        <w:rPr>
          <w:rFonts w:ascii="Times New Roman" w:hAnsi="Times New Roman" w:cs="Times New Roman"/>
          <w:sz w:val="24"/>
          <w:szCs w:val="22"/>
        </w:rPr>
        <w:t xml:space="preserve"> et al., 2021) or methodological limitations, such as low ecological </w:t>
      </w:r>
      <w:r w:rsidRPr="00F9220E">
        <w:rPr>
          <w:rFonts w:ascii="Times New Roman" w:hAnsi="Times New Roman" w:cs="Times New Roman"/>
          <w:sz w:val="24"/>
          <w:szCs w:val="22"/>
        </w:rPr>
        <w:lastRenderedPageBreak/>
        <w:t>validity due to stationary setups (</w:t>
      </w:r>
      <w:proofErr w:type="spellStart"/>
      <w:r w:rsidRPr="00F9220E">
        <w:rPr>
          <w:rFonts w:ascii="Times New Roman" w:hAnsi="Times New Roman" w:cs="Times New Roman"/>
          <w:sz w:val="24"/>
          <w:szCs w:val="22"/>
        </w:rPr>
        <w:t>Stahnke</w:t>
      </w:r>
      <w:proofErr w:type="spellEnd"/>
      <w:r w:rsidRPr="00F9220E">
        <w:rPr>
          <w:rFonts w:ascii="Times New Roman" w:hAnsi="Times New Roman" w:cs="Times New Roman"/>
          <w:sz w:val="24"/>
          <w:szCs w:val="22"/>
        </w:rPr>
        <w:t xml:space="preserve"> &amp; </w:t>
      </w:r>
      <w:proofErr w:type="spellStart"/>
      <w:r w:rsidRPr="00F9220E">
        <w:rPr>
          <w:rFonts w:ascii="Times New Roman" w:hAnsi="Times New Roman" w:cs="Times New Roman"/>
          <w:sz w:val="24"/>
          <w:szCs w:val="22"/>
        </w:rPr>
        <w:t>Blömeke</w:t>
      </w:r>
      <w:proofErr w:type="spellEnd"/>
      <w:r w:rsidRPr="00F9220E">
        <w:rPr>
          <w:rFonts w:ascii="Times New Roman" w:hAnsi="Times New Roman" w:cs="Times New Roman"/>
          <w:sz w:val="24"/>
          <w:szCs w:val="22"/>
        </w:rPr>
        <w:t>, 2021) or low experimental control in authentic classrooms (McIntyre et al., 2020).</w:t>
      </w:r>
    </w:p>
    <w:p w14:paraId="0C743987" w14:textId="36874BF3" w:rsid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Nevertheless, the combination of fixation-based measures (</w:t>
      </w:r>
      <w:r w:rsidR="00A5254C">
        <w:rPr>
          <w:rFonts w:ascii="Times New Roman" w:hAnsi="Times New Roman" w:cs="Times New Roman"/>
          <w:sz w:val="24"/>
          <w:szCs w:val="22"/>
        </w:rPr>
        <w:t>numbe</w:t>
      </w:r>
      <w:r w:rsidR="0084046D">
        <w:rPr>
          <w:rFonts w:ascii="Times New Roman" w:hAnsi="Times New Roman" w:cs="Times New Roman"/>
          <w:sz w:val="24"/>
          <w:szCs w:val="22"/>
        </w:rPr>
        <w:t>r and</w:t>
      </w:r>
      <w:r w:rsidRPr="00F9220E">
        <w:rPr>
          <w:rFonts w:ascii="Times New Roman" w:hAnsi="Times New Roman" w:cs="Times New Roman"/>
          <w:sz w:val="24"/>
          <w:szCs w:val="22"/>
        </w:rPr>
        <w:t xml:space="preserve"> duration</w:t>
      </w:r>
      <w:r w:rsidR="0084046D">
        <w:rPr>
          <w:rFonts w:ascii="Times New Roman" w:hAnsi="Times New Roman" w:cs="Times New Roman"/>
          <w:sz w:val="24"/>
          <w:szCs w:val="22"/>
        </w:rPr>
        <w:t xml:space="preserve"> of fixations</w:t>
      </w:r>
      <w:r w:rsidRPr="00F9220E">
        <w:rPr>
          <w:rFonts w:ascii="Times New Roman" w:hAnsi="Times New Roman" w:cs="Times New Roman"/>
          <w:sz w:val="24"/>
          <w:szCs w:val="22"/>
        </w:rPr>
        <w:t>, GRI) and event-based indicators such as TTFF offers a robust toolkit for assessing teachers’ professional vision in classroom management. These metrics provide access to real-time, process-oriented data and allow for fine-grained comparisons of expertise differences in how teachers attend to and process classroom events.</w:t>
      </w:r>
    </w:p>
    <w:p w14:paraId="70CAE88C" w14:textId="0665F9A6" w:rsidR="0084046D" w:rsidRPr="002C34BC" w:rsidRDefault="006131E4" w:rsidP="006131E4">
      <w:pPr>
        <w:pStyle w:val="berschrift3"/>
        <w:rPr>
          <w:rFonts w:ascii="Times New Roman" w:hAnsi="Times New Roman" w:cs="Times New Roman"/>
          <w:i w:val="0"/>
          <w:iCs/>
          <w:sz w:val="24"/>
          <w:szCs w:val="24"/>
        </w:rPr>
      </w:pPr>
      <w:commentRangeStart w:id="16"/>
      <w:r w:rsidRPr="002C34BC">
        <w:rPr>
          <w:rFonts w:ascii="Times New Roman" w:hAnsi="Times New Roman" w:cs="Times New Roman"/>
          <w:i w:val="0"/>
          <w:iCs/>
          <w:sz w:val="24"/>
          <w:szCs w:val="24"/>
        </w:rPr>
        <w:t xml:space="preserve">Teachers’ </w:t>
      </w:r>
      <w:r w:rsidR="001A3FBE">
        <w:rPr>
          <w:rFonts w:ascii="Times New Roman" w:hAnsi="Times New Roman" w:cs="Times New Roman"/>
          <w:i w:val="0"/>
          <w:iCs/>
          <w:sz w:val="24"/>
          <w:szCs w:val="24"/>
        </w:rPr>
        <w:t>Observable Behavior in Managing Disruptions</w:t>
      </w:r>
      <w:r w:rsidR="002C34BC" w:rsidRPr="002C34BC">
        <w:rPr>
          <w:rFonts w:ascii="Times New Roman" w:hAnsi="Times New Roman" w:cs="Times New Roman"/>
          <w:i w:val="0"/>
          <w:iCs/>
          <w:sz w:val="24"/>
          <w:szCs w:val="24"/>
        </w:rPr>
        <w:t>.</w:t>
      </w:r>
      <w:commentRangeEnd w:id="16"/>
      <w:r w:rsidR="00D94381">
        <w:rPr>
          <w:rStyle w:val="Kommentarzeichen"/>
          <w:rFonts w:ascii="Calibri" w:hAnsi="Calibri" w:cs="Arial"/>
          <w:b w:val="0"/>
          <w:i w:val="0"/>
        </w:rPr>
        <w:commentReference w:id="16"/>
      </w:r>
    </w:p>
    <w:p w14:paraId="60FE3898" w14:textId="1AECA201"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D52445">
        <w:rPr>
          <w:rFonts w:ascii="Times New Roman" w:hAnsi="Times New Roman" w:cs="Times New Roman"/>
          <w:sz w:val="24"/>
          <w:szCs w:val="22"/>
        </w:rPr>
        <w:t>Leinhardt</w:t>
      </w:r>
      <w:proofErr w:type="spellEnd"/>
      <w:r w:rsidRPr="00D52445">
        <w:rPr>
          <w:rFonts w:ascii="Times New Roman" w:hAnsi="Times New Roman" w:cs="Times New Roman"/>
          <w:sz w:val="24"/>
          <w:szCs w:val="22"/>
        </w:rPr>
        <w:t xml:space="preserve"> &amp; </w:t>
      </w:r>
      <w:proofErr w:type="spellStart"/>
      <w:r w:rsidRPr="00D52445">
        <w:rPr>
          <w:rFonts w:ascii="Times New Roman" w:hAnsi="Times New Roman" w:cs="Times New Roman"/>
          <w:sz w:val="24"/>
          <w:szCs w:val="22"/>
        </w:rPr>
        <w:t>Greeno</w:t>
      </w:r>
      <w:proofErr w:type="spellEnd"/>
      <w:r w:rsidRPr="00D52445">
        <w:rPr>
          <w:rFonts w:ascii="Times New Roman" w:hAnsi="Times New Roman" w:cs="Times New Roman"/>
          <w:sz w:val="24"/>
          <w:szCs w:val="22"/>
        </w:rPr>
        <w:t xml:space="preserve">, 1986; Berliner, 1987; </w:t>
      </w:r>
      <w:proofErr w:type="spellStart"/>
      <w:r w:rsidRPr="00D52445">
        <w:rPr>
          <w:rFonts w:ascii="Times New Roman" w:hAnsi="Times New Roman" w:cs="Times New Roman"/>
          <w:sz w:val="24"/>
          <w:szCs w:val="22"/>
        </w:rPr>
        <w:t>Bromme</w:t>
      </w:r>
      <w:proofErr w:type="spellEnd"/>
      <w:r w:rsidRPr="00D52445">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Experts use their monitoring skills to detect disruptions early and intervene effectively (Emmer &amp; </w:t>
      </w:r>
      <w:proofErr w:type="spellStart"/>
      <w:r w:rsidRPr="00D52445">
        <w:rPr>
          <w:rFonts w:ascii="Times New Roman" w:hAnsi="Times New Roman" w:cs="Times New Roman"/>
          <w:sz w:val="24"/>
          <w:szCs w:val="22"/>
        </w:rPr>
        <w:t>Gerwels</w:t>
      </w:r>
      <w:proofErr w:type="spellEnd"/>
      <w:r w:rsidRPr="00D52445">
        <w:rPr>
          <w:rFonts w:ascii="Times New Roman" w:hAnsi="Times New Roman" w:cs="Times New Roman"/>
          <w:sz w:val="24"/>
          <w:szCs w:val="22"/>
        </w:rPr>
        <w:t>, 2006), whereas novices frequently overlook such signals or react too late. Novices also tend to rely on less effective reprimands, interrupting the lesson flow (</w:t>
      </w:r>
      <w:proofErr w:type="spellStart"/>
      <w:r w:rsidRPr="00D52445">
        <w:rPr>
          <w:rFonts w:ascii="Times New Roman" w:hAnsi="Times New Roman" w:cs="Times New Roman"/>
          <w:sz w:val="24"/>
          <w:szCs w:val="22"/>
        </w:rPr>
        <w:t>Westerman</w:t>
      </w:r>
      <w:proofErr w:type="spellEnd"/>
      <w:r w:rsidRPr="00D52445">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w:t>
      </w:r>
      <w:r w:rsidR="002255F0">
        <w:rPr>
          <w:rFonts w:ascii="Times New Roman" w:hAnsi="Times New Roman" w:cs="Times New Roman"/>
          <w:sz w:val="24"/>
          <w:szCs w:val="22"/>
        </w:rPr>
        <w:t>,</w:t>
      </w:r>
      <w:r w:rsidRPr="00D52445">
        <w:rPr>
          <w:rFonts w:ascii="Times New Roman" w:hAnsi="Times New Roman" w:cs="Times New Roman"/>
          <w:sz w:val="24"/>
          <w:szCs w:val="22"/>
        </w:rPr>
        <w:t xml:space="preserve"> using paraverbal and nonverbal cues to signal that inappropriate behavior has been noticed but will not be addressed directly (Thiel et al., 2012).</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lastRenderedPageBreak/>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w:t>
      </w:r>
      <w:r w:rsidRPr="00732EC0">
        <w:rPr>
          <w:rFonts w:ascii="Times New Roman" w:eastAsia="Times New Roman" w:hAnsi="Times New Roman" w:cs="Times New Roman"/>
          <w:color w:val="000000" w:themeColor="text1"/>
          <w:sz w:val="24"/>
          <w:szCs w:val="24"/>
          <w:lang w:eastAsia="de-DE"/>
        </w:rPr>
        <w:lastRenderedPageBreak/>
        <w:t xml:space="preserve">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xml:space="preserve">, the experimenter activated </w:t>
      </w:r>
      <w:r w:rsidRPr="008E7C14">
        <w:rPr>
          <w:rFonts w:ascii="Times New Roman" w:eastAsia="Times New Roman" w:hAnsi="Times New Roman" w:cs="Times New Roman"/>
          <w:color w:val="000000" w:themeColor="text1"/>
          <w:sz w:val="24"/>
          <w:szCs w:val="24"/>
          <w:lang w:eastAsia="de-DE"/>
        </w:rPr>
        <w:lastRenderedPageBreak/>
        <w:t>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6F54A3DE"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D038B1" w:rsidRPr="00D038B1">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2024)","noteIndex":2},"citationItems":[{"id":966,"uris":["http://zotero.org/groups/5349517/items/NEV3K4XP"],"itemData":{"id":966,"type":"webpage","title":"Tobii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w:t>
      </w:r>
      <w:r w:rsidR="004821BA">
        <w:rPr>
          <w:rFonts w:ascii="Times New Roman" w:eastAsia="Times New Roman" w:hAnsi="Times New Roman" w:cs="Times New Roman"/>
          <w:color w:val="000000" w:themeColor="text1"/>
          <w:sz w:val="24"/>
          <w:szCs w:val="24"/>
          <w:lang w:eastAsia="de-DE"/>
        </w:rPr>
        <w:lastRenderedPageBreak/>
        <w:t xml:space="preserve">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w:t>
      </w:r>
      <w:r w:rsidR="00212824" w:rsidRPr="00212824">
        <w:rPr>
          <w:rFonts w:ascii="Times New Roman" w:eastAsia="Times New Roman" w:hAnsi="Times New Roman" w:cs="Times New Roman"/>
          <w:sz w:val="24"/>
          <w:szCs w:val="24"/>
          <w:lang w:eastAsia="de-DE"/>
        </w:rPr>
        <w:lastRenderedPageBreak/>
        <w:t>&gt;30s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w:t>
      </w:r>
      <w:r w:rsidRPr="00EF0B44">
        <w:rPr>
          <w:rFonts w:ascii="Times New Roman" w:eastAsia="Times New Roman" w:hAnsi="Times New Roman" w:cs="Times New Roman"/>
          <w:color w:val="000000" w:themeColor="text1"/>
          <w:sz w:val="24"/>
          <w:szCs w:val="24"/>
          <w:lang w:eastAsia="de-DE"/>
        </w:rPr>
        <w:lastRenderedPageBreak/>
        <w:t>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7"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18" w:name="_Hlk189575193"/>
            <w:bookmarkEnd w:id="17"/>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18"/>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19"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19"/>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26F8A141" w14:textId="77777777" w:rsidR="001E7B6F" w:rsidRPr="001E7B6F" w:rsidRDefault="00CB5001" w:rsidP="001E7B6F">
      <w:pPr>
        <w:pStyle w:val="Literaturverzeichnis"/>
        <w:rPr>
          <w:rFonts w:cs="Calibri"/>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1E7B6F" w:rsidRPr="001E7B6F">
        <w:rPr>
          <w:rFonts w:cs="Calibri"/>
          <w:lang w:val="de-DE"/>
        </w:rPr>
        <w:t xml:space="preserve">Barth, V. L. (2017). </w:t>
      </w:r>
      <w:r w:rsidR="001E7B6F" w:rsidRPr="001E7B6F">
        <w:rPr>
          <w:rFonts w:cs="Calibri"/>
          <w:i/>
          <w:iCs/>
          <w:lang w:val="de-DE"/>
        </w:rPr>
        <w:t>Professionelle Wahrnehmung von Störungen im Unterricht</w:t>
      </w:r>
      <w:r w:rsidR="001E7B6F" w:rsidRPr="001E7B6F">
        <w:rPr>
          <w:rFonts w:cs="Calibri"/>
          <w:lang w:val="de-DE"/>
        </w:rPr>
        <w:t xml:space="preserve">. </w:t>
      </w:r>
      <w:r w:rsidR="001E7B6F" w:rsidRPr="001E7B6F">
        <w:rPr>
          <w:rFonts w:cs="Calibri"/>
        </w:rPr>
        <w:t>Springer VS. https://doi.org/10.1007/978-3-658-16371-6</w:t>
      </w:r>
    </w:p>
    <w:p w14:paraId="2B4EFBF4" w14:textId="77777777" w:rsidR="001E7B6F" w:rsidRPr="001E7B6F" w:rsidRDefault="001E7B6F" w:rsidP="001E7B6F">
      <w:pPr>
        <w:pStyle w:val="Literaturverzeichnis"/>
        <w:rPr>
          <w:rFonts w:cs="Calibri"/>
        </w:rPr>
      </w:pPr>
      <w:r w:rsidRPr="001E7B6F">
        <w:rPr>
          <w:rFonts w:cs="Calibri"/>
        </w:rPr>
        <w:t xml:space="preserve">Beaty-O’Ferrall, M. E., Green, A., &amp; Hanna, F. (2010). Classroom Management Strategies for Difficult Students: Promoting Change through Relationships. </w:t>
      </w:r>
      <w:r w:rsidRPr="001E7B6F">
        <w:rPr>
          <w:rFonts w:cs="Calibri"/>
          <w:i/>
          <w:iCs/>
        </w:rPr>
        <w:t>Middle School Journal (J1)</w:t>
      </w:r>
      <w:r w:rsidRPr="001E7B6F">
        <w:rPr>
          <w:rFonts w:cs="Calibri"/>
        </w:rPr>
        <w:t xml:space="preserve">, </w:t>
      </w:r>
      <w:r w:rsidRPr="001E7B6F">
        <w:rPr>
          <w:rFonts w:cs="Calibri"/>
          <w:i/>
          <w:iCs/>
        </w:rPr>
        <w:t>41</w:t>
      </w:r>
      <w:r w:rsidRPr="001E7B6F">
        <w:rPr>
          <w:rFonts w:cs="Calibri"/>
        </w:rPr>
        <w:t>(4), 4–11.</w:t>
      </w:r>
    </w:p>
    <w:p w14:paraId="1024821B" w14:textId="77777777" w:rsidR="001E7B6F" w:rsidRPr="001E7B6F" w:rsidRDefault="001E7B6F" w:rsidP="001E7B6F">
      <w:pPr>
        <w:pStyle w:val="Literaturverzeichnis"/>
        <w:rPr>
          <w:rFonts w:cs="Calibri"/>
          <w:lang w:val="de-DE"/>
        </w:rPr>
      </w:pPr>
      <w:r w:rsidRPr="001E7B6F">
        <w:rPr>
          <w:rFonts w:cs="Calibri"/>
        </w:rPr>
        <w:t xml:space="preserve">Blömeke, S., Gustafsson, J.-E., &amp; Shavelson, R. J. (2015). Beyond dichotomies: Competence viewed as a continuum. </w:t>
      </w:r>
      <w:r w:rsidRPr="001E7B6F">
        <w:rPr>
          <w:rFonts w:cs="Calibri"/>
          <w:i/>
          <w:iCs/>
          <w:lang w:val="de-DE"/>
        </w:rPr>
        <w:t>Zeitschrift Für Psychologie</w:t>
      </w:r>
      <w:r w:rsidRPr="001E7B6F">
        <w:rPr>
          <w:rFonts w:cs="Calibri"/>
          <w:lang w:val="de-DE"/>
        </w:rPr>
        <w:t xml:space="preserve">, </w:t>
      </w:r>
      <w:r w:rsidRPr="001E7B6F">
        <w:rPr>
          <w:rFonts w:cs="Calibri"/>
          <w:i/>
          <w:iCs/>
          <w:lang w:val="de-DE"/>
        </w:rPr>
        <w:t>223</w:t>
      </w:r>
      <w:r w:rsidRPr="001E7B6F">
        <w:rPr>
          <w:rFonts w:cs="Calibri"/>
          <w:lang w:val="de-DE"/>
        </w:rPr>
        <w:t>(1), 3–13. https://doi.org/10.1027/2151-2604/a000194</w:t>
      </w:r>
    </w:p>
    <w:p w14:paraId="639FFDB4" w14:textId="77777777" w:rsidR="001E7B6F" w:rsidRPr="001E7B6F" w:rsidRDefault="001E7B6F" w:rsidP="001E7B6F">
      <w:pPr>
        <w:pStyle w:val="Literaturverzeichnis"/>
        <w:rPr>
          <w:rFonts w:cs="Calibri"/>
        </w:rPr>
      </w:pPr>
      <w:r w:rsidRPr="001E7B6F">
        <w:rPr>
          <w:rFonts w:cs="Calibri"/>
          <w:lang w:val="de-DE"/>
        </w:rPr>
        <w:t xml:space="preserve">Chow, J. C., Sayers, R., Fu, Y., Granger, K. L., McCullough, S., Kingsbery, C., &amp; Morse, A. (2024). </w:t>
      </w:r>
      <w:r w:rsidRPr="001E7B6F">
        <w:rPr>
          <w:rFonts w:cs="Calibri"/>
        </w:rPr>
        <w:t xml:space="preserve">A Systematic Meta-Review of Measures of Classroom Management in School Settings. </w:t>
      </w:r>
      <w:r w:rsidRPr="001E7B6F">
        <w:rPr>
          <w:rFonts w:cs="Calibri"/>
          <w:i/>
          <w:iCs/>
        </w:rPr>
        <w:t>Assessment for Effective Intervention</w:t>
      </w:r>
      <w:r w:rsidRPr="001E7B6F">
        <w:rPr>
          <w:rFonts w:cs="Calibri"/>
        </w:rPr>
        <w:t xml:space="preserve">, </w:t>
      </w:r>
      <w:r w:rsidRPr="001E7B6F">
        <w:rPr>
          <w:rFonts w:cs="Calibri"/>
          <w:i/>
          <w:iCs/>
        </w:rPr>
        <w:t>49</w:t>
      </w:r>
      <w:r w:rsidRPr="001E7B6F">
        <w:rPr>
          <w:rFonts w:cs="Calibri"/>
        </w:rPr>
        <w:t>(2), 60–74. https://doi.org/10.1177/15345084231208671</w:t>
      </w:r>
    </w:p>
    <w:p w14:paraId="0BD4CF91" w14:textId="77777777" w:rsidR="001E7B6F" w:rsidRPr="001E7B6F" w:rsidRDefault="001E7B6F" w:rsidP="001E7B6F">
      <w:pPr>
        <w:pStyle w:val="Literaturverzeichnis"/>
        <w:rPr>
          <w:rFonts w:cs="Calibri"/>
          <w:lang w:val="de-DE"/>
        </w:rPr>
      </w:pPr>
      <w:r w:rsidRPr="001E7B6F">
        <w:rPr>
          <w:rFonts w:cs="Calibri"/>
        </w:rPr>
        <w:t xml:space="preserve">Cohen, J. (1988). Statistical power for the behavioural sciences. </w:t>
      </w:r>
      <w:r w:rsidRPr="001E7B6F">
        <w:rPr>
          <w:rFonts w:cs="Calibri"/>
          <w:lang w:val="de-DE"/>
        </w:rPr>
        <w:t xml:space="preserve">Hilsdale. </w:t>
      </w:r>
      <w:r w:rsidRPr="001E7B6F">
        <w:rPr>
          <w:rFonts w:cs="Calibri"/>
          <w:i/>
          <w:iCs/>
          <w:lang w:val="de-DE"/>
        </w:rPr>
        <w:t>NY: Lawrence Erlbaum</w:t>
      </w:r>
      <w:r w:rsidRPr="001E7B6F">
        <w:rPr>
          <w:rFonts w:cs="Calibri"/>
          <w:lang w:val="de-DE"/>
        </w:rPr>
        <w:t xml:space="preserve">, </w:t>
      </w:r>
      <w:r w:rsidRPr="001E7B6F">
        <w:rPr>
          <w:rFonts w:cs="Calibri"/>
          <w:i/>
          <w:iCs/>
          <w:lang w:val="de-DE"/>
        </w:rPr>
        <w:t>58</w:t>
      </w:r>
      <w:r w:rsidRPr="001E7B6F">
        <w:rPr>
          <w:rFonts w:cs="Calibri"/>
          <w:lang w:val="de-DE"/>
        </w:rPr>
        <w:t>(1), 7–19.</w:t>
      </w:r>
    </w:p>
    <w:p w14:paraId="7E2B93BC" w14:textId="77777777" w:rsidR="001E7B6F" w:rsidRPr="001E7B6F" w:rsidRDefault="001E7B6F" w:rsidP="001E7B6F">
      <w:pPr>
        <w:pStyle w:val="Literaturverzeichnis"/>
        <w:rPr>
          <w:rFonts w:cs="Calibri"/>
          <w:lang w:val="de-DE"/>
        </w:rPr>
      </w:pPr>
      <w:r w:rsidRPr="001E7B6F">
        <w:rPr>
          <w:rFonts w:cs="Calibri"/>
          <w:lang w:val="de-DE"/>
        </w:rPr>
        <w:t xml:space="preserve">Eckstein, B., Grob, U., &amp; Reusser, K. (2016). Unterrichtliche Devianz und subjektives Störungsempfinden. Entwicklung eines Instrumentariums zur Erfassung von Unterrichtsstörungen. </w:t>
      </w:r>
      <w:r w:rsidRPr="001E7B6F">
        <w:rPr>
          <w:rFonts w:cs="Calibri"/>
          <w:i/>
          <w:iCs/>
          <w:lang w:val="de-DE"/>
        </w:rPr>
        <w:t>Empirische Pädagogik (EP)</w:t>
      </w:r>
      <w:r w:rsidRPr="001E7B6F">
        <w:rPr>
          <w:rFonts w:cs="Calibri"/>
          <w:lang w:val="de-DE"/>
        </w:rPr>
        <w:t xml:space="preserve">, </w:t>
      </w:r>
      <w:r w:rsidRPr="001E7B6F">
        <w:rPr>
          <w:rFonts w:cs="Calibri"/>
          <w:i/>
          <w:iCs/>
          <w:lang w:val="de-DE"/>
        </w:rPr>
        <w:t>30</w:t>
      </w:r>
      <w:r w:rsidRPr="001E7B6F">
        <w:rPr>
          <w:rFonts w:cs="Calibri"/>
          <w:lang w:val="de-DE"/>
        </w:rPr>
        <w:t>(1), Article 1.</w:t>
      </w:r>
    </w:p>
    <w:p w14:paraId="68CF9DFD" w14:textId="77777777" w:rsidR="001E7B6F" w:rsidRPr="001E7B6F" w:rsidRDefault="001E7B6F" w:rsidP="001E7B6F">
      <w:pPr>
        <w:pStyle w:val="Literaturverzeichnis"/>
        <w:rPr>
          <w:rFonts w:cs="Calibri"/>
        </w:rPr>
      </w:pPr>
      <w:r w:rsidRPr="001E7B6F">
        <w:rPr>
          <w:rFonts w:cs="Calibri"/>
        </w:rPr>
        <w:t xml:space="preserve">Gold, B., &amp; Holodynski, M. (2015). Development and Construct Validation of a Situational Judgment Test of Strategic Knowledge of Classroom Management in Elementary Schools. </w:t>
      </w:r>
      <w:r w:rsidRPr="001E7B6F">
        <w:rPr>
          <w:rFonts w:cs="Calibri"/>
          <w:i/>
          <w:iCs/>
        </w:rPr>
        <w:t>Educational Assessment</w:t>
      </w:r>
      <w:r w:rsidRPr="001E7B6F">
        <w:rPr>
          <w:rFonts w:cs="Calibri"/>
        </w:rPr>
        <w:t xml:space="preserve">, </w:t>
      </w:r>
      <w:r w:rsidRPr="001E7B6F">
        <w:rPr>
          <w:rFonts w:cs="Calibri"/>
          <w:i/>
          <w:iCs/>
        </w:rPr>
        <w:t>20</w:t>
      </w:r>
      <w:r w:rsidRPr="001E7B6F">
        <w:rPr>
          <w:rFonts w:cs="Calibri"/>
        </w:rPr>
        <w:t>(3), 226–248. https://doi.org/10.1080/10627197.2015.1062087</w:t>
      </w:r>
    </w:p>
    <w:p w14:paraId="7FECD523" w14:textId="77777777" w:rsidR="001E7B6F" w:rsidRPr="001E7B6F" w:rsidRDefault="001E7B6F" w:rsidP="001E7B6F">
      <w:pPr>
        <w:pStyle w:val="Literaturverzeichnis"/>
        <w:rPr>
          <w:rFonts w:cs="Calibri"/>
        </w:rPr>
      </w:pPr>
      <w:r w:rsidRPr="001E7B6F">
        <w:rPr>
          <w:rFonts w:cs="Calibri"/>
        </w:rPr>
        <w:t xml:space="preserve">Grub, A.-S. (2023). </w:t>
      </w:r>
      <w:r w:rsidRPr="001E7B6F">
        <w:rPr>
          <w:rFonts w:cs="Calibri"/>
          <w:i/>
          <w:iCs/>
        </w:rPr>
        <w:t>PRONOEA - Professional vision of novice and expert teachers</w:t>
      </w:r>
      <w:r w:rsidRPr="001E7B6F">
        <w:rPr>
          <w:rFonts w:cs="Calibri"/>
        </w:rPr>
        <w:t xml:space="preserve"> [doctoralThesis, Saarländische Universitäts- und Landesbibliothek]. https://doi.org/10.22028/D291-39788</w:t>
      </w:r>
    </w:p>
    <w:p w14:paraId="3BB9A4F0" w14:textId="77777777" w:rsidR="001E7B6F" w:rsidRPr="001E7B6F" w:rsidRDefault="001E7B6F" w:rsidP="001E7B6F">
      <w:pPr>
        <w:pStyle w:val="Literaturverzeichnis"/>
        <w:rPr>
          <w:rFonts w:cs="Calibri"/>
          <w:lang w:val="de-DE"/>
        </w:rPr>
      </w:pPr>
      <w:r w:rsidRPr="001E7B6F">
        <w:rPr>
          <w:rFonts w:cs="Calibri"/>
          <w:lang w:val="de-DE"/>
        </w:rPr>
        <w:t xml:space="preserve">Grub, A.-S., Biermann, A., &amp; Brünken, R. (2020). </w:t>
      </w:r>
      <w:r w:rsidRPr="001E7B6F">
        <w:rPr>
          <w:rFonts w:cs="Calibri"/>
          <w:i/>
          <w:iCs/>
        </w:rPr>
        <w:t xml:space="preserve">Process-based measurement of professional vision of (prospective) teachers in the field of classroom management. </w:t>
      </w:r>
      <w:r w:rsidRPr="001E7B6F">
        <w:rPr>
          <w:rFonts w:cs="Calibri"/>
          <w:i/>
          <w:iCs/>
          <w:lang w:val="de-DE"/>
        </w:rPr>
        <w:t>A systematic review</w:t>
      </w:r>
      <w:r w:rsidRPr="001E7B6F">
        <w:rPr>
          <w:rFonts w:cs="Calibri"/>
          <w:lang w:val="de-DE"/>
        </w:rPr>
        <w:t>. https://doi.org/10.25656/01:21187</w:t>
      </w:r>
    </w:p>
    <w:p w14:paraId="5BF96387" w14:textId="77777777" w:rsidR="001E7B6F" w:rsidRPr="001E7B6F" w:rsidRDefault="001E7B6F" w:rsidP="001E7B6F">
      <w:pPr>
        <w:pStyle w:val="Literaturverzeichnis"/>
        <w:rPr>
          <w:rFonts w:cs="Calibri"/>
          <w:lang w:val="de-DE"/>
        </w:rPr>
      </w:pPr>
      <w:r w:rsidRPr="001E7B6F">
        <w:rPr>
          <w:rFonts w:cs="Calibri"/>
          <w:lang w:val="de-DE"/>
        </w:rPr>
        <w:lastRenderedPageBreak/>
        <w:t xml:space="preserve">Helmke, A. (2022). </w:t>
      </w:r>
      <w:r w:rsidRPr="001E7B6F">
        <w:rPr>
          <w:rFonts w:cs="Calibri"/>
          <w:i/>
          <w:iCs/>
          <w:lang w:val="de-DE"/>
        </w:rPr>
        <w:t>Unterrichtsqualität und Professionalisierung: Diagnostik von Lehr-Lern-Prozessen und evidenzbasierte Unterrichtsentwicklung</w:t>
      </w:r>
      <w:r w:rsidRPr="001E7B6F">
        <w:rPr>
          <w:rFonts w:cs="Calibri"/>
          <w:lang w:val="de-DE"/>
        </w:rPr>
        <w:t xml:space="preserve"> (1. Auflage). Klett Kallmeyer.</w:t>
      </w:r>
    </w:p>
    <w:p w14:paraId="096C11CE" w14:textId="77777777" w:rsidR="001E7B6F" w:rsidRPr="001E7B6F" w:rsidRDefault="001E7B6F" w:rsidP="001E7B6F">
      <w:pPr>
        <w:pStyle w:val="Literaturverzeichnis"/>
        <w:rPr>
          <w:rFonts w:cs="Calibri"/>
          <w:lang w:val="de-DE"/>
        </w:rPr>
      </w:pPr>
      <w:r w:rsidRPr="001E7B6F">
        <w:rPr>
          <w:rFonts w:cs="Calibri"/>
          <w:lang w:val="de-DE"/>
        </w:rPr>
        <w:t xml:space="preserve">Helmke, A., Schrader, F.-W., Helmke, T., Lenske, G., Pham, G., Praetorius, A.-K., &amp; Ade-Thurow, M. (2013). </w:t>
      </w:r>
      <w:r w:rsidRPr="001E7B6F">
        <w:rPr>
          <w:rFonts w:cs="Calibri"/>
          <w:i/>
          <w:iCs/>
          <w:lang w:val="de-DE"/>
        </w:rPr>
        <w:t>Basisfragebogen EMU - Evidenzbasierte Methoden der Unterrichtsentwicklung</w:t>
      </w:r>
      <w:r w:rsidRPr="001E7B6F">
        <w:rPr>
          <w:rFonts w:cs="Calibri"/>
          <w:lang w:val="de-DE"/>
        </w:rPr>
        <w:t>. Unterrichtsdiagnostik. http://www.unterrichtsdiagnostik.info/downloads/fragebogen/</w:t>
      </w:r>
    </w:p>
    <w:p w14:paraId="11F3C48F" w14:textId="77777777" w:rsidR="001E7B6F" w:rsidRPr="001E7B6F" w:rsidRDefault="001E7B6F" w:rsidP="001E7B6F">
      <w:pPr>
        <w:pStyle w:val="Literaturverzeichnis"/>
        <w:rPr>
          <w:rFonts w:cs="Calibri"/>
        </w:rPr>
      </w:pPr>
      <w:r w:rsidRPr="001E7B6F">
        <w:rPr>
          <w:rFonts w:cs="Calibri"/>
          <w:lang w:val="de-DE"/>
        </w:rPr>
        <w:t xml:space="preserve">Keskin, Ö., Gabel, S., Kollar, I., &amp; Gegenfurtner, A. (2023). </w:t>
      </w:r>
      <w:r w:rsidRPr="001E7B6F">
        <w:rPr>
          <w:rFonts w:cs="Calibri"/>
        </w:rPr>
        <w:t xml:space="preserve">Relations between pre-service teacher gaze, teacher attitude, and student ethnicity. </w:t>
      </w:r>
      <w:r w:rsidRPr="001E7B6F">
        <w:rPr>
          <w:rFonts w:cs="Calibri"/>
          <w:i/>
          <w:iCs/>
        </w:rPr>
        <w:t>Frontiers in Education</w:t>
      </w:r>
      <w:r w:rsidRPr="001E7B6F">
        <w:rPr>
          <w:rFonts w:cs="Calibri"/>
        </w:rPr>
        <w:t xml:space="preserve">, </w:t>
      </w:r>
      <w:r w:rsidRPr="001E7B6F">
        <w:rPr>
          <w:rFonts w:cs="Calibri"/>
          <w:i/>
          <w:iCs/>
        </w:rPr>
        <w:t>8</w:t>
      </w:r>
      <w:r w:rsidRPr="001E7B6F">
        <w:rPr>
          <w:rFonts w:cs="Calibri"/>
        </w:rPr>
        <w:t>. https://doi.org/10.3389/feduc.2023.1272671</w:t>
      </w:r>
    </w:p>
    <w:p w14:paraId="4FC868AE" w14:textId="77777777" w:rsidR="001E7B6F" w:rsidRPr="001E7B6F" w:rsidRDefault="001E7B6F" w:rsidP="001E7B6F">
      <w:pPr>
        <w:pStyle w:val="Literaturverzeichnis"/>
        <w:rPr>
          <w:rFonts w:cs="Calibri"/>
        </w:rPr>
      </w:pPr>
      <w:r w:rsidRPr="001E7B6F">
        <w:rPr>
          <w:rFonts w:cs="Calibri"/>
        </w:rPr>
        <w:t xml:space="preserve">Keskin, Ö., Seidel, T., Stürmer, K., &amp; Gegenfurtner, A. (2024). Eye-tracking research on teacher professional vision: A meta-analytic review. </w:t>
      </w:r>
      <w:r w:rsidRPr="001E7B6F">
        <w:rPr>
          <w:rFonts w:cs="Calibri"/>
          <w:i/>
          <w:iCs/>
        </w:rPr>
        <w:t>Educational Research Review</w:t>
      </w:r>
      <w:r w:rsidRPr="001E7B6F">
        <w:rPr>
          <w:rFonts w:cs="Calibri"/>
        </w:rPr>
        <w:t xml:space="preserve">, </w:t>
      </w:r>
      <w:r w:rsidRPr="001E7B6F">
        <w:rPr>
          <w:rFonts w:cs="Calibri"/>
          <w:i/>
          <w:iCs/>
        </w:rPr>
        <w:t>42</w:t>
      </w:r>
      <w:r w:rsidRPr="001E7B6F">
        <w:rPr>
          <w:rFonts w:cs="Calibri"/>
        </w:rPr>
        <w:t>, 100586. https://doi.org/10.1016/j.edurev.2023.100586</w:t>
      </w:r>
    </w:p>
    <w:p w14:paraId="5664C708" w14:textId="77777777" w:rsidR="001E7B6F" w:rsidRPr="001E7B6F" w:rsidRDefault="001E7B6F" w:rsidP="001E7B6F">
      <w:pPr>
        <w:pStyle w:val="Literaturverzeichnis"/>
        <w:rPr>
          <w:rFonts w:cs="Calibri"/>
          <w:lang w:val="de-DE"/>
        </w:rPr>
      </w:pPr>
      <w:r w:rsidRPr="001E7B6F">
        <w:rPr>
          <w:rFonts w:cs="Calibri"/>
        </w:rPr>
        <w:t xml:space="preserve">Kiel, E., Frey, A., &amp; Weiß, S. (2013). </w:t>
      </w:r>
      <w:r w:rsidRPr="001E7B6F">
        <w:rPr>
          <w:rFonts w:cs="Calibri"/>
          <w:i/>
          <w:iCs/>
          <w:lang w:val="de-DE"/>
        </w:rPr>
        <w:t>Trainingsbuch Klassenführung</w:t>
      </w:r>
      <w:r w:rsidRPr="001E7B6F">
        <w:rPr>
          <w:rFonts w:cs="Calibri"/>
          <w:lang w:val="de-DE"/>
        </w:rPr>
        <w:t>. Verlag Julius Klinkhardt.</w:t>
      </w:r>
    </w:p>
    <w:p w14:paraId="7334665A" w14:textId="77777777" w:rsidR="001E7B6F" w:rsidRPr="001E7B6F" w:rsidRDefault="001E7B6F" w:rsidP="001E7B6F">
      <w:pPr>
        <w:pStyle w:val="Literaturverzeichnis"/>
        <w:rPr>
          <w:rFonts w:cs="Calibri"/>
        </w:rPr>
      </w:pPr>
      <w:r w:rsidRPr="001E7B6F">
        <w:rPr>
          <w:rFonts w:cs="Calibri"/>
        </w:rPr>
        <w:t xml:space="preserve">Kilbury, M., Böhnke, A., Haase, S., &amp; Thiel, F. (2024). The development and validation of a video tool for capturing teachers’ noticing in salient and non-salient classroom disruptions. </w:t>
      </w:r>
      <w:r w:rsidRPr="001E7B6F">
        <w:rPr>
          <w:rFonts w:cs="Calibri"/>
          <w:i/>
          <w:iCs/>
        </w:rPr>
        <w:t>Computers in Human Behavior Reports</w:t>
      </w:r>
      <w:r w:rsidRPr="001E7B6F">
        <w:rPr>
          <w:rFonts w:cs="Calibri"/>
        </w:rPr>
        <w:t xml:space="preserve">, </w:t>
      </w:r>
      <w:r w:rsidRPr="001E7B6F">
        <w:rPr>
          <w:rFonts w:cs="Calibri"/>
          <w:i/>
          <w:iCs/>
        </w:rPr>
        <w:t>16</w:t>
      </w:r>
      <w:r w:rsidRPr="001E7B6F">
        <w:rPr>
          <w:rFonts w:cs="Calibri"/>
        </w:rPr>
        <w:t>, 100481. https://doi.org/10.1016/j.chbr.2024.100481</w:t>
      </w:r>
    </w:p>
    <w:p w14:paraId="3C4792D7" w14:textId="77777777" w:rsidR="001E7B6F" w:rsidRPr="001E7B6F" w:rsidRDefault="001E7B6F" w:rsidP="001E7B6F">
      <w:pPr>
        <w:pStyle w:val="Literaturverzeichnis"/>
        <w:rPr>
          <w:rFonts w:cs="Calibri"/>
          <w:lang w:val="de-DE"/>
        </w:rPr>
      </w:pPr>
      <w:r w:rsidRPr="001E7B6F">
        <w:rPr>
          <w:rFonts w:cs="Calibri"/>
          <w:lang w:val="de-DE"/>
        </w:rPr>
        <w:t xml:space="preserve">Kounin, J. S. (2006). </w:t>
      </w:r>
      <w:r w:rsidRPr="001E7B6F">
        <w:rPr>
          <w:rFonts w:cs="Calibri"/>
          <w:i/>
          <w:iCs/>
          <w:lang w:val="de-DE"/>
        </w:rPr>
        <w:t>Techniken der Klassenführung</w:t>
      </w:r>
      <w:r w:rsidRPr="001E7B6F">
        <w:rPr>
          <w:rFonts w:cs="Calibri"/>
          <w:lang w:val="de-DE"/>
        </w:rPr>
        <w:t>. Waxmann Verlag.</w:t>
      </w:r>
    </w:p>
    <w:p w14:paraId="20D91D98" w14:textId="77777777" w:rsidR="001E7B6F" w:rsidRPr="001E7B6F" w:rsidRDefault="001E7B6F" w:rsidP="001E7B6F">
      <w:pPr>
        <w:pStyle w:val="Literaturverzeichnis"/>
        <w:rPr>
          <w:rFonts w:cs="Calibri"/>
        </w:rPr>
      </w:pPr>
      <w:r w:rsidRPr="001E7B6F">
        <w:rPr>
          <w:rFonts w:cs="Calibri"/>
          <w:lang w:val="de-DE"/>
        </w:rPr>
        <w:t xml:space="preserve">Kraft, M. A., &amp; Monti-Nussbaum, M. (2021). </w:t>
      </w:r>
      <w:r w:rsidRPr="001E7B6F">
        <w:rPr>
          <w:rFonts w:cs="Calibri"/>
        </w:rPr>
        <w:t xml:space="preserve">The Big Problem With Little Interruptions to Classroom Learning. </w:t>
      </w:r>
      <w:r w:rsidRPr="001E7B6F">
        <w:rPr>
          <w:rFonts w:cs="Calibri"/>
          <w:i/>
          <w:iCs/>
        </w:rPr>
        <w:t>AERA Open</w:t>
      </w:r>
      <w:r w:rsidRPr="001E7B6F">
        <w:rPr>
          <w:rFonts w:cs="Calibri"/>
        </w:rPr>
        <w:t xml:space="preserve">, </w:t>
      </w:r>
      <w:r w:rsidRPr="001E7B6F">
        <w:rPr>
          <w:rFonts w:cs="Calibri"/>
          <w:i/>
          <w:iCs/>
        </w:rPr>
        <w:t>7</w:t>
      </w:r>
      <w:r w:rsidRPr="001E7B6F">
        <w:rPr>
          <w:rFonts w:cs="Calibri"/>
        </w:rPr>
        <w:t>, 23328584211028856. https://doi.org/10.1177/23328584211028856</w:t>
      </w:r>
    </w:p>
    <w:p w14:paraId="445121BE" w14:textId="77777777" w:rsidR="001E7B6F" w:rsidRPr="001E7B6F" w:rsidRDefault="001E7B6F" w:rsidP="001E7B6F">
      <w:pPr>
        <w:pStyle w:val="Literaturverzeichnis"/>
        <w:rPr>
          <w:rFonts w:cs="Calibri"/>
          <w:lang w:val="de-DE"/>
        </w:rPr>
      </w:pPr>
      <w:r w:rsidRPr="001E7B6F">
        <w:rPr>
          <w:rFonts w:cs="Calibri"/>
        </w:rPr>
        <w:t xml:space="preserve">Kunter, M., Baumert, J., &amp; Blum, W. (2011). </w:t>
      </w:r>
      <w:r w:rsidRPr="001E7B6F">
        <w:rPr>
          <w:rFonts w:cs="Calibri"/>
          <w:i/>
          <w:iCs/>
          <w:lang w:val="de-DE"/>
        </w:rPr>
        <w:t>Professionelle Kompetenz von Lehrkräften: Ergebnisse des Forschungsprogramms COACTIV</w:t>
      </w:r>
      <w:r w:rsidRPr="001E7B6F">
        <w:rPr>
          <w:rFonts w:cs="Calibri"/>
          <w:lang w:val="de-DE"/>
        </w:rPr>
        <w:t>. Waxmann Verlag.</w:t>
      </w:r>
    </w:p>
    <w:p w14:paraId="77884179" w14:textId="77777777" w:rsidR="001E7B6F" w:rsidRPr="001E7B6F" w:rsidRDefault="001E7B6F" w:rsidP="001E7B6F">
      <w:pPr>
        <w:pStyle w:val="Literaturverzeichnis"/>
        <w:rPr>
          <w:rFonts w:cs="Calibri"/>
        </w:rPr>
      </w:pPr>
      <w:r w:rsidRPr="001E7B6F">
        <w:rPr>
          <w:rFonts w:cs="Calibri"/>
          <w:lang w:val="de-DE"/>
        </w:rPr>
        <w:t xml:space="preserve">Lohmann, G., &amp; Meyer, H. (2003). </w:t>
      </w:r>
      <w:r w:rsidRPr="001E7B6F">
        <w:rPr>
          <w:rFonts w:cs="Calibri"/>
          <w:i/>
          <w:iCs/>
          <w:lang w:val="de-DE"/>
        </w:rPr>
        <w:t>Mit Schülern klarkommen: Professioneller Umgang mit Unterrichtsstörungen und Disziplinkonflikten</w:t>
      </w:r>
      <w:r w:rsidRPr="001E7B6F">
        <w:rPr>
          <w:rFonts w:cs="Calibri"/>
          <w:lang w:val="de-DE"/>
        </w:rPr>
        <w:t xml:space="preserve">. </w:t>
      </w:r>
      <w:r w:rsidRPr="001E7B6F">
        <w:rPr>
          <w:rFonts w:cs="Calibri"/>
        </w:rPr>
        <w:t>Cornelsen-Scriptor.</w:t>
      </w:r>
    </w:p>
    <w:p w14:paraId="4144BBCA" w14:textId="77777777" w:rsidR="001E7B6F" w:rsidRPr="001E7B6F" w:rsidRDefault="001E7B6F" w:rsidP="001E7B6F">
      <w:pPr>
        <w:pStyle w:val="Literaturverzeichnis"/>
        <w:rPr>
          <w:rFonts w:cs="Calibri"/>
        </w:rPr>
      </w:pPr>
      <w:r w:rsidRPr="001E7B6F">
        <w:rPr>
          <w:rFonts w:cs="Calibri"/>
        </w:rPr>
        <w:lastRenderedPageBreak/>
        <w:t xml:space="preserve">Marder, J., Thiel, F., &amp; Göllner, R. (2023). Classroom management and students’ mathematics achievement: The role of students’ disruptive behavior and teacher classroom management. </w:t>
      </w:r>
      <w:r w:rsidRPr="001E7B6F">
        <w:rPr>
          <w:rFonts w:cs="Calibri"/>
          <w:i/>
          <w:iCs/>
        </w:rPr>
        <w:t>Learning and Instruction</w:t>
      </w:r>
      <w:r w:rsidRPr="001E7B6F">
        <w:rPr>
          <w:rFonts w:cs="Calibri"/>
        </w:rPr>
        <w:t xml:space="preserve">, </w:t>
      </w:r>
      <w:r w:rsidRPr="001E7B6F">
        <w:rPr>
          <w:rFonts w:cs="Calibri"/>
          <w:i/>
          <w:iCs/>
        </w:rPr>
        <w:t>86</w:t>
      </w:r>
      <w:r w:rsidRPr="001E7B6F">
        <w:rPr>
          <w:rFonts w:cs="Calibri"/>
        </w:rPr>
        <w:t>, 101746. https://doi.org/10.1016/j.learninstruc.2023.101746</w:t>
      </w:r>
    </w:p>
    <w:p w14:paraId="04E4FF8A" w14:textId="77777777" w:rsidR="001E7B6F" w:rsidRPr="001E7B6F" w:rsidRDefault="001E7B6F" w:rsidP="001E7B6F">
      <w:pPr>
        <w:pStyle w:val="Literaturverzeichnis"/>
        <w:rPr>
          <w:rFonts w:cs="Calibri"/>
        </w:rPr>
      </w:pPr>
      <w:r w:rsidRPr="001E7B6F">
        <w:rPr>
          <w:rFonts w:cs="Calibri"/>
        </w:rPr>
        <w:t xml:space="preserve">Marzano, R. J. (2007). </w:t>
      </w:r>
      <w:r w:rsidRPr="001E7B6F">
        <w:rPr>
          <w:rFonts w:cs="Calibri"/>
          <w:i/>
          <w:iCs/>
        </w:rPr>
        <w:t>The Art and Science of Teaching: A Comprehensive Framework for Effective Instruction</w:t>
      </w:r>
      <w:r w:rsidRPr="001E7B6F">
        <w:rPr>
          <w:rFonts w:cs="Calibri"/>
        </w:rPr>
        <w:t>. ASCD.</w:t>
      </w:r>
    </w:p>
    <w:p w14:paraId="602C0BBA" w14:textId="77777777" w:rsidR="001E7B6F" w:rsidRPr="001E7B6F" w:rsidRDefault="001E7B6F" w:rsidP="001E7B6F">
      <w:pPr>
        <w:pStyle w:val="Literaturverzeichnis"/>
        <w:rPr>
          <w:rFonts w:cs="Calibri"/>
        </w:rPr>
      </w:pPr>
      <w:r w:rsidRPr="001E7B6F">
        <w:rPr>
          <w:rFonts w:cs="Calibri"/>
        </w:rPr>
        <w:t xml:space="preserve">Onkhar, V., Dodou, D., &amp; de Winter, J. C. F. (2024). Evaluating the Tobii Pro Glasses 2 and 3 in static and dynamic conditions. </w:t>
      </w:r>
      <w:r w:rsidRPr="001E7B6F">
        <w:rPr>
          <w:rFonts w:cs="Calibri"/>
          <w:i/>
          <w:iCs/>
        </w:rPr>
        <w:t>Behavior Research Methods</w:t>
      </w:r>
      <w:r w:rsidRPr="001E7B6F">
        <w:rPr>
          <w:rFonts w:cs="Calibri"/>
        </w:rPr>
        <w:t xml:space="preserve">, </w:t>
      </w:r>
      <w:r w:rsidRPr="001E7B6F">
        <w:rPr>
          <w:rFonts w:cs="Calibri"/>
          <w:i/>
          <w:iCs/>
        </w:rPr>
        <w:t>56</w:t>
      </w:r>
      <w:r w:rsidRPr="001E7B6F">
        <w:rPr>
          <w:rFonts w:cs="Calibri"/>
        </w:rPr>
        <w:t>(5), 4221–4238. https://doi.org/10.3758/s13428-023-02173-7</w:t>
      </w:r>
    </w:p>
    <w:p w14:paraId="14CABA10" w14:textId="77777777" w:rsidR="001E7B6F" w:rsidRPr="001E7B6F" w:rsidRDefault="001E7B6F" w:rsidP="001E7B6F">
      <w:pPr>
        <w:pStyle w:val="Literaturverzeichnis"/>
        <w:rPr>
          <w:rFonts w:cs="Calibri"/>
        </w:rPr>
      </w:pPr>
      <w:r w:rsidRPr="001E7B6F">
        <w:rPr>
          <w:rFonts w:cs="Calibri"/>
        </w:rPr>
        <w:t xml:space="preserve">RStudio Team. (2020). </w:t>
      </w:r>
      <w:r w:rsidRPr="001E7B6F">
        <w:rPr>
          <w:rFonts w:cs="Calibri"/>
          <w:i/>
          <w:iCs/>
        </w:rPr>
        <w:t>RStudio: Integrated Development Environment for R</w:t>
      </w:r>
      <w:r w:rsidRPr="001E7B6F">
        <w:rPr>
          <w:rFonts w:cs="Calibri"/>
        </w:rPr>
        <w:t>. RStudio, PBC.</w:t>
      </w:r>
    </w:p>
    <w:p w14:paraId="4050A2F9" w14:textId="77777777" w:rsidR="001E7B6F" w:rsidRPr="001E7B6F" w:rsidRDefault="001E7B6F" w:rsidP="001E7B6F">
      <w:pPr>
        <w:pStyle w:val="Literaturverzeichnis"/>
        <w:rPr>
          <w:rFonts w:cs="Calibri"/>
          <w:lang w:val="de-DE"/>
        </w:rPr>
      </w:pPr>
      <w:r w:rsidRPr="001E7B6F">
        <w:rPr>
          <w:rFonts w:cs="Calibri"/>
          <w:lang w:val="de-DE"/>
        </w:rPr>
        <w:t xml:space="preserve">Rüedi, J. (2014). Zur Bedeutung positive Beziehungen für die Klassenführung und den Umgang mit Unterrichtsstörungen. </w:t>
      </w:r>
      <w:r w:rsidRPr="001E7B6F">
        <w:rPr>
          <w:rFonts w:cs="Calibri"/>
          <w:i/>
          <w:iCs/>
          <w:lang w:val="de-DE"/>
        </w:rPr>
        <w:t>Beziehungen in Schule Und Unterricht. Teil</w:t>
      </w:r>
      <w:r w:rsidRPr="001E7B6F">
        <w:rPr>
          <w:rFonts w:cs="Calibri"/>
          <w:lang w:val="de-DE"/>
        </w:rPr>
        <w:t xml:space="preserve">, </w:t>
      </w:r>
      <w:r w:rsidRPr="001E7B6F">
        <w:rPr>
          <w:rFonts w:cs="Calibri"/>
          <w:i/>
          <w:iCs/>
          <w:lang w:val="de-DE"/>
        </w:rPr>
        <w:t>3</w:t>
      </w:r>
      <w:r w:rsidRPr="001E7B6F">
        <w:rPr>
          <w:rFonts w:cs="Calibri"/>
          <w:lang w:val="de-DE"/>
        </w:rPr>
        <w:t>, 105–126.</w:t>
      </w:r>
    </w:p>
    <w:p w14:paraId="7088F5E8" w14:textId="77777777" w:rsidR="001E7B6F" w:rsidRPr="001E7B6F" w:rsidRDefault="001E7B6F" w:rsidP="001E7B6F">
      <w:pPr>
        <w:pStyle w:val="Literaturverzeichnis"/>
        <w:rPr>
          <w:rFonts w:cs="Calibri"/>
          <w:lang w:val="de-DE"/>
        </w:rPr>
      </w:pPr>
      <w:r w:rsidRPr="001E7B6F">
        <w:rPr>
          <w:rFonts w:cs="Calibri"/>
          <w:lang w:val="de-DE"/>
        </w:rPr>
        <w:t xml:space="preserve">Tobii AB. (2024). </w:t>
      </w:r>
      <w:r w:rsidRPr="001E7B6F">
        <w:rPr>
          <w:rFonts w:cs="Calibri"/>
          <w:i/>
          <w:iCs/>
          <w:lang w:val="de-DE"/>
        </w:rPr>
        <w:t>Tobii Pro Lab User Manual v 24.21</w:t>
      </w:r>
      <w:r w:rsidRPr="001E7B6F">
        <w:rPr>
          <w:rFonts w:cs="Calibri"/>
          <w:lang w:val="de-DE"/>
        </w:rPr>
        <w:t>. https://go.tobii.com/tobii_pro_lab_user_manual</w:t>
      </w:r>
    </w:p>
    <w:p w14:paraId="514EC21C" w14:textId="77777777" w:rsidR="001E7B6F" w:rsidRPr="001E7B6F" w:rsidRDefault="001E7B6F" w:rsidP="001E7B6F">
      <w:pPr>
        <w:pStyle w:val="Literaturverzeichnis"/>
        <w:rPr>
          <w:rFonts w:cs="Calibri"/>
          <w:lang w:val="de-DE"/>
        </w:rPr>
      </w:pPr>
      <w:r w:rsidRPr="001E7B6F">
        <w:rPr>
          <w:rFonts w:cs="Calibri"/>
          <w:lang w:val="de-DE"/>
        </w:rPr>
        <w:t xml:space="preserve">Voss, T., Kunter, M., Seiz, J., Hoehne, V., &amp; Baumert, J. (2014). Die Bedeutung des pädagogisch-psychologischen Wissens von angehenden Lehrkräften für die Unterrichtsqualität. </w:t>
      </w:r>
      <w:r w:rsidRPr="001E7B6F">
        <w:rPr>
          <w:rFonts w:cs="Calibri"/>
          <w:i/>
          <w:iCs/>
          <w:lang w:val="de-DE"/>
        </w:rPr>
        <w:t>Zeitschrift für Pädagogik</w:t>
      </w:r>
      <w:r w:rsidRPr="001E7B6F">
        <w:rPr>
          <w:rFonts w:cs="Calibri"/>
          <w:lang w:val="de-DE"/>
        </w:rPr>
        <w:t xml:space="preserve">, </w:t>
      </w:r>
      <w:r w:rsidRPr="001E7B6F">
        <w:rPr>
          <w:rFonts w:cs="Calibri"/>
          <w:i/>
          <w:iCs/>
          <w:lang w:val="de-DE"/>
        </w:rPr>
        <w:t>60</w:t>
      </w:r>
      <w:r w:rsidRPr="001E7B6F">
        <w:rPr>
          <w:rFonts w:cs="Calibri"/>
          <w:lang w:val="de-DE"/>
        </w:rPr>
        <w:t>(2), 184–201.</w:t>
      </w:r>
    </w:p>
    <w:p w14:paraId="55799DB0" w14:textId="77777777" w:rsidR="001E7B6F" w:rsidRPr="001E7B6F" w:rsidRDefault="001E7B6F" w:rsidP="001E7B6F">
      <w:pPr>
        <w:pStyle w:val="Literaturverzeichnis"/>
        <w:rPr>
          <w:rFonts w:cs="Calibri"/>
          <w:lang w:val="de-DE"/>
        </w:rPr>
      </w:pPr>
      <w:r w:rsidRPr="001E7B6F">
        <w:rPr>
          <w:rFonts w:cs="Calibri"/>
          <w:lang w:val="de-DE"/>
        </w:rPr>
        <w:t xml:space="preserve">Wickham, H. (2016). </w:t>
      </w:r>
      <w:r w:rsidRPr="001E7B6F">
        <w:rPr>
          <w:rFonts w:cs="Calibri"/>
          <w:i/>
          <w:iCs/>
          <w:lang w:val="de-DE"/>
        </w:rPr>
        <w:t>ggplot2: Elegant Graphics for Data Analysis</w:t>
      </w:r>
      <w:r w:rsidRPr="001E7B6F">
        <w:rPr>
          <w:rFonts w:cs="Calibri"/>
          <w:lang w:val="de-DE"/>
        </w:rPr>
        <w:t>. Springer-Verlag New York. https://doi.org/10.1007/978-0-387-98141-3</w:t>
      </w:r>
    </w:p>
    <w:p w14:paraId="35A349E5" w14:textId="77777777" w:rsidR="001E7B6F" w:rsidRPr="001E7B6F" w:rsidRDefault="001E7B6F" w:rsidP="001E7B6F">
      <w:pPr>
        <w:pStyle w:val="Literaturverzeichnis"/>
        <w:rPr>
          <w:rFonts w:cs="Calibri"/>
          <w:lang w:val="de-DE"/>
        </w:rPr>
      </w:pPr>
      <w:r w:rsidRPr="001E7B6F">
        <w:rPr>
          <w:rFonts w:cs="Calibri"/>
          <w:lang w:val="de-DE"/>
        </w:rPr>
        <w:t xml:space="preserve">Yamamoto, T., &amp; Imai-Matsumura, K. (2013). </w:t>
      </w:r>
      <w:r w:rsidRPr="001E7B6F">
        <w:rPr>
          <w:rFonts w:cs="Calibri"/>
        </w:rPr>
        <w:t xml:space="preserve">Teachers’ Gaze and Awareness of Students’ Behavior: Using An Eye Tracker. </w:t>
      </w:r>
      <w:r w:rsidRPr="001E7B6F">
        <w:rPr>
          <w:rFonts w:cs="Calibri"/>
          <w:i/>
          <w:iCs/>
          <w:lang w:val="de-DE"/>
        </w:rPr>
        <w:t>Comprehensive Psychology</w:t>
      </w:r>
      <w:r w:rsidRPr="001E7B6F">
        <w:rPr>
          <w:rFonts w:cs="Calibri"/>
          <w:lang w:val="de-DE"/>
        </w:rPr>
        <w:t xml:space="preserve">, </w:t>
      </w:r>
      <w:r w:rsidRPr="001E7B6F">
        <w:rPr>
          <w:rFonts w:cs="Calibri"/>
          <w:i/>
          <w:iCs/>
          <w:lang w:val="de-DE"/>
        </w:rPr>
        <w:t>2</w:t>
      </w:r>
      <w:r w:rsidRPr="001E7B6F">
        <w:rPr>
          <w:rFonts w:cs="Calibri"/>
          <w:lang w:val="de-DE"/>
        </w:rPr>
        <w:t>, 01.IT.2.6. https://doi.org/10.2466/01.IT.2.6</w:t>
      </w:r>
    </w:p>
    <w:p w14:paraId="5456B1AE" w14:textId="77777777" w:rsidR="001E7B6F" w:rsidRPr="001E7B6F" w:rsidRDefault="001E7B6F" w:rsidP="001E7B6F">
      <w:pPr>
        <w:pStyle w:val="Literaturverzeichnis"/>
        <w:rPr>
          <w:rFonts w:cs="Calibri"/>
          <w:lang w:val="de-DE"/>
        </w:rPr>
      </w:pPr>
      <w:r w:rsidRPr="001E7B6F">
        <w:rPr>
          <w:rFonts w:cs="Calibri"/>
          <w:lang w:val="de-DE"/>
        </w:rPr>
        <w:t xml:space="preserve">Zierer, K. (2015). </w:t>
      </w:r>
      <w:r w:rsidRPr="001E7B6F">
        <w:rPr>
          <w:rFonts w:cs="Calibri"/>
          <w:i/>
          <w:iCs/>
          <w:lang w:val="de-DE"/>
        </w:rPr>
        <w:t>Jahrbuch für Allgemeine Didaktik 2015: Thementeil: Klassenmanagement / Klassenführung - Perspektiven, Befunde, Kontroversen</w:t>
      </w:r>
      <w:r w:rsidRPr="001E7B6F">
        <w:rPr>
          <w:rFonts w:cs="Calibri"/>
          <w:lang w:val="de-DE"/>
        </w:rPr>
        <w:t>. wbv Media GmbH &amp; Company KG.</w:t>
      </w:r>
    </w:p>
    <w:p w14:paraId="4CCAF52A" w14:textId="05DFC4C1"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1"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2"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3"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4" w:author="Deiglmayr, Anne" w:date="2025-04-01T12:33:00Z" w:initials="DA">
    <w:p w14:paraId="5D398EEE" w14:textId="41BC69F9" w:rsidR="0036594D" w:rsidRPr="00742DB8" w:rsidRDefault="0036594D">
      <w:pPr>
        <w:pStyle w:val="Kommentartext"/>
        <w:rPr>
          <w:lang w:val="de-DE"/>
        </w:rPr>
      </w:pPr>
      <w:r>
        <w:rPr>
          <w:rStyle w:val="Kommentarzeichen"/>
        </w:rPr>
        <w:annotationRef/>
      </w:r>
      <w:r w:rsidRPr="00742DB8">
        <w:rPr>
          <w:lang w:val="de-DE"/>
        </w:rPr>
        <w:t xml:space="preserve">Worin besteht der </w:t>
      </w:r>
      <w:proofErr w:type="spellStart"/>
      <w:r w:rsidRPr="00742DB8">
        <w:rPr>
          <w:lang w:val="de-DE"/>
        </w:rPr>
        <w:t>cycle</w:t>
      </w:r>
      <w:proofErr w:type="spellEnd"/>
      <w:r w:rsidRPr="00742DB8">
        <w:rPr>
          <w:lang w:val="de-DE"/>
        </w:rPr>
        <w:t>?</w:t>
      </w:r>
    </w:p>
  </w:comment>
  <w:comment w:id="5" w:author="Deiglmayr, Anne" w:date="2025-04-01T12:32:00Z" w:initials="DA">
    <w:p w14:paraId="153C1FF0" w14:textId="77777777" w:rsidR="001A712A" w:rsidRPr="0036594D" w:rsidRDefault="001A712A" w:rsidP="001A712A">
      <w:pPr>
        <w:pStyle w:val="Kommentartext"/>
        <w:rPr>
          <w:lang w:val="de-DE"/>
        </w:rPr>
      </w:pPr>
      <w:r>
        <w:rPr>
          <w:rStyle w:val="Kommentarzeichen"/>
        </w:rPr>
        <w:annotationRef/>
      </w:r>
      <w:r w:rsidRPr="0036594D">
        <w:rPr>
          <w:lang w:val="de-DE"/>
        </w:rPr>
        <w:t>Ich würde es hier e</w:t>
      </w:r>
      <w:r>
        <w:rPr>
          <w:lang w:val="de-DE"/>
        </w:rPr>
        <w:t xml:space="preserve">in paar Ebenen tiefer hängen und möglichst auf den konkreten </w:t>
      </w:r>
      <w:proofErr w:type="spellStart"/>
      <w:r>
        <w:rPr>
          <w:lang w:val="de-DE"/>
        </w:rPr>
        <w:t>skill</w:t>
      </w:r>
      <w:proofErr w:type="spellEnd"/>
      <w:r>
        <w:rPr>
          <w:lang w:val="de-DE"/>
        </w:rPr>
        <w:t xml:space="preserve">, nämlich </w:t>
      </w:r>
      <w:proofErr w:type="spellStart"/>
      <w:r>
        <w:rPr>
          <w:lang w:val="de-DE"/>
        </w:rPr>
        <w:t>classroom</w:t>
      </w:r>
      <w:proofErr w:type="spellEnd"/>
      <w:r>
        <w:rPr>
          <w:lang w:val="de-DE"/>
        </w:rPr>
        <w:t xml:space="preserve"> </w:t>
      </w:r>
      <w:proofErr w:type="spellStart"/>
      <w:r>
        <w:rPr>
          <w:lang w:val="de-DE"/>
        </w:rPr>
        <w:t>disruption</w:t>
      </w:r>
      <w:proofErr w:type="spellEnd"/>
      <w:r>
        <w:rPr>
          <w:lang w:val="de-DE"/>
        </w:rPr>
        <w:t xml:space="preserve"> </w:t>
      </w:r>
      <w:proofErr w:type="spellStart"/>
      <w:r>
        <w:rPr>
          <w:lang w:val="de-DE"/>
        </w:rPr>
        <w:t>management</w:t>
      </w:r>
      <w:proofErr w:type="spellEnd"/>
      <w:r>
        <w:rPr>
          <w:lang w:val="de-DE"/>
        </w:rPr>
        <w:t>, beziehen. Gerne mit konkreten Beispielen.</w:t>
      </w:r>
    </w:p>
  </w:comment>
  <w:comment w:id="6" w:author="Deiglmayr, Anne" w:date="2025-04-01T12:34:00Z" w:initials="DA">
    <w:p w14:paraId="566D531A" w14:textId="13E3298E" w:rsidR="0036594D" w:rsidRPr="0036594D" w:rsidRDefault="0036594D">
      <w:pPr>
        <w:pStyle w:val="Kommentartext"/>
        <w:rPr>
          <w:lang w:val="de-DE"/>
        </w:rPr>
      </w:pPr>
      <w:r>
        <w:rPr>
          <w:rStyle w:val="Kommentarzeichen"/>
        </w:rPr>
        <w:annotationRef/>
      </w:r>
      <w:r w:rsidRPr="0036594D">
        <w:rPr>
          <w:lang w:val="de-DE"/>
        </w:rPr>
        <w:t>Das führt zu weit weg v</w:t>
      </w:r>
      <w:r>
        <w:rPr>
          <w:lang w:val="de-DE"/>
        </w:rPr>
        <w:t>om Umgang mit Störungen</w:t>
      </w:r>
    </w:p>
  </w:comment>
  <w:comment w:id="7" w:author="Deiglmayr, Anne" w:date="2025-04-01T12:35:00Z" w:initials="DA">
    <w:p w14:paraId="36AAD758" w14:textId="09581E0F" w:rsidR="0036594D" w:rsidRPr="0036594D" w:rsidRDefault="0036594D">
      <w:pPr>
        <w:pStyle w:val="Kommentartext"/>
        <w:rPr>
          <w:lang w:val="de-DE"/>
        </w:rPr>
      </w:pPr>
      <w:r>
        <w:rPr>
          <w:rStyle w:val="Kommentarzeichen"/>
        </w:rPr>
        <w:annotationRef/>
      </w:r>
      <w:r w:rsidRPr="0036594D">
        <w:rPr>
          <w:lang w:val="de-DE"/>
        </w:rPr>
        <w:t>Das pa</w:t>
      </w:r>
      <w:r>
        <w:rPr>
          <w:lang w:val="de-DE"/>
        </w:rPr>
        <w:t>s</w:t>
      </w:r>
      <w:r w:rsidRPr="0036594D">
        <w:rPr>
          <w:lang w:val="de-DE"/>
        </w:rPr>
        <w:t>st alles nicht s</w:t>
      </w:r>
      <w:r>
        <w:rPr>
          <w:lang w:val="de-DE"/>
        </w:rPr>
        <w:t xml:space="preserve">o gut zu deinem Fokus auf die Reaktion auf Störungen, würde ich hier weglassen. </w:t>
      </w:r>
    </w:p>
  </w:comment>
  <w:comment w:id="8" w:author="Deiglmayr, Anne" w:date="2025-04-01T12:34:00Z" w:initials="DA">
    <w:p w14:paraId="0CBDE7DC" w14:textId="426EFB48" w:rsidR="0036594D" w:rsidRPr="0036594D" w:rsidRDefault="0036594D">
      <w:pPr>
        <w:pStyle w:val="Kommentartext"/>
        <w:rPr>
          <w:lang w:val="de-DE"/>
        </w:rPr>
      </w:pPr>
      <w:r>
        <w:rPr>
          <w:rStyle w:val="Kommentarzeichen"/>
        </w:rPr>
        <w:annotationRef/>
      </w:r>
      <w:r w:rsidRPr="0036594D">
        <w:rPr>
          <w:lang w:val="de-DE"/>
        </w:rPr>
        <w:t xml:space="preserve">Achtung, das ist eher noch </w:t>
      </w:r>
      <w:proofErr w:type="spellStart"/>
      <w:r w:rsidRPr="0036594D">
        <w:rPr>
          <w:lang w:val="de-DE"/>
        </w:rPr>
        <w:t>n</w:t>
      </w:r>
      <w:r>
        <w:rPr>
          <w:lang w:val="de-DE"/>
        </w:rPr>
        <w:t>oticing</w:t>
      </w:r>
      <w:proofErr w:type="spellEnd"/>
      <w:r>
        <w:rPr>
          <w:lang w:val="de-DE"/>
        </w:rPr>
        <w:t>….</w:t>
      </w:r>
    </w:p>
  </w:comment>
  <w:comment w:id="9" w:author="Deiglmayr, Anne" w:date="2025-04-01T12:36:00Z" w:initials="DA">
    <w:p w14:paraId="1485EAE9" w14:textId="24DD24B0" w:rsidR="0036594D" w:rsidRPr="0036594D" w:rsidRDefault="0036594D">
      <w:pPr>
        <w:pStyle w:val="Kommentartext"/>
        <w:rPr>
          <w:lang w:val="de-DE"/>
        </w:rPr>
      </w:pPr>
      <w:r>
        <w:rPr>
          <w:rStyle w:val="Kommentarzeichen"/>
        </w:rPr>
        <w:annotationRef/>
      </w:r>
      <w:r w:rsidRPr="0036594D">
        <w:rPr>
          <w:lang w:val="de-DE"/>
        </w:rPr>
        <w:t>Was dagegen fehlt sind ein p</w:t>
      </w:r>
      <w:r>
        <w:rPr>
          <w:lang w:val="de-DE"/>
        </w:rPr>
        <w:t xml:space="preserve">aar Beispiele dafür, wie eine effektive Reaktion auf Störungen aussehen könnte. Da ist dann auch ein guter Ort, um auch </w:t>
      </w:r>
      <w:proofErr w:type="gramStart"/>
      <w:r>
        <w:rPr>
          <w:lang w:val="de-DE"/>
        </w:rPr>
        <w:t>auf die kognitiven und emotionalen Reaktion</w:t>
      </w:r>
      <w:proofErr w:type="gramEnd"/>
      <w:r>
        <w:rPr>
          <w:lang w:val="de-DE"/>
        </w:rPr>
        <w:t xml:space="preserve"> und </w:t>
      </w:r>
      <w:proofErr w:type="spellStart"/>
      <w:r>
        <w:rPr>
          <w:lang w:val="de-DE"/>
        </w:rPr>
        <w:t>emotion</w:t>
      </w:r>
      <w:proofErr w:type="spellEnd"/>
      <w:r>
        <w:rPr>
          <w:lang w:val="de-DE"/>
        </w:rPr>
        <w:t xml:space="preserve"> </w:t>
      </w:r>
      <w:proofErr w:type="spellStart"/>
      <w:r>
        <w:rPr>
          <w:lang w:val="de-DE"/>
        </w:rPr>
        <w:t>regulation</w:t>
      </w:r>
      <w:proofErr w:type="spellEnd"/>
      <w:r>
        <w:rPr>
          <w:lang w:val="de-DE"/>
        </w:rPr>
        <w:t xml:space="preserve"> der </w:t>
      </w:r>
      <w:proofErr w:type="spellStart"/>
      <w:r>
        <w:rPr>
          <w:lang w:val="de-DE"/>
        </w:rPr>
        <w:t>teacher</w:t>
      </w:r>
      <w:proofErr w:type="spellEnd"/>
      <w:r>
        <w:rPr>
          <w:lang w:val="de-DE"/>
        </w:rPr>
        <w:t xml:space="preserve"> einzugehen (</w:t>
      </w:r>
      <w:r w:rsidRPr="0036594D">
        <w:rPr>
          <w:lang w:val="de-DE"/>
        </w:rPr>
        <w:sym w:font="Wingdings" w:char="F0E0"/>
      </w:r>
      <w:r>
        <w:rPr>
          <w:lang w:val="de-DE"/>
        </w:rPr>
        <w:t xml:space="preserve"> Vorbereitung </w:t>
      </w:r>
      <w:proofErr w:type="spellStart"/>
      <w:r>
        <w:rPr>
          <w:lang w:val="de-DE"/>
        </w:rPr>
        <w:t>disruptiveness</w:t>
      </w:r>
      <w:proofErr w:type="spellEnd"/>
      <w:r>
        <w:rPr>
          <w:lang w:val="de-DE"/>
        </w:rPr>
        <w:t xml:space="preserve"> </w:t>
      </w:r>
      <w:proofErr w:type="spellStart"/>
      <w:r>
        <w:rPr>
          <w:lang w:val="de-DE"/>
        </w:rPr>
        <w:t>ratung</w:t>
      </w:r>
      <w:proofErr w:type="spellEnd"/>
      <w:r>
        <w:rPr>
          <w:lang w:val="de-DE"/>
        </w:rPr>
        <w:t>…)</w:t>
      </w:r>
    </w:p>
  </w:comment>
  <w:comment w:id="11" w:author="Deiglmayr, Anne" w:date="2025-04-01T12:40:00Z" w:initials="DA">
    <w:p w14:paraId="37B3E6D8" w14:textId="38D527DB" w:rsidR="0036594D" w:rsidRPr="0036594D" w:rsidRDefault="0036594D">
      <w:pPr>
        <w:pStyle w:val="Kommentartext"/>
        <w:rPr>
          <w:lang w:val="de-DE"/>
        </w:rPr>
      </w:pPr>
      <w:r>
        <w:rPr>
          <w:rStyle w:val="Kommentarzeichen"/>
        </w:rPr>
        <w:annotationRef/>
      </w:r>
      <w:r w:rsidRPr="0036594D">
        <w:rPr>
          <w:lang w:val="de-DE"/>
        </w:rPr>
        <w:t xml:space="preserve">Im Titel </w:t>
      </w:r>
      <w:proofErr w:type="spellStart"/>
      <w:r w:rsidRPr="0036594D">
        <w:rPr>
          <w:lang w:val="de-DE"/>
        </w:rPr>
        <w:t>wpürde</w:t>
      </w:r>
      <w:proofErr w:type="spellEnd"/>
      <w:r w:rsidRPr="0036594D">
        <w:rPr>
          <w:lang w:val="de-DE"/>
        </w:rPr>
        <w:t xml:space="preserve"> ich v</w:t>
      </w:r>
      <w:r>
        <w:rPr>
          <w:lang w:val="de-DE"/>
        </w:rPr>
        <w:t xml:space="preserve">on Classroom </w:t>
      </w:r>
      <w:proofErr w:type="spellStart"/>
      <w:r>
        <w:rPr>
          <w:lang w:val="de-DE"/>
        </w:rPr>
        <w:t>disruotion</w:t>
      </w:r>
      <w:proofErr w:type="spellEnd"/>
      <w:r>
        <w:rPr>
          <w:lang w:val="de-DE"/>
        </w:rPr>
        <w:t xml:space="preserve"> </w:t>
      </w:r>
      <w:proofErr w:type="spellStart"/>
      <w:r>
        <w:rPr>
          <w:lang w:val="de-DE"/>
        </w:rPr>
        <w:t>mananagment</w:t>
      </w:r>
      <w:proofErr w:type="spellEnd"/>
      <w:r>
        <w:rPr>
          <w:lang w:val="de-DE"/>
        </w:rPr>
        <w:t xml:space="preserve"> sprechen, und im </w:t>
      </w:r>
      <w:proofErr w:type="spellStart"/>
      <w:r>
        <w:rPr>
          <w:lang w:val="de-DE"/>
        </w:rPr>
        <w:t>text</w:t>
      </w:r>
      <w:proofErr w:type="spellEnd"/>
      <w:r>
        <w:rPr>
          <w:lang w:val="de-DE"/>
        </w:rPr>
        <w:t xml:space="preserve"> </w:t>
      </w:r>
      <w:proofErr w:type="gramStart"/>
      <w:r>
        <w:rPr>
          <w:lang w:val="de-DE"/>
        </w:rPr>
        <w:t>dann</w:t>
      </w:r>
      <w:proofErr w:type="gramEnd"/>
      <w:r>
        <w:rPr>
          <w:lang w:val="de-DE"/>
        </w:rPr>
        <w:t xml:space="preserve"> wenn nötig den </w:t>
      </w:r>
      <w:proofErr w:type="spellStart"/>
      <w:r>
        <w:rPr>
          <w:lang w:val="de-DE"/>
        </w:rPr>
        <w:t>bezug</w:t>
      </w:r>
      <w:proofErr w:type="spellEnd"/>
      <w:r>
        <w:rPr>
          <w:lang w:val="de-DE"/>
        </w:rPr>
        <w:t xml:space="preserve"> klären (</w:t>
      </w:r>
      <w:proofErr w:type="spellStart"/>
      <w:r>
        <w:rPr>
          <w:lang w:val="de-DE"/>
        </w:rPr>
        <w:t>teilaspekt</w:t>
      </w:r>
      <w:proofErr w:type="spellEnd"/>
      <w:r>
        <w:rPr>
          <w:lang w:val="de-DE"/>
        </w:rPr>
        <w:t xml:space="preserve">, teilweise wird auch </w:t>
      </w:r>
      <w:proofErr w:type="spellStart"/>
      <w:r>
        <w:rPr>
          <w:lang w:val="de-DE"/>
        </w:rPr>
        <w:t>Forshcung</w:t>
      </w:r>
      <w:proofErr w:type="spellEnd"/>
      <w:r>
        <w:rPr>
          <w:lang w:val="de-DE"/>
        </w:rPr>
        <w:t xml:space="preserve"> zur übergeordneten Kompetenz berichtet…)</w:t>
      </w:r>
    </w:p>
  </w:comment>
  <w:comment w:id="10" w:author="Deiglmayr, Anne" w:date="2025-04-01T12:38:00Z" w:initials="DA">
    <w:p w14:paraId="23AA9143" w14:textId="6CA60252"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proofErr w:type="spellStart"/>
      <w:r>
        <w:rPr>
          <w:lang w:val="de-DE"/>
        </w:rPr>
        <w:t>Stduie</w:t>
      </w:r>
      <w:proofErr w:type="spellEnd"/>
      <w:r>
        <w:rPr>
          <w:lang w:val="de-DE"/>
        </w:rPr>
        <w:t xml:space="preserve"> ist nicht </w:t>
      </w:r>
      <w:proofErr w:type="spellStart"/>
      <w:r>
        <w:rPr>
          <w:lang w:val="de-DE"/>
        </w:rPr>
        <w:t>sis</w:t>
      </w:r>
      <w:proofErr w:type="spellEnd"/>
      <w:r>
        <w:rPr>
          <w:lang w:val="de-DE"/>
        </w:rPr>
        <w:t xml:space="preserve"> ehr </w:t>
      </w:r>
      <w:proofErr w:type="spellStart"/>
      <w:r>
        <w:rPr>
          <w:lang w:val="de-DE"/>
        </w:rPr>
        <w:t>methodsich</w:t>
      </w:r>
      <w:proofErr w:type="spellEnd"/>
      <w:r>
        <w:rPr>
          <w:lang w:val="de-DE"/>
        </w:rPr>
        <w:t xml:space="preserve">, dass wir hier v.a. auf den Assessment </w:t>
      </w:r>
      <w:proofErr w:type="spellStart"/>
      <w:r>
        <w:rPr>
          <w:lang w:val="de-DE"/>
        </w:rPr>
        <w:t>Asopekt</w:t>
      </w:r>
      <w:proofErr w:type="spellEnd"/>
      <w:r>
        <w:rPr>
          <w:lang w:val="de-DE"/>
        </w:rPr>
        <w:t xml:space="preserve"> </w:t>
      </w:r>
      <w:proofErr w:type="spellStart"/>
      <w:r>
        <w:rPr>
          <w:lang w:val="de-DE"/>
        </w:rPr>
        <w:t>eineghen</w:t>
      </w:r>
      <w:proofErr w:type="spellEnd"/>
      <w:r>
        <w:rPr>
          <w:lang w:val="de-DE"/>
        </w:rPr>
        <w:t xml:space="preserve"> sollten.</w:t>
      </w:r>
    </w:p>
  </w:comment>
  <w:comment w:id="12"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13"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14" w:author="Deiglmayr, Anne" w:date="2025-04-01T13:27:00Z" w:initials="DA">
    <w:p w14:paraId="0B19FBBF" w14:textId="7AEC31A3" w:rsidR="00497187" w:rsidRPr="00497187" w:rsidRDefault="00497187">
      <w:pPr>
        <w:pStyle w:val="Kommentartext"/>
        <w:rPr>
          <w:lang w:val="de-DE"/>
        </w:rPr>
      </w:pPr>
      <w:r>
        <w:rPr>
          <w:rStyle w:val="Kommentarzeichen"/>
        </w:rPr>
        <w:annotationRef/>
      </w:r>
      <w:r w:rsidRPr="00497187">
        <w:rPr>
          <w:lang w:val="de-DE"/>
        </w:rPr>
        <w:t xml:space="preserve">Wenn möglich, </w:t>
      </w:r>
      <w:proofErr w:type="spellStart"/>
      <w:r w:rsidRPr="00497187">
        <w:rPr>
          <w:lang w:val="de-DE"/>
        </w:rPr>
        <w:t>heir</w:t>
      </w:r>
      <w:proofErr w:type="spellEnd"/>
      <w:r w:rsidRPr="00497187">
        <w:rPr>
          <w:lang w:val="de-DE"/>
        </w:rPr>
        <w:t xml:space="preserve"> mit den </w:t>
      </w:r>
      <w:proofErr w:type="spellStart"/>
      <w:r w:rsidRPr="00497187">
        <w:rPr>
          <w:lang w:val="de-DE"/>
        </w:rPr>
        <w:t>E</w:t>
      </w:r>
      <w:r>
        <w:rPr>
          <w:lang w:val="de-DE"/>
        </w:rPr>
        <w:t>xpertiseunterscheiden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15" w:author="Deiglmayr, Anne" w:date="2025-04-01T13:31:00Z" w:initials="DA">
    <w:p w14:paraId="16C5FD19" w14:textId="39A39E04" w:rsidR="00497187" w:rsidRPr="00497187" w:rsidRDefault="00497187">
      <w:pPr>
        <w:pStyle w:val="Kommentartext"/>
        <w:rPr>
          <w:lang w:val="de-DE"/>
        </w:rPr>
      </w:pPr>
      <w:r>
        <w:rPr>
          <w:rStyle w:val="Kommentarzeichen"/>
        </w:rPr>
        <w:annotationRef/>
      </w:r>
      <w:r w:rsidRPr="00497187">
        <w:rPr>
          <w:lang w:val="de-DE"/>
        </w:rPr>
        <w:t>…das ist aber doch auch “</w:t>
      </w:r>
      <w:proofErr w:type="spellStart"/>
      <w:r>
        <w:rPr>
          <w:lang w:val="de-DE"/>
        </w:rPr>
        <w:t>fixation-based</w:t>
      </w:r>
      <w:proofErr w:type="spellEnd"/>
      <w:r>
        <w:rPr>
          <w:lang w:val="de-DE"/>
        </w:rPr>
        <w:t>“?</w:t>
      </w:r>
    </w:p>
  </w:comment>
  <w:comment w:id="16"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E9B717" w15:done="1"/>
  <w15:commentEx w15:paraId="2F079F01" w15:paraIdParent="38E9B717" w15:done="1"/>
  <w15:commentEx w15:paraId="65895943" w15:done="1"/>
  <w15:commentEx w15:paraId="3106B015" w15:done="1"/>
  <w15:commentEx w15:paraId="5D398EEE" w15:done="1"/>
  <w15:commentEx w15:paraId="153C1FF0" w15:done="0"/>
  <w15:commentEx w15:paraId="566D531A" w15:done="0"/>
  <w15:commentEx w15:paraId="36AAD758" w15:done="0"/>
  <w15:commentEx w15:paraId="0CBDE7DC" w15:done="0"/>
  <w15:commentEx w15:paraId="1485EAE9" w15:done="0"/>
  <w15:commentEx w15:paraId="37B3E6D8" w15:done="0"/>
  <w15:commentEx w15:paraId="23AA9143" w15:done="0"/>
  <w15:commentEx w15:paraId="29E16238" w15:done="0"/>
  <w15:commentEx w15:paraId="3161A2E5" w15:done="0"/>
  <w15:commentEx w15:paraId="0B19FBBF" w15:done="0"/>
  <w15:commentEx w15:paraId="16C5FD19" w15:done="0"/>
  <w15:commentEx w15:paraId="6B3EA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65CD6" w16cex:dateUtc="2025-04-01T10:38:00Z"/>
  <w16cex:commentExtensible w16cex:durableId="2B979DA8" w16cex:dateUtc="2025-04-02T09:27:00Z"/>
  <w16cex:commentExtensible w16cex:durableId="2B9658CC" w16cex:dateUtc="2025-04-01T10:21:00Z"/>
  <w16cex:commentExtensible w16cex:durableId="2B965B1D" w16cex:dateUtc="2025-04-01T10:31:00Z"/>
  <w16cex:commentExtensible w16cex:durableId="2B965B99" w16cex:dateUtc="2025-04-01T10:33:00Z"/>
  <w16cex:commentExtensible w16cex:durableId="2B965B45" w16cex:dateUtc="2025-04-01T10:32:00Z"/>
  <w16cex:commentExtensible w16cex:durableId="2B965BD3" w16cex:dateUtc="2025-04-01T10:34:00Z"/>
  <w16cex:commentExtensible w16cex:durableId="2B965C00" w16cex:dateUtc="2025-04-01T10:35:00Z"/>
  <w16cex:commentExtensible w16cex:durableId="2B965BEA" w16cex:dateUtc="2025-04-01T10:34:00Z"/>
  <w16cex:commentExtensible w16cex:durableId="2B965C3C" w16cex:dateUtc="2025-04-01T10:36: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6690A" w16cex:dateUtc="2025-04-01T11:30:00Z"/>
  <w16cex:commentExtensible w16cex:durableId="2B966854" w16cex:dateUtc="2025-04-01T11:27:00Z"/>
  <w16cex:commentExtensible w16cex:durableId="2B966935" w16cex:dateUtc="2025-04-01T11:31:00Z"/>
  <w16cex:commentExtensible w16cex:durableId="2B966A63" w16cex:dateUtc="2025-04-01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E9B717" w16cid:durableId="2B965CD6"/>
  <w16cid:commentId w16cid:paraId="2F079F01" w16cid:durableId="2B979DA8"/>
  <w16cid:commentId w16cid:paraId="65895943" w16cid:durableId="2B9658CC"/>
  <w16cid:commentId w16cid:paraId="3106B015" w16cid:durableId="2B965B1D"/>
  <w16cid:commentId w16cid:paraId="5D398EEE" w16cid:durableId="2B965B99"/>
  <w16cid:commentId w16cid:paraId="153C1FF0" w16cid:durableId="2B965B45"/>
  <w16cid:commentId w16cid:paraId="566D531A" w16cid:durableId="2B965BD3"/>
  <w16cid:commentId w16cid:paraId="36AAD758" w16cid:durableId="2B965C00"/>
  <w16cid:commentId w16cid:paraId="0CBDE7DC" w16cid:durableId="2B965BEA"/>
  <w16cid:commentId w16cid:paraId="1485EAE9" w16cid:durableId="2B965C3C"/>
  <w16cid:commentId w16cid:paraId="37B3E6D8" w16cid:durableId="2B965D58"/>
  <w16cid:commentId w16cid:paraId="23AA9143" w16cid:durableId="2B965CB1"/>
  <w16cid:commentId w16cid:paraId="29E16238" w16cid:durableId="2B966775"/>
  <w16cid:commentId w16cid:paraId="3161A2E5" w16cid:durableId="2B96690A"/>
  <w16cid:commentId w16cid:paraId="0B19FBBF" w16cid:durableId="2B966854"/>
  <w16cid:commentId w16cid:paraId="16C5FD19" w16cid:durableId="2B966935"/>
  <w16cid:commentId w16cid:paraId="6B3EA9E5" w16cid:durableId="2B966A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365F" w14:textId="77777777" w:rsidR="00142E76" w:rsidRDefault="00142E76" w:rsidP="00E102C3">
      <w:r>
        <w:separator/>
      </w:r>
    </w:p>
    <w:p w14:paraId="323BB494" w14:textId="77777777" w:rsidR="00142E76" w:rsidRDefault="00142E76" w:rsidP="00E102C3"/>
  </w:endnote>
  <w:endnote w:type="continuationSeparator" w:id="0">
    <w:p w14:paraId="76D4D735" w14:textId="77777777" w:rsidR="00142E76" w:rsidRDefault="00142E76" w:rsidP="00E102C3">
      <w:r>
        <w:continuationSeparator/>
      </w:r>
    </w:p>
    <w:p w14:paraId="5E5101F7" w14:textId="77777777" w:rsidR="00142E76" w:rsidRDefault="00142E76" w:rsidP="00E102C3"/>
  </w:endnote>
  <w:endnote w:type="continuationNotice" w:id="1">
    <w:p w14:paraId="7F75ACE9" w14:textId="77777777" w:rsidR="00142E76" w:rsidRDefault="00142E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1B9A" w14:textId="77777777" w:rsidR="00142E76" w:rsidRDefault="00142E76" w:rsidP="00E102C3">
      <w:r>
        <w:separator/>
      </w:r>
    </w:p>
    <w:p w14:paraId="43EAA8C7" w14:textId="77777777" w:rsidR="00142E76" w:rsidRDefault="00142E76" w:rsidP="00E102C3"/>
  </w:footnote>
  <w:footnote w:type="continuationSeparator" w:id="0">
    <w:p w14:paraId="3A09BAE2" w14:textId="77777777" w:rsidR="00142E76" w:rsidRDefault="00142E76" w:rsidP="00E102C3">
      <w:r>
        <w:continuationSeparator/>
      </w:r>
    </w:p>
    <w:p w14:paraId="22534D64" w14:textId="77777777" w:rsidR="00142E76" w:rsidRDefault="00142E76" w:rsidP="00E102C3"/>
  </w:footnote>
  <w:footnote w:type="continuationNotice" w:id="1">
    <w:p w14:paraId="77468F10" w14:textId="77777777" w:rsidR="00142E76" w:rsidRDefault="00142E76">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4799"/>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36020"/>
    <w:rsid w:val="00140CA6"/>
    <w:rsid w:val="00142AE8"/>
    <w:rsid w:val="00142E76"/>
    <w:rsid w:val="00143635"/>
    <w:rsid w:val="001437B3"/>
    <w:rsid w:val="00146C9B"/>
    <w:rsid w:val="00147635"/>
    <w:rsid w:val="001504F8"/>
    <w:rsid w:val="0015208A"/>
    <w:rsid w:val="00153807"/>
    <w:rsid w:val="00153A3D"/>
    <w:rsid w:val="001544D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3FBE"/>
    <w:rsid w:val="001A4121"/>
    <w:rsid w:val="001A436E"/>
    <w:rsid w:val="001A47C2"/>
    <w:rsid w:val="001A50B7"/>
    <w:rsid w:val="001A52DF"/>
    <w:rsid w:val="001A544E"/>
    <w:rsid w:val="001A6792"/>
    <w:rsid w:val="001A712A"/>
    <w:rsid w:val="001A7230"/>
    <w:rsid w:val="001B06C8"/>
    <w:rsid w:val="001B0834"/>
    <w:rsid w:val="001B12C1"/>
    <w:rsid w:val="001B1E56"/>
    <w:rsid w:val="001B29C1"/>
    <w:rsid w:val="001B3075"/>
    <w:rsid w:val="001B3150"/>
    <w:rsid w:val="001B3B2A"/>
    <w:rsid w:val="001B4EE9"/>
    <w:rsid w:val="001B5080"/>
    <w:rsid w:val="001B7706"/>
    <w:rsid w:val="001B7CD9"/>
    <w:rsid w:val="001C12C0"/>
    <w:rsid w:val="001C1C88"/>
    <w:rsid w:val="001C2344"/>
    <w:rsid w:val="001C29B0"/>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70C"/>
    <w:rsid w:val="001E4E30"/>
    <w:rsid w:val="001E4EFD"/>
    <w:rsid w:val="001E6EE9"/>
    <w:rsid w:val="001E7569"/>
    <w:rsid w:val="001E7830"/>
    <w:rsid w:val="001E7B6F"/>
    <w:rsid w:val="001F0012"/>
    <w:rsid w:val="001F0C2D"/>
    <w:rsid w:val="001F0C8D"/>
    <w:rsid w:val="001F19CB"/>
    <w:rsid w:val="001F1EF2"/>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6855"/>
    <w:rsid w:val="002A6E1F"/>
    <w:rsid w:val="002A6F75"/>
    <w:rsid w:val="002B0548"/>
    <w:rsid w:val="002B0F9D"/>
    <w:rsid w:val="002B2117"/>
    <w:rsid w:val="002B56EF"/>
    <w:rsid w:val="002B6473"/>
    <w:rsid w:val="002B69AF"/>
    <w:rsid w:val="002C0E8D"/>
    <w:rsid w:val="002C1212"/>
    <w:rsid w:val="002C12EB"/>
    <w:rsid w:val="002C18D1"/>
    <w:rsid w:val="002C1F59"/>
    <w:rsid w:val="002C211E"/>
    <w:rsid w:val="002C2186"/>
    <w:rsid w:val="002C32ED"/>
    <w:rsid w:val="002C34BC"/>
    <w:rsid w:val="002C41B0"/>
    <w:rsid w:val="002C51FC"/>
    <w:rsid w:val="002C5F2C"/>
    <w:rsid w:val="002C6546"/>
    <w:rsid w:val="002D0D46"/>
    <w:rsid w:val="002D1D14"/>
    <w:rsid w:val="002D3CD3"/>
    <w:rsid w:val="002D46FF"/>
    <w:rsid w:val="002D48DD"/>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3CAF"/>
    <w:rsid w:val="002F4959"/>
    <w:rsid w:val="002F4C4B"/>
    <w:rsid w:val="002F5057"/>
    <w:rsid w:val="002F590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12A4"/>
    <w:rsid w:val="00331FC3"/>
    <w:rsid w:val="0033200C"/>
    <w:rsid w:val="003325A6"/>
    <w:rsid w:val="0033291A"/>
    <w:rsid w:val="003332D8"/>
    <w:rsid w:val="0033418B"/>
    <w:rsid w:val="00334D7B"/>
    <w:rsid w:val="00335069"/>
    <w:rsid w:val="00335915"/>
    <w:rsid w:val="00335E17"/>
    <w:rsid w:val="0033651E"/>
    <w:rsid w:val="003367E9"/>
    <w:rsid w:val="00340295"/>
    <w:rsid w:val="003409D1"/>
    <w:rsid w:val="00340AE8"/>
    <w:rsid w:val="0034141C"/>
    <w:rsid w:val="0034182B"/>
    <w:rsid w:val="00342C89"/>
    <w:rsid w:val="00343166"/>
    <w:rsid w:val="00343A48"/>
    <w:rsid w:val="00343FFD"/>
    <w:rsid w:val="0034519D"/>
    <w:rsid w:val="00345BD7"/>
    <w:rsid w:val="00345DED"/>
    <w:rsid w:val="00346072"/>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94D"/>
    <w:rsid w:val="00365ACF"/>
    <w:rsid w:val="00365B15"/>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C7AC7"/>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12FF"/>
    <w:rsid w:val="004526BC"/>
    <w:rsid w:val="004531C6"/>
    <w:rsid w:val="0045343E"/>
    <w:rsid w:val="00453CA7"/>
    <w:rsid w:val="00454EC6"/>
    <w:rsid w:val="00457EE9"/>
    <w:rsid w:val="00457F8B"/>
    <w:rsid w:val="0046015F"/>
    <w:rsid w:val="00460EAB"/>
    <w:rsid w:val="00462878"/>
    <w:rsid w:val="00462DCB"/>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187"/>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2AB6"/>
    <w:rsid w:val="0057328B"/>
    <w:rsid w:val="005737E6"/>
    <w:rsid w:val="00573D82"/>
    <w:rsid w:val="00574E71"/>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A197D"/>
    <w:rsid w:val="005A222A"/>
    <w:rsid w:val="005A2490"/>
    <w:rsid w:val="005A3907"/>
    <w:rsid w:val="005A3BF3"/>
    <w:rsid w:val="005A47F0"/>
    <w:rsid w:val="005B00BD"/>
    <w:rsid w:val="005B02C8"/>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247"/>
    <w:rsid w:val="005E276B"/>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2324"/>
    <w:rsid w:val="00672C2A"/>
    <w:rsid w:val="0067309C"/>
    <w:rsid w:val="00674056"/>
    <w:rsid w:val="006742D5"/>
    <w:rsid w:val="006744B6"/>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56CB"/>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56A"/>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E7713"/>
    <w:rsid w:val="006F0D88"/>
    <w:rsid w:val="006F33AD"/>
    <w:rsid w:val="006F3DD3"/>
    <w:rsid w:val="006F3FCD"/>
    <w:rsid w:val="006F455C"/>
    <w:rsid w:val="006F5560"/>
    <w:rsid w:val="006F5AF4"/>
    <w:rsid w:val="006F5D31"/>
    <w:rsid w:val="006F6B15"/>
    <w:rsid w:val="006F6F5B"/>
    <w:rsid w:val="00700473"/>
    <w:rsid w:val="007006F3"/>
    <w:rsid w:val="007014C8"/>
    <w:rsid w:val="0070262A"/>
    <w:rsid w:val="00702734"/>
    <w:rsid w:val="00702C0D"/>
    <w:rsid w:val="00702D8C"/>
    <w:rsid w:val="00703654"/>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2DB8"/>
    <w:rsid w:val="00743146"/>
    <w:rsid w:val="00745A49"/>
    <w:rsid w:val="00746236"/>
    <w:rsid w:val="00746C36"/>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4425"/>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92D"/>
    <w:rsid w:val="00831A49"/>
    <w:rsid w:val="00832E55"/>
    <w:rsid w:val="0083367D"/>
    <w:rsid w:val="008339AC"/>
    <w:rsid w:val="00834488"/>
    <w:rsid w:val="0083469A"/>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D90"/>
    <w:rsid w:val="008A02EA"/>
    <w:rsid w:val="008A0AF7"/>
    <w:rsid w:val="008A2534"/>
    <w:rsid w:val="008A3028"/>
    <w:rsid w:val="008A374B"/>
    <w:rsid w:val="008A49D2"/>
    <w:rsid w:val="008A57DB"/>
    <w:rsid w:val="008A610E"/>
    <w:rsid w:val="008A7981"/>
    <w:rsid w:val="008B13B5"/>
    <w:rsid w:val="008B21F8"/>
    <w:rsid w:val="008B2669"/>
    <w:rsid w:val="008B4C7F"/>
    <w:rsid w:val="008B549F"/>
    <w:rsid w:val="008B742A"/>
    <w:rsid w:val="008B7BE2"/>
    <w:rsid w:val="008B7E40"/>
    <w:rsid w:val="008C091D"/>
    <w:rsid w:val="008C28B4"/>
    <w:rsid w:val="008C2C51"/>
    <w:rsid w:val="008C2EA5"/>
    <w:rsid w:val="008C3067"/>
    <w:rsid w:val="008C345B"/>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E7F7F"/>
    <w:rsid w:val="008F027F"/>
    <w:rsid w:val="008F0A96"/>
    <w:rsid w:val="008F119A"/>
    <w:rsid w:val="008F27F0"/>
    <w:rsid w:val="008F281F"/>
    <w:rsid w:val="008F3258"/>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5426"/>
    <w:rsid w:val="00935F8F"/>
    <w:rsid w:val="0093630C"/>
    <w:rsid w:val="00936648"/>
    <w:rsid w:val="0093709F"/>
    <w:rsid w:val="009401D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57405"/>
    <w:rsid w:val="00962DA3"/>
    <w:rsid w:val="00963DE2"/>
    <w:rsid w:val="00963E8D"/>
    <w:rsid w:val="009651CB"/>
    <w:rsid w:val="009658CC"/>
    <w:rsid w:val="009658DD"/>
    <w:rsid w:val="00965B6C"/>
    <w:rsid w:val="0096632D"/>
    <w:rsid w:val="00966505"/>
    <w:rsid w:val="0096656A"/>
    <w:rsid w:val="00966B33"/>
    <w:rsid w:val="00966F75"/>
    <w:rsid w:val="00967AD6"/>
    <w:rsid w:val="009707FE"/>
    <w:rsid w:val="00972136"/>
    <w:rsid w:val="009728C7"/>
    <w:rsid w:val="00973509"/>
    <w:rsid w:val="0097465F"/>
    <w:rsid w:val="00974979"/>
    <w:rsid w:val="00974C82"/>
    <w:rsid w:val="00974EC8"/>
    <w:rsid w:val="00975D8B"/>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593C"/>
    <w:rsid w:val="009D619B"/>
    <w:rsid w:val="009D6363"/>
    <w:rsid w:val="009D652B"/>
    <w:rsid w:val="009D7798"/>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39B"/>
    <w:rsid w:val="00A24476"/>
    <w:rsid w:val="00A2496F"/>
    <w:rsid w:val="00A24A9C"/>
    <w:rsid w:val="00A24E10"/>
    <w:rsid w:val="00A24F39"/>
    <w:rsid w:val="00A25CAE"/>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1ECB"/>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8F7"/>
    <w:rsid w:val="00B41F98"/>
    <w:rsid w:val="00B42005"/>
    <w:rsid w:val="00B42129"/>
    <w:rsid w:val="00B42B8C"/>
    <w:rsid w:val="00B43512"/>
    <w:rsid w:val="00B44F13"/>
    <w:rsid w:val="00B5019F"/>
    <w:rsid w:val="00B50BCD"/>
    <w:rsid w:val="00B518F6"/>
    <w:rsid w:val="00B51FFE"/>
    <w:rsid w:val="00B52B21"/>
    <w:rsid w:val="00B531FA"/>
    <w:rsid w:val="00B53C8C"/>
    <w:rsid w:val="00B5444D"/>
    <w:rsid w:val="00B56731"/>
    <w:rsid w:val="00B60107"/>
    <w:rsid w:val="00B612B1"/>
    <w:rsid w:val="00B61400"/>
    <w:rsid w:val="00B619C5"/>
    <w:rsid w:val="00B67009"/>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0881"/>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5152"/>
    <w:rsid w:val="00BE6457"/>
    <w:rsid w:val="00BE6A3D"/>
    <w:rsid w:val="00BE792C"/>
    <w:rsid w:val="00BE7947"/>
    <w:rsid w:val="00BF04B3"/>
    <w:rsid w:val="00BF0534"/>
    <w:rsid w:val="00BF066E"/>
    <w:rsid w:val="00BF3A03"/>
    <w:rsid w:val="00BF58A0"/>
    <w:rsid w:val="00BF6337"/>
    <w:rsid w:val="00BF6762"/>
    <w:rsid w:val="00BF6D5E"/>
    <w:rsid w:val="00BF6E0A"/>
    <w:rsid w:val="00BF7EBC"/>
    <w:rsid w:val="00C00C4F"/>
    <w:rsid w:val="00C00EBD"/>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0580"/>
    <w:rsid w:val="00C60A09"/>
    <w:rsid w:val="00C61A70"/>
    <w:rsid w:val="00C63342"/>
    <w:rsid w:val="00C63B65"/>
    <w:rsid w:val="00C63E2A"/>
    <w:rsid w:val="00C65A7E"/>
    <w:rsid w:val="00C65CBF"/>
    <w:rsid w:val="00C66437"/>
    <w:rsid w:val="00C666B3"/>
    <w:rsid w:val="00C67F8B"/>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2ED"/>
    <w:rsid w:val="00CA0838"/>
    <w:rsid w:val="00CA1D68"/>
    <w:rsid w:val="00CA246A"/>
    <w:rsid w:val="00CA2515"/>
    <w:rsid w:val="00CA25BD"/>
    <w:rsid w:val="00CA2F5D"/>
    <w:rsid w:val="00CA380E"/>
    <w:rsid w:val="00CA4B60"/>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F36"/>
    <w:rsid w:val="00CC2B8C"/>
    <w:rsid w:val="00CC44A4"/>
    <w:rsid w:val="00CC4B99"/>
    <w:rsid w:val="00CC5540"/>
    <w:rsid w:val="00CC5C41"/>
    <w:rsid w:val="00CC70A6"/>
    <w:rsid w:val="00CC7D0E"/>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36A"/>
    <w:rsid w:val="00D2651C"/>
    <w:rsid w:val="00D316D3"/>
    <w:rsid w:val="00D333D7"/>
    <w:rsid w:val="00D33BE9"/>
    <w:rsid w:val="00D34579"/>
    <w:rsid w:val="00D3543B"/>
    <w:rsid w:val="00D36241"/>
    <w:rsid w:val="00D3687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4381"/>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CF2"/>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2017B"/>
    <w:rsid w:val="00F206EE"/>
    <w:rsid w:val="00F20B1C"/>
    <w:rsid w:val="00F22725"/>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621"/>
    <w:rsid w:val="00F65A3D"/>
    <w:rsid w:val="00F67594"/>
    <w:rsid w:val="00F7080A"/>
    <w:rsid w:val="00F7186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40EF"/>
    <w:rsid w:val="00FD4868"/>
    <w:rsid w:val="00FD5B96"/>
    <w:rsid w:val="00FD7224"/>
    <w:rsid w:val="00FE1506"/>
    <w:rsid w:val="00FE1697"/>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14265</Words>
  <Characters>88587</Characters>
  <Application>Microsoft Office Word</Application>
  <DocSecurity>0</DocSecurity>
  <Lines>1968</Lines>
  <Paragraphs>1018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101834</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77</cp:revision>
  <dcterms:created xsi:type="dcterms:W3CDTF">2025-04-01T14:40:00Z</dcterms:created>
  <dcterms:modified xsi:type="dcterms:W3CDTF">2025-04-03T12:51:00Z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id="EMQzNGnb"/&gt;&lt;style id="http://www.zotero.org/styles/apa" locale="en-US" hasBibliography="1" bibliographyStyleHasBeenSet="1"/&gt;&lt;prefs&gt;&lt;pref name="fieldType" value="Field"/&gt;&lt;/prefs&gt;&lt;/data&gt;</vt:lpwstr>
  </property>
</Properties>
</file>