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6575892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r w:rsidR="00EF144F" w:rsidRPr="008077A3">
        <w:rPr>
          <w:rFonts w:ascii="Times New Roman" w:hAnsi="Times New Roman" w:cs="Times New Roman"/>
          <w:sz w:val="24"/>
          <w:szCs w:val="24"/>
          <w:lang w:val="en-US"/>
        </w:rPr>
        <w:t>trackers</w:t>
      </w:r>
      <w:r w:rsidR="00EF144F">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provide</w:t>
      </w:r>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E8AD034"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 xml:space="preserve">HR </w:t>
      </w:r>
      <w:r w:rsidR="00EF144F">
        <w:rPr>
          <w:rFonts w:ascii="Times New Roman" w:hAnsi="Times New Roman" w:cs="Times New Roman"/>
          <w:sz w:val="24"/>
          <w:szCs w:val="24"/>
          <w:lang w:val="en-US"/>
        </w:rPr>
        <w:t xml:space="preserve">being </w:t>
      </w:r>
      <w:r w:rsidR="00D25B78" w:rsidRPr="008077A3">
        <w:rPr>
          <w:rFonts w:ascii="Times New Roman" w:hAnsi="Times New Roman" w:cs="Times New Roman"/>
          <w:sz w:val="24"/>
          <w:szCs w:val="24"/>
          <w:lang w:val="en-US"/>
        </w:rPr>
        <w:t>slow</w:t>
      </w:r>
      <w:r w:rsidR="00EF144F">
        <w:rPr>
          <w:rFonts w:ascii="Times New Roman" w:hAnsi="Times New Roman" w:cs="Times New Roman"/>
          <w:sz w:val="24"/>
          <w:szCs w:val="24"/>
          <w:lang w:val="en-US"/>
        </w:rPr>
        <w:t>ed</w:t>
      </w:r>
      <w:r w:rsidR="00D25B78" w:rsidRPr="008077A3">
        <w:rPr>
          <w:rFonts w:ascii="Times New Roman" w:hAnsi="Times New Roman" w:cs="Times New Roman"/>
          <w:sz w:val="24"/>
          <w:szCs w:val="24"/>
          <w:lang w:val="en-US"/>
        </w:rPr>
        <w:t xml:space="preserve"> down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6E6241B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w:t>
      </w:r>
      <w:r w:rsidR="00EF144F">
        <w:rPr>
          <w:rFonts w:ascii="Times New Roman" w:hAnsi="Times New Roman" w:cs="Times New Roman"/>
          <w:sz w:val="24"/>
          <w:szCs w:val="24"/>
          <w:lang w:val="en-US"/>
        </w:rPr>
        <w:t>,</w:t>
      </w:r>
      <w:r w:rsidR="00223F44" w:rsidRPr="008077A3">
        <w:rPr>
          <w:rFonts w:ascii="Times New Roman" w:hAnsi="Times New Roman" w:cs="Times New Roman"/>
          <w:sz w:val="24"/>
          <w:szCs w:val="24"/>
          <w:lang w:val="en-US"/>
        </w:rPr>
        <w:t xml:space="preserve">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4A7F053B"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EF144F">
        <w:rPr>
          <w:rFonts w:ascii="Times New Roman" w:hAnsi="Times New Roman" w:cs="Times New Roman"/>
          <w:sz w:val="24"/>
          <w:szCs w:val="24"/>
          <w:lang w:val="en-US"/>
        </w:rPr>
        <w: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27908D18"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w:t>
      </w:r>
      <w:r w:rsidR="00EF144F">
        <w:rPr>
          <w:rFonts w:ascii="Times New Roman" w:hAnsi="Times New Roman" w:cs="Times New Roman"/>
          <w:sz w:val="24"/>
          <w:szCs w:val="24"/>
          <w:lang w:val="en-US"/>
        </w:rPr>
        <w:t>HR</w:t>
      </w:r>
      <w:r>
        <w:rPr>
          <w:rFonts w:ascii="Times New Roman" w:hAnsi="Times New Roman" w:cs="Times New Roman"/>
          <w:sz w:val="24"/>
          <w:szCs w:val="24"/>
          <w:lang w:val="en-US"/>
        </w:rPr>
        <w:t xml:space="preserve">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4813ACBB"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r w:rsidR="00EF144F">
        <w:rPr>
          <w:rFonts w:ascii="Times New Roman" w:hAnsi="Times New Roman" w:cs="Times New Roman"/>
          <w:sz w:val="24"/>
          <w:szCs w:val="24"/>
          <w:lang w:val="en-US"/>
        </w:rPr>
        <w:t xml:space="preserve"> (i.e., slopes)</w:t>
      </w:r>
      <w:r w:rsidR="00101D82" w:rsidRPr="008077A3">
        <w:rPr>
          <w:rFonts w:ascii="Times New Roman" w:hAnsi="Times New Roman" w:cs="Times New Roman"/>
          <w:sz w:val="24"/>
          <w:szCs w:val="24"/>
          <w:lang w:val="en-US"/>
        </w:rPr>
        <w:t>.</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To enable visual inspection of HR trends</w:t>
      </w:r>
      <w:r w:rsidR="00796CF6" w:rsidRPr="00D061A3">
        <w:rPr>
          <w:rFonts w:ascii="Times New Roman" w:eastAsia="Times New Roman" w:hAnsi="Times New Roman" w:cs="Times New Roman"/>
          <w:color w:val="000000"/>
          <w:sz w:val="24"/>
          <w:szCs w:val="24"/>
          <w:lang w:val="en-US" w:eastAsia="de-DE"/>
        </w:rPr>
        <w:t xml:space="preserve">, we displayed </w:t>
      </w:r>
      <w:r w:rsidRPr="00D061A3">
        <w:rPr>
          <w:rFonts w:ascii="Times New Roman" w:eastAsia="Times New Roman" w:hAnsi="Times New Roman" w:cs="Times New Roman"/>
          <w:color w:val="000000"/>
          <w:sz w:val="24"/>
          <w:szCs w:val="24"/>
          <w:lang w:val="en-US" w:eastAsia="de-DE"/>
        </w:rPr>
        <w:t xml:space="preserve">smoothed teacher </w:t>
      </w:r>
      <w:r w:rsidR="00796CF6" w:rsidRPr="00D061A3">
        <w:rPr>
          <w:rFonts w:ascii="Times New Roman" w:eastAsia="Times New Roman" w:hAnsi="Times New Roman" w:cs="Times New Roman"/>
          <w:color w:val="000000"/>
          <w:sz w:val="24"/>
          <w:szCs w:val="24"/>
          <w:lang w:val="en-US" w:eastAsia="de-DE"/>
        </w:rPr>
        <w:t xml:space="preserve">HR over the course of the </w:t>
      </w:r>
      <w:r w:rsidR="00461AC7" w:rsidRPr="00D061A3">
        <w:rPr>
          <w:rFonts w:ascii="Times New Roman" w:eastAsia="Times New Roman" w:hAnsi="Times New Roman" w:cs="Times New Roman"/>
          <w:color w:val="000000"/>
          <w:sz w:val="24"/>
          <w:szCs w:val="24"/>
          <w:lang w:val="en-US" w:eastAsia="de-DE"/>
        </w:rPr>
        <w:t>recording</w:t>
      </w:r>
      <w:r w:rsidR="00796CF6" w:rsidRPr="00D061A3">
        <w:rPr>
          <w:rFonts w:ascii="Times New Roman" w:eastAsia="Times New Roman" w:hAnsi="Times New Roman" w:cs="Times New Roman"/>
          <w:color w:val="000000"/>
          <w:sz w:val="24"/>
          <w:szCs w:val="24"/>
          <w:lang w:val="en-US" w:eastAsia="de-DE"/>
        </w:rPr>
        <w:t>.</w:t>
      </w:r>
      <w:r w:rsidR="00E03B50" w:rsidRPr="00D061A3">
        <w:rPr>
          <w:rStyle w:val="Funotenzeichen"/>
          <w:rFonts w:ascii="Times New Roman" w:eastAsia="Times New Roman" w:hAnsi="Times New Roman" w:cs="Times New Roman"/>
          <w:color w:val="000000"/>
          <w:sz w:val="24"/>
          <w:szCs w:val="24"/>
          <w:lang w:val="en-US" w:eastAsia="de-DE"/>
        </w:rPr>
        <w:footnoteReference w:id="2"/>
      </w:r>
      <w:r w:rsidR="00796CF6" w:rsidRPr="00D061A3">
        <w:rPr>
          <w:rFonts w:ascii="Times New Roman" w:eastAsia="Times New Roman" w:hAnsi="Times New Roman" w:cs="Times New Roman"/>
          <w:color w:val="000000"/>
          <w:sz w:val="24"/>
          <w:szCs w:val="24"/>
          <w:lang w:val="en-US" w:eastAsia="de-DE"/>
        </w:rPr>
        <w:t xml:space="preserve"> </w:t>
      </w:r>
      <w:r w:rsidR="00842E6D" w:rsidRPr="00D061A3">
        <w:rPr>
          <w:rFonts w:ascii="Times New Roman" w:eastAsia="Times New Roman" w:hAnsi="Times New Roman" w:cs="Times New Roman"/>
          <w:color w:val="000000"/>
          <w:sz w:val="24"/>
          <w:szCs w:val="24"/>
          <w:lang w:val="en-US" w:eastAsia="de-DE"/>
        </w:rPr>
        <w:t>W</w:t>
      </w:r>
      <w:r w:rsidR="00796CF6" w:rsidRPr="00D061A3">
        <w:rPr>
          <w:rFonts w:ascii="Times New Roman" w:eastAsia="Times New Roman" w:hAnsi="Times New Roman" w:cs="Times New Roman"/>
          <w:color w:val="000000"/>
          <w:sz w:val="24"/>
          <w:szCs w:val="24"/>
          <w:lang w:val="en-US" w:eastAsia="de-DE"/>
        </w:rPr>
        <w:t>e visually</w:t>
      </w:r>
      <w:r w:rsidR="00796CF6" w:rsidRPr="008077A3">
        <w:rPr>
          <w:rFonts w:ascii="Times New Roman" w:eastAsia="Times New Roman" w:hAnsi="Times New Roman" w:cs="Times New Roman"/>
          <w:color w:val="000000"/>
          <w:sz w:val="24"/>
          <w:szCs w:val="24"/>
          <w:lang w:val="en-US" w:eastAsia="de-DE"/>
        </w:rPr>
        <w:t xml:space="preserve">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lastRenderedPageBreak/>
        <w:t xml:space="preserve">We averaged each person’s standardized HR over each of </w:t>
      </w:r>
      <w:r w:rsidR="00914988" w:rsidRPr="00D061A3">
        <w:rPr>
          <w:rFonts w:ascii="Times New Roman" w:eastAsia="Times New Roman" w:hAnsi="Times New Roman" w:cs="Times New Roman"/>
          <w:color w:val="000000"/>
          <w:sz w:val="24"/>
          <w:szCs w:val="24"/>
          <w:lang w:val="en-US" w:eastAsia="de-DE"/>
        </w:rPr>
        <w:t xml:space="preserve">the </w:t>
      </w:r>
      <w:r w:rsidR="00461AC7" w:rsidRPr="00D061A3">
        <w:rPr>
          <w:rFonts w:ascii="Times New Roman" w:eastAsia="Times New Roman" w:hAnsi="Times New Roman" w:cs="Times New Roman"/>
          <w:color w:val="000000"/>
          <w:sz w:val="24"/>
          <w:szCs w:val="24"/>
          <w:lang w:val="en-US" w:eastAsia="de-DE"/>
        </w:rPr>
        <w:t xml:space="preserve">five </w:t>
      </w:r>
      <w:r w:rsidR="00076787" w:rsidRPr="00D061A3">
        <w:rPr>
          <w:rFonts w:ascii="Times New Roman" w:eastAsia="Times New Roman" w:hAnsi="Times New Roman" w:cs="Times New Roman"/>
          <w:color w:val="000000"/>
          <w:sz w:val="24"/>
          <w:szCs w:val="24"/>
          <w:lang w:val="en-US" w:eastAsia="de-DE"/>
        </w:rPr>
        <w:t xml:space="preserve">selected </w:t>
      </w:r>
      <w:r w:rsidR="00047399" w:rsidRPr="00D061A3">
        <w:rPr>
          <w:rFonts w:ascii="Times New Roman" w:eastAsia="Times New Roman" w:hAnsi="Times New Roman" w:cs="Times New Roman"/>
          <w:color w:val="000000"/>
          <w:sz w:val="24"/>
          <w:szCs w:val="24"/>
          <w:lang w:val="en-US" w:eastAsia="de-DE"/>
        </w:rPr>
        <w:t>intervals</w:t>
      </w:r>
      <w:r w:rsidR="002B1010" w:rsidRPr="00D061A3">
        <w:rPr>
          <w:rStyle w:val="Funotenzeichen"/>
          <w:rFonts w:ascii="Times New Roman" w:eastAsia="Times New Roman" w:hAnsi="Times New Roman" w:cs="Times New Roman"/>
          <w:color w:val="000000"/>
          <w:sz w:val="24"/>
          <w:szCs w:val="24"/>
          <w:lang w:val="en-US" w:eastAsia="de-DE"/>
        </w:rPr>
        <w:footnoteReference w:id="4"/>
      </w:r>
      <w:r w:rsidR="00914988" w:rsidRPr="00D061A3">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r w:rsidR="00D44633" w:rsidRPr="00FF7064">
        <w:rPr>
          <w:rFonts w:ascii="Times New Roman" w:eastAsia="Times New Roman" w:hAnsi="Times New Roman" w:cs="Times New Roman"/>
          <w:color w:val="000000"/>
          <w:sz w:val="24"/>
          <w:szCs w:val="24"/>
          <w:lang w:val="en-US" w:eastAsia="de-DE"/>
        </w:rPr>
        <w:t>To this end, we used fixed intercept fixed slope regression models [@</w:t>
      </w:r>
      <w:r w:rsidR="00D44633" w:rsidRPr="00FF7064">
        <w:rPr>
          <w:rFonts w:ascii="Times New Roman" w:eastAsia="Times New Roman" w:hAnsi="Times New Roman" w:cs="Times New Roman"/>
          <w:color w:val="000000"/>
          <w:sz w:val="24"/>
          <w:szCs w:val="24"/>
          <w:shd w:val="clear" w:color="auto" w:fill="FFFFFF"/>
          <w:lang w:val="en-US" w:eastAsia="de-DE"/>
        </w:rPr>
        <w:t>gelman2006data]</w:t>
      </w:r>
      <w:r w:rsidR="00D44633" w:rsidRPr="00FF7064">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FF7064">
        <w:rPr>
          <w:rFonts w:ascii="Times New Roman" w:eastAsia="Times New Roman" w:hAnsi="Times New Roman" w:cs="Times New Roman"/>
          <w:color w:val="000000"/>
          <w:sz w:val="24"/>
          <w:szCs w:val="24"/>
          <w:lang w:val="en-US" w:eastAsia="de-DE"/>
        </w:rPr>
        <w:t xml:space="preserve">and linear slopes for </w:t>
      </w:r>
      <w:r w:rsidR="00D0167F" w:rsidRPr="00FF7064">
        <w:rPr>
          <w:rFonts w:ascii="Times New Roman" w:eastAsia="Times New Roman" w:hAnsi="Times New Roman" w:cs="Times New Roman"/>
          <w:color w:val="000000"/>
          <w:sz w:val="24"/>
          <w:szCs w:val="24"/>
          <w:lang w:val="en-US" w:eastAsia="de-DE"/>
        </w:rPr>
        <w:t xml:space="preserve">each </w:t>
      </w:r>
      <w:r w:rsidR="00D44633" w:rsidRPr="00FF7064">
        <w:rPr>
          <w:rFonts w:ascii="Times New Roman" w:eastAsia="Times New Roman" w:hAnsi="Times New Roman" w:cs="Times New Roman"/>
          <w:color w:val="000000"/>
          <w:sz w:val="24"/>
          <w:szCs w:val="24"/>
          <w:lang w:val="en-US" w:eastAsia="de-DE"/>
        </w:rPr>
        <w:t>individual</w:t>
      </w:r>
      <w:r w:rsidR="00D0167F" w:rsidRPr="00FF7064">
        <w:rPr>
          <w:rFonts w:ascii="Times New Roman" w:eastAsia="Times New Roman" w:hAnsi="Times New Roman" w:cs="Times New Roman"/>
          <w:color w:val="000000"/>
          <w:sz w:val="24"/>
          <w:szCs w:val="24"/>
          <w:lang w:val="en-US" w:eastAsia="de-DE"/>
        </w:rPr>
        <w:t>,</w:t>
      </w:r>
      <w:r w:rsidR="00D44633" w:rsidRPr="00FF7064">
        <w:rPr>
          <w:rFonts w:ascii="Times New Roman" w:eastAsia="Times New Roman" w:hAnsi="Times New Roman" w:cs="Times New Roman"/>
          <w:color w:val="000000"/>
          <w:sz w:val="24"/>
          <w:szCs w:val="24"/>
          <w:lang w:val="en-US" w:eastAsia="de-DE"/>
        </w:rPr>
        <w:t xml:space="preserve"> </w:t>
      </w:r>
      <w:bookmarkEnd w:id="0"/>
      <w:r w:rsidR="00D44633" w:rsidRPr="00FF7064">
        <w:rPr>
          <w:rFonts w:ascii="Times New Roman" w:eastAsia="Times New Roman" w:hAnsi="Times New Roman" w:cs="Times New Roman"/>
          <w:color w:val="000000"/>
          <w:sz w:val="24"/>
          <w:szCs w:val="24"/>
          <w:lang w:val="en-US" w:eastAsia="de-DE"/>
        </w:rPr>
        <w:t>which were then averaged across individuals.</w:t>
      </w:r>
      <w:r w:rsidR="00B40D29" w:rsidRPr="00FF7064">
        <w:rPr>
          <w:rFonts w:ascii="Times New Roman" w:eastAsia="Times New Roman" w:hAnsi="Times New Roman" w:cs="Times New Roman"/>
          <w:color w:val="000000"/>
          <w:sz w:val="24"/>
          <w:szCs w:val="24"/>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 xml:space="preserve">the </w:t>
      </w:r>
      <w:r w:rsidR="00361114" w:rsidRPr="008077A3">
        <w:rPr>
          <w:rFonts w:ascii="Times New Roman" w:hAnsi="Times New Roman" w:cs="Times New Roman"/>
          <w:sz w:val="24"/>
          <w:szCs w:val="24"/>
          <w:lang w:val="en-US"/>
        </w:rPr>
        <w:lastRenderedPageBreak/>
        <w:t>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are shown in Table 1. 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8C68E5"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66A7BBC0" w:rsidR="00D44633" w:rsidRPr="008077A3" w:rsidRDefault="000A7C86" w:rsidP="003420F3">
      <w:pPr>
        <w:spacing w:before="240" w:after="240"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Analysis</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w:t>
      </w:r>
      <w:r w:rsidR="00D44633" w:rsidRPr="008077A3">
        <w:rPr>
          <w:rFonts w:ascii="Times New Roman" w:eastAsia="Times New Roman" w:hAnsi="Times New Roman" w:cs="Times New Roman"/>
          <w:iCs/>
          <w:color w:val="000000"/>
          <w:sz w:val="24"/>
          <w:szCs w:val="24"/>
          <w:lang w:val="en-US" w:eastAsia="de-DE"/>
        </w:rPr>
        <w:t>M</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Cs/>
          <w:color w:val="000000"/>
          <w:sz w:val="24"/>
          <w:szCs w:val="24"/>
          <w:lang w:val="en-US" w:eastAsia="de-DE"/>
        </w:rPr>
        <w:t>, p</w:t>
      </w:r>
      <w:r w:rsidRPr="000A7C86">
        <w:rPr>
          <w:rFonts w:ascii="Times New Roman" w:eastAsia="Times New Roman" w:hAnsi="Times New Roman" w:cs="Times New Roman"/>
          <w:i/>
          <w:color w:val="000000"/>
          <w:sz w:val="24"/>
          <w:szCs w:val="24"/>
          <w:lang w:val="en-US" w:eastAsia="de-DE"/>
        </w:rPr>
        <w:t>-values</w:t>
      </w:r>
      <w:r w:rsidR="00D44633" w:rsidRPr="008077A3">
        <w:rPr>
          <w:rFonts w:ascii="Times New Roman" w:eastAsia="Times New Roman" w:hAnsi="Times New Roman" w:cs="Times New Roman"/>
          <w:i/>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00D44633"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ntervals</w:t>
      </w:r>
      <w:r w:rsidR="00FF7064">
        <w:rPr>
          <w:rFonts w:ascii="Times New Roman" w:eastAsia="Times New Roman" w:hAnsi="Times New Roman" w:cs="Times New Roman"/>
          <w:i/>
          <w:color w:val="000000"/>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8C68E5"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2936B3C4"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w:t>
      </w:r>
      <w:r w:rsidR="002576ED">
        <w:rPr>
          <w:lang w:val="en-US"/>
        </w:rPr>
        <w:t>for</w:t>
      </w:r>
      <w:r w:rsidR="00372C94" w:rsidRPr="008077A3">
        <w:rPr>
          <w:lang w:val="en-US"/>
        </w:rPr>
        <w:t xml:space="preserve"> </w:t>
      </w:r>
      <w:r w:rsidR="00372C94">
        <w:rPr>
          <w:lang w:val="en-US"/>
        </w:rPr>
        <w:t>track</w:t>
      </w:r>
      <w:r w:rsidR="002576ED">
        <w:rPr>
          <w:lang w:val="en-US"/>
        </w:rPr>
        <w:t>ing</w:t>
      </w:r>
      <w:r w:rsidR="00372C94" w:rsidRPr="008077A3">
        <w:rPr>
          <w:lang w:val="en-US"/>
        </w:rPr>
        <w:t xml:space="preserve"> teachers’ HR</w:t>
      </w:r>
      <w:r w:rsidR="00372C94">
        <w:rPr>
          <w:lang w:val="en-US"/>
        </w:rPr>
        <w:t xml:space="preserve"> and identify</w:t>
      </w:r>
      <w:r w:rsidR="002576ED">
        <w:rPr>
          <w:lang w:val="en-US"/>
        </w:rPr>
        <w:t>ing</w:t>
      </w:r>
      <w:r w:rsidR="00372C94">
        <w:rPr>
          <w:lang w:val="en-US"/>
        </w:rPr>
        <w:t xml:space="preserve">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7C384D4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w:t>
      </w:r>
      <w:r w:rsidR="002576ED">
        <w:rPr>
          <w:lang w:val="en-US"/>
        </w:rPr>
        <w:t>and</w:t>
      </w:r>
      <w:r w:rsidR="00DB0214" w:rsidRPr="008077A3">
        <w:rPr>
          <w:lang w:val="en-US"/>
        </w:rPr>
        <w:t xml:space="preserve"> stress-inducing tasks [@Darnell2019; @chalmers2021].</w:t>
      </w:r>
      <w:r w:rsidR="000C7269">
        <w:rPr>
          <w:color w:val="000000"/>
          <w:lang w:val="en-US"/>
        </w:rPr>
        <w:t xml:space="preserve"> </w:t>
      </w:r>
    </w:p>
    <w:p w14:paraId="0A26EBD0" w14:textId="2623D8D8"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w:t>
      </w:r>
      <w:r w:rsidR="002576ED">
        <w:rPr>
          <w:lang w:val="en-US"/>
        </w:rPr>
        <w:t xml:space="preserve"> on</w:t>
      </w:r>
      <w:r w:rsidR="00061E0A" w:rsidRPr="008077A3">
        <w:rPr>
          <w:lang w:val="en-US"/>
        </w:rPr>
        <w:t xml:space="preserv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0B049088" w14:textId="594455A3" w:rsidR="00A54A8A" w:rsidRDefault="00E1388C" w:rsidP="00C56FE6">
      <w:pPr>
        <w:pStyle w:val="StandardWeb"/>
        <w:spacing w:before="240" w:beforeAutospacing="0" w:after="240" w:afterAutospacing="0" w:line="480" w:lineRule="auto"/>
        <w:jc w:val="both"/>
        <w:rPr>
          <w:color w:val="000000"/>
          <w:lang w:val="en-US"/>
        </w:rPr>
      </w:pPr>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r w:rsidR="00A54A8A">
        <w:rPr>
          <w:color w:val="000000"/>
          <w:lang w:val="en-US"/>
        </w:rPr>
        <w:t xml:space="preserve">Possibly, </w:t>
      </w:r>
      <w:r w:rsidR="00EC0DF3" w:rsidRPr="00FF7064">
        <w:rPr>
          <w:color w:val="000000"/>
          <w:lang w:val="en-US"/>
        </w:rPr>
        <w:t xml:space="preserve">teachers’ self-reported </w:t>
      </w:r>
      <w:r w:rsidR="00A54A8A">
        <w:rPr>
          <w:color w:val="000000"/>
          <w:lang w:val="en-US"/>
        </w:rPr>
        <w:t>appraisals,</w:t>
      </w:r>
      <w:r w:rsidR="00EC0DF3" w:rsidRPr="00FF7064">
        <w:rPr>
          <w:color w:val="000000"/>
          <w:lang w:val="en-US"/>
        </w:rPr>
        <w:t xml:space="preserve"> and their actual physiological stress responses, </w:t>
      </w:r>
      <w:r w:rsidR="00A54A8A">
        <w:rPr>
          <w:color w:val="000000"/>
          <w:lang w:val="en-US"/>
        </w:rPr>
        <w:t>tap into quite different phenomena, or at least, quite different aspects of the multifaceted stress response</w:t>
      </w:r>
      <w:r w:rsidR="00FF7064">
        <w:rPr>
          <w:color w:val="000000"/>
          <w:lang w:val="en-US"/>
        </w:rPr>
        <w:t xml:space="preserve"> [</w:t>
      </w:r>
      <w:r w:rsidR="000A7C86" w:rsidRPr="000A7C86">
        <w:rPr>
          <w:color w:val="000000"/>
          <w:lang w:val="en-US"/>
        </w:rPr>
        <w:t>@kyriacou1978]</w:t>
      </w:r>
      <w:r w:rsidR="000A7C86">
        <w:rPr>
          <w:color w:val="000000"/>
          <w:lang w:val="en-US"/>
        </w:rPr>
        <w:t xml:space="preserve">. </w:t>
      </w:r>
      <w:r w:rsidR="00A54A8A">
        <w:rPr>
          <w:color w:val="000000"/>
          <w:lang w:val="en-US"/>
        </w:rPr>
        <w:t>In addition, while HR was assessed online during teaching, self-reported appraisals were given in retrospect during the SRI, and may be subject to biased (e.g.</w:t>
      </w:r>
      <w:r w:rsidR="00201623">
        <w:rPr>
          <w:color w:val="000000"/>
          <w:lang w:val="en-US"/>
        </w:rPr>
        <w:t xml:space="preserve">, </w:t>
      </w:r>
      <w:r w:rsidR="00A54A8A">
        <w:rPr>
          <w:color w:val="000000"/>
          <w:lang w:val="en-US"/>
        </w:rPr>
        <w:t>self-serving) reporting or simply an inability to recall one´s immediate</w:t>
      </w:r>
      <w:r w:rsidR="00201623">
        <w:rPr>
          <w:color w:val="000000"/>
          <w:lang w:val="en-US"/>
        </w:rPr>
        <w:t xml:space="preserve"> stress</w:t>
      </w:r>
      <w:r w:rsidR="00A54A8A">
        <w:rPr>
          <w:color w:val="000000"/>
          <w:lang w:val="en-US"/>
        </w:rPr>
        <w:t xml:space="preserve"> reactions. </w:t>
      </w:r>
    </w:p>
    <w:p w14:paraId="67CEFF56" w14:textId="6CF03201" w:rsidR="0063687C" w:rsidRDefault="00201623" w:rsidP="003420F3">
      <w:pPr>
        <w:pStyle w:val="StandardWeb"/>
        <w:spacing w:before="240" w:beforeAutospacing="0" w:after="240" w:afterAutospacing="0" w:line="480" w:lineRule="auto"/>
        <w:jc w:val="both"/>
        <w:rPr>
          <w:color w:val="000000"/>
          <w:lang w:val="en-US"/>
        </w:rPr>
      </w:pPr>
      <w:r>
        <w:rPr>
          <w:color w:val="000000"/>
          <w:lang w:val="en-US"/>
        </w:rPr>
        <w:t>On the other hand</w:t>
      </w:r>
      <w:r w:rsidR="00E1388C">
        <w:rPr>
          <w:color w:val="000000"/>
          <w:lang w:val="en-US"/>
        </w:rPr>
        <w:t xml:space="preserve">,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eachers who</w:t>
      </w:r>
      <w:r>
        <w:rPr>
          <w:rStyle w:val="--l"/>
          <w:lang w:val="en-US"/>
        </w:rPr>
        <w:t xml:space="preserve"> reported to have</w:t>
      </w:r>
      <w:r w:rsidR="005D5E59" w:rsidRPr="008077A3">
        <w:rPr>
          <w:rStyle w:val="--l"/>
          <w:lang w:val="en-US"/>
        </w:rPr>
        <w:t xml:space="preserve">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phase immediately following the micro-teaching unit</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sidR="00E1388C">
        <w:rPr>
          <w:color w:val="000000"/>
          <w:lang w:val="en-US"/>
        </w:rPr>
        <w:t>would be</w:t>
      </w:r>
      <w:r w:rsidR="001717EB" w:rsidRPr="008077A3">
        <w:rPr>
          <w:color w:val="000000"/>
          <w:lang w:val="en-US"/>
        </w:rPr>
        <w:t xml:space="preserve"> consistent with the idea that differences in </w:t>
      </w:r>
      <w:r w:rsidR="00E1388C">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9CA1459"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Pr>
          <w:color w:val="000000"/>
          <w:lang w:val="en-US"/>
        </w:rPr>
        <w:t xml:space="preserve">following </w:t>
      </w:r>
      <w:r w:rsidR="008106C9">
        <w:rPr>
          <w:color w:val="000000"/>
          <w:lang w:val="en-US"/>
        </w:rPr>
        <w:t xml:space="preserve">the experimental schedule, irrelevant of the behavior of the teacher. </w:t>
      </w:r>
      <w:r w:rsidR="00926D94" w:rsidRPr="008077A3">
        <w:rPr>
          <w:color w:val="000000"/>
          <w:lang w:val="en-US"/>
        </w:rPr>
        <w:t xml:space="preserve"> </w:t>
      </w:r>
      <w:r w:rsidR="008106C9">
        <w:rPr>
          <w:color w:val="000000"/>
          <w:lang w:val="en-US"/>
        </w:rPr>
        <w:t>Thus, the setting may have masked effects of teaching experience by providing too little opportunities of experienced teachers to demonstrate their true classroom management skills</w:t>
      </w:r>
      <w:r w:rsidR="00E41A24">
        <w:rPr>
          <w:color w:val="000000"/>
          <w:lang w:val="en-US"/>
        </w:rPr>
        <w:t>, in particular regarding the prevention of disruptions</w:t>
      </w:r>
      <w:r w:rsidR="008106C9">
        <w:rPr>
          <w:color w:val="000000"/>
          <w:lang w:val="en-US"/>
        </w:rPr>
        <w:t xml:space="preserve">.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 xml:space="preserve">teachers’ HR in </w:t>
      </w:r>
      <w:r w:rsidR="00E41A24">
        <w:rPr>
          <w:rStyle w:val="--l"/>
          <w:lang w:val="en-US"/>
        </w:rPr>
        <w:t xml:space="preserve">more </w:t>
      </w:r>
      <w:r w:rsidR="00210716" w:rsidRPr="008077A3">
        <w:rPr>
          <w:rStyle w:val="--l"/>
          <w:lang w:val="en-US"/>
        </w:rPr>
        <w:t>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w:t>
      </w:r>
      <w:r w:rsidR="00BC2830" w:rsidRPr="008077A3">
        <w:rPr>
          <w:rStyle w:val="--l"/>
          <w:lang w:val="en-US"/>
        </w:rPr>
        <w:lastRenderedPageBreak/>
        <w:t xml:space="preserve">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lastRenderedPageBreak/>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1948E711" w:rsidR="00BF2D07" w:rsidRDefault="00BF2D07" w:rsidP="003420F3">
      <w:pPr>
        <w:pStyle w:val="StandardWeb"/>
        <w:spacing w:before="240" w:after="240" w:line="480" w:lineRule="auto"/>
        <w:jc w:val="both"/>
        <w:rPr>
          <w:lang w:val="en-US"/>
        </w:rPr>
      </w:pPr>
      <w:r w:rsidRPr="00FF7064">
        <w:rPr>
          <w:lang w:val="en-US"/>
        </w:rPr>
        <w:t>F</w:t>
      </w:r>
      <w:r w:rsidR="00661775" w:rsidRPr="00FF7064">
        <w:rPr>
          <w:lang w:val="en-US"/>
        </w:rPr>
        <w:t xml:space="preserve">urthermore, </w:t>
      </w:r>
      <w:r w:rsidR="00536001" w:rsidRPr="00FF7064">
        <w:rPr>
          <w:lang w:val="en-US"/>
        </w:rPr>
        <w:t>while we assessed teachers</w:t>
      </w:r>
      <w:r w:rsidR="00F2771C" w:rsidRPr="00FF7064">
        <w:rPr>
          <w:lang w:val="en-US"/>
        </w:rPr>
        <w:t>’</w:t>
      </w:r>
      <w:r w:rsidR="00536001" w:rsidRPr="00FF7064">
        <w:rPr>
          <w:lang w:val="en-US"/>
        </w:rPr>
        <w:t xml:space="preserve"> appraisals of the stressful classroom disruptions using a </w:t>
      </w:r>
      <w:r w:rsidR="00116C07" w:rsidRPr="00FF7064">
        <w:rPr>
          <w:lang w:val="en-US"/>
        </w:rPr>
        <w:t>SRI</w:t>
      </w:r>
      <w:r w:rsidR="00536001" w:rsidRPr="00FF7064">
        <w:rPr>
          <w:lang w:val="en-US"/>
        </w:rPr>
        <w:t xml:space="preserve"> in which they could review the exact situation, these appraisal ratings were still post-hoc self-reports</w:t>
      </w:r>
      <w:r w:rsidR="00CE682B" w:rsidRPr="00FF7064">
        <w:rPr>
          <w:lang w:val="en-US"/>
        </w:rPr>
        <w:t xml:space="preserve">, which limits the interpretation of our results. </w:t>
      </w:r>
      <w:r w:rsidR="00E07320" w:rsidRPr="00FF7064">
        <w:rPr>
          <w:lang w:val="en-US"/>
        </w:rPr>
        <w:t xml:space="preserve">One of the main issues with post-hoc self-reports is that they rely on the teachers’ memories and subjective interpretations of past events, which may be prone to various biases </w:t>
      </w:r>
      <w:r w:rsidR="00EB3AC3" w:rsidRPr="00FF7064">
        <w:rPr>
          <w:lang w:val="en-US"/>
        </w:rPr>
        <w:t xml:space="preserve">such as </w:t>
      </w:r>
      <w:r w:rsidR="00E8469E" w:rsidRPr="00FF7064">
        <w:rPr>
          <w:lang w:val="en-US"/>
        </w:rPr>
        <w:t>social desirability [@razavi2001self] or recall errors [@van2016accuracy]</w:t>
      </w:r>
      <w:r w:rsidR="00EB3AC3" w:rsidRPr="00FF7064">
        <w:rPr>
          <w:lang w:val="en-US"/>
        </w:rPr>
        <w:t xml:space="preserve">. </w:t>
      </w:r>
      <w:r w:rsidR="001B2824" w:rsidRPr="00FF7064">
        <w:rPr>
          <w:lang w:val="en-US"/>
        </w:rPr>
        <w:t>Moreover, stress is not a fixed or stable construct; it is a dynamic, constantly evolving affective response that can vary depending on context, individual disposition, and prior experiences</w:t>
      </w:r>
      <w:r w:rsidR="00E41A24" w:rsidRPr="00FF7064">
        <w:rPr>
          <w:lang w:val="en-US"/>
        </w:rPr>
        <w:t>,</w:t>
      </w:r>
      <w:r w:rsidR="00AD52F8" w:rsidRPr="00FF7064">
        <w:rPr>
          <w:lang w:val="en-US"/>
        </w:rPr>
        <w:t xml:space="preserve"> </w:t>
      </w:r>
      <w:r w:rsidR="00070164" w:rsidRPr="00FF7064">
        <w:rPr>
          <w:lang w:val="en-US"/>
        </w:rPr>
        <w:t xml:space="preserve">making </w:t>
      </w:r>
      <w:r w:rsidR="001B2824" w:rsidRPr="00FF7064">
        <w:rPr>
          <w:lang w:val="en-US"/>
        </w:rPr>
        <w:t>it particularly challenging to pinpoint valid and reliable process markers for how individuals appraise stress in real-time</w:t>
      </w:r>
      <w:r w:rsidR="00070164" w:rsidRPr="00FF7064">
        <w:rPr>
          <w:lang w:val="en-US"/>
        </w:rPr>
        <w:t xml:space="preserve"> </w:t>
      </w:r>
      <w:r w:rsidR="00310B02" w:rsidRPr="00FF7064">
        <w:rPr>
          <w:lang w:val="en-US"/>
        </w:rPr>
        <w:t>[@lazarus1990theory]</w:t>
      </w:r>
      <w:r w:rsidR="001B2824" w:rsidRPr="00FF7064">
        <w:rPr>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0E819741"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w:t>
      </w:r>
      <w:r w:rsidRPr="00875D64">
        <w:rPr>
          <w:rFonts w:ascii="Times New Roman" w:eastAsia="Times New Roman" w:hAnsi="Times New Roman" w:cs="Times New Roman"/>
          <w:sz w:val="24"/>
          <w:szCs w:val="24"/>
          <w:lang w:val="en-US" w:eastAsia="de-DE"/>
        </w:rPr>
        <w:lastRenderedPageBreak/>
        <w:t xml:space="preserve">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1C944739"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r w:rsidR="005F5DD1">
        <w:rPr>
          <w:rFonts w:ascii="Times New Roman" w:eastAsia="Times New Roman" w:hAnsi="Times New Roman" w:cs="Times New Roman"/>
          <w:sz w:val="24"/>
          <w:szCs w:val="24"/>
          <w:lang w:val="en-US" w:eastAsia="de-DE"/>
        </w:rPr>
        <w:t>studies</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w:t>
      </w:r>
      <w:r w:rsidRPr="00875D64">
        <w:rPr>
          <w:rFonts w:ascii="Times New Roman" w:eastAsia="Times New Roman" w:hAnsi="Times New Roman" w:cs="Times New Roman"/>
          <w:sz w:val="24"/>
          <w:szCs w:val="24"/>
          <w:lang w:val="en-US" w:eastAsia="de-DE"/>
        </w:rPr>
        <w:lastRenderedPageBreak/>
        <w:t xml:space="preserve">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5F5DD1">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FF7064">
        <w:rPr>
          <w:rFonts w:ascii="Times New Roman" w:eastAsia="Times New Roman" w:hAnsi="Times New Roman" w:cs="Times New Roman"/>
          <w:sz w:val="24"/>
          <w:szCs w:val="24"/>
          <w:lang w:val="en-US" w:eastAsia="de-DE"/>
        </w:rPr>
        <w:t xml:space="preserve">Finally, </w:t>
      </w:r>
      <w:r w:rsidR="00C345D3" w:rsidRPr="00FF7064">
        <w:rPr>
          <w:rFonts w:ascii="Times New Roman" w:eastAsia="Times New Roman" w:hAnsi="Times New Roman" w:cs="Times New Roman"/>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2D963FBC"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0A7C86">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0A7C86">
        <w:rPr>
          <w:rFonts w:ascii="Times New Roman" w:eastAsia="Times New Roman" w:hAnsi="Times New Roman" w:cs="Times New Roman"/>
          <w:sz w:val="24"/>
          <w:szCs w:val="24"/>
          <w:lang w:val="en-US" w:eastAsia="de-DE"/>
        </w:rPr>
        <w:t xml:space="preserve"> after data collection</w:t>
      </w:r>
      <w:r w:rsidR="005F5DD1" w:rsidRPr="000A7C86">
        <w:rPr>
          <w:rFonts w:ascii="Times New Roman" w:eastAsia="Times New Roman" w:hAnsi="Times New Roman" w:cs="Times New Roman"/>
          <w:sz w:val="24"/>
          <w:szCs w:val="24"/>
          <w:lang w:val="en-US" w:eastAsia="de-DE"/>
        </w:rPr>
        <w:t>,</w:t>
      </w:r>
      <w:r w:rsidR="001B077E" w:rsidRPr="000A7C86">
        <w:rPr>
          <w:rFonts w:ascii="Times New Roman" w:eastAsia="Times New Roman" w:hAnsi="Times New Roman" w:cs="Times New Roman"/>
          <w:sz w:val="24"/>
          <w:szCs w:val="24"/>
          <w:lang w:val="en-US" w:eastAsia="de-DE"/>
        </w:rPr>
        <w:t xml:space="preserve"> </w:t>
      </w:r>
      <w:r w:rsidR="005F5DD1" w:rsidRPr="000A7C86">
        <w:rPr>
          <w:rFonts w:ascii="Times New Roman" w:eastAsia="Times New Roman" w:hAnsi="Times New Roman" w:cs="Times New Roman"/>
          <w:sz w:val="24"/>
          <w:szCs w:val="24"/>
          <w:lang w:val="en-US" w:eastAsia="de-DE"/>
        </w:rPr>
        <w:t xml:space="preserve">as </w:t>
      </w:r>
      <w:r w:rsidR="00FF445B" w:rsidRPr="000A7C86">
        <w:rPr>
          <w:rFonts w:ascii="Times New Roman" w:eastAsia="Times New Roman" w:hAnsi="Times New Roman" w:cs="Times New Roman"/>
          <w:sz w:val="24"/>
          <w:szCs w:val="24"/>
          <w:lang w:val="en-US" w:eastAsia="de-DE"/>
        </w:rPr>
        <w:t>some platforms automatically delete or archive older data files after a certain period</w:t>
      </w:r>
      <w:r w:rsidR="00E34345" w:rsidRPr="000A7C86">
        <w:rPr>
          <w:rFonts w:ascii="Times New Roman" w:eastAsia="Times New Roman" w:hAnsi="Times New Roman" w:cs="Times New Roman"/>
          <w:sz w:val="24"/>
          <w:szCs w:val="24"/>
          <w:lang w:val="en-US" w:eastAsia="de-DE"/>
        </w:rPr>
        <w:t xml:space="preserve"> due to policies regarding data storage and retention</w:t>
      </w:r>
      <w:r w:rsidR="00FF445B" w:rsidRPr="000A7C86">
        <w:rPr>
          <w:rFonts w:ascii="Times New Roman" w:eastAsia="Times New Roman" w:hAnsi="Times New Roman" w:cs="Times New Roman"/>
          <w:sz w:val="24"/>
          <w:szCs w:val="24"/>
          <w:lang w:val="en-US" w:eastAsia="de-DE"/>
        </w:rPr>
        <w:t>. This can result in loss of access to critical data</w:t>
      </w:r>
      <w:r w:rsidRPr="000A7C86">
        <w:rPr>
          <w:rFonts w:ascii="Times New Roman" w:eastAsia="Times New Roman" w:hAnsi="Times New Roman" w:cs="Times New Roman"/>
          <w:sz w:val="24"/>
          <w:szCs w:val="24"/>
          <w:lang w:val="en-US" w:eastAsia="de-DE"/>
        </w:rPr>
        <w:t xml:space="preserve">. </w:t>
      </w:r>
      <w:r w:rsidR="001B077E" w:rsidRPr="000A7C86">
        <w:rPr>
          <w:rFonts w:ascii="Times New Roman" w:eastAsia="Times New Roman" w:hAnsi="Times New Roman" w:cs="Times New Roman"/>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0A7C86">
        <w:rPr>
          <w:rFonts w:ascii="Times New Roman" w:eastAsia="Times New Roman" w:hAnsi="Times New Roman" w:cs="Times New Roman"/>
          <w:sz w:val="24"/>
          <w:szCs w:val="24"/>
          <w:lang w:val="en-US" w:eastAsia="de-DE"/>
        </w:rPr>
        <w:t xml:space="preserve">only </w:t>
      </w:r>
      <w:r w:rsidR="001B077E" w:rsidRPr="000A7C86">
        <w:rPr>
          <w:rFonts w:ascii="Times New Roman" w:eastAsia="Times New Roman" w:hAnsi="Times New Roman" w:cs="Times New Roman"/>
          <w:sz w:val="24"/>
          <w:szCs w:val="24"/>
          <w:lang w:val="en-US" w:eastAsia="de-DE"/>
        </w:rPr>
        <w:t>every 15 seconds</w:t>
      </w:r>
      <w:r w:rsidR="005F5DD1" w:rsidRPr="000A7C86">
        <w:rPr>
          <w:rFonts w:ascii="Times New Roman" w:eastAsia="Times New Roman" w:hAnsi="Times New Roman" w:cs="Times New Roman"/>
          <w:sz w:val="24"/>
          <w:szCs w:val="24"/>
          <w:lang w:val="en-US" w:eastAsia="de-DE"/>
        </w:rPr>
        <w:t>, possibly</w:t>
      </w:r>
      <w:r w:rsidR="001B077E" w:rsidRPr="000A7C86">
        <w:rPr>
          <w:rFonts w:ascii="Times New Roman" w:eastAsia="Times New Roman" w:hAnsi="Times New Roman" w:cs="Times New Roman"/>
          <w:sz w:val="24"/>
          <w:szCs w:val="24"/>
          <w:lang w:val="en-US" w:eastAsia="de-DE"/>
        </w:rPr>
        <w:t xml:space="preserve"> due to participant movement and tracker placement. </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Conclusion</w:t>
      </w:r>
    </w:p>
    <w:p w14:paraId="0977DCF4" w14:textId="7D5574EF"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Pr>
          <w:rFonts w:ascii="Times New Roman" w:hAnsi="Times New Roman" w:cs="Times New Roman"/>
          <w:sz w:val="24"/>
          <w:szCs w:val="24"/>
          <w:lang w:val="en-US"/>
        </w:rPr>
        <w:t>teacher stress</w:t>
      </w:r>
      <w:r w:rsidRPr="0007469A">
        <w:rPr>
          <w:rFonts w:ascii="Times New Roman" w:hAnsi="Times New Roman" w:cs="Times New Roman"/>
          <w:sz w:val="24"/>
          <w:szCs w:val="24"/>
          <w:lang w:val="en-US"/>
        </w:rPr>
        <w:t xml:space="preserve">.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w:t>
      </w:r>
      <w:r w:rsidR="0060154C">
        <w:rPr>
          <w:rFonts w:ascii="Times New Roman" w:hAnsi="Times New Roman" w:cs="Times New Roman"/>
          <w:sz w:val="24"/>
          <w:szCs w:val="24"/>
          <w:lang w:val="en-US"/>
        </w:rPr>
        <w:t>from</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 xml:space="preserve">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w:t>
      </w:r>
      <w:r w:rsidR="0060154C">
        <w:rPr>
          <w:rFonts w:ascii="Times New Roman" w:hAnsi="Times New Roman" w:cs="Times New Roman"/>
          <w:sz w:val="24"/>
          <w:szCs w:val="24"/>
          <w:lang w:val="en-US"/>
        </w:rPr>
        <w:t>both to</w:t>
      </w:r>
      <w:r w:rsidRPr="0007469A">
        <w:rPr>
          <w:rFonts w:ascii="Times New Roman" w:hAnsi="Times New Roman" w:cs="Times New Roman"/>
          <w:sz w:val="24"/>
          <w:szCs w:val="24"/>
          <w:lang w:val="en-US"/>
        </w:rPr>
        <w:t xml:space="preserve"> teachers </w:t>
      </w:r>
      <w:r w:rsidR="0060154C">
        <w:rPr>
          <w:rFonts w:ascii="Times New Roman" w:hAnsi="Times New Roman" w:cs="Times New Roman"/>
          <w:sz w:val="24"/>
          <w:szCs w:val="24"/>
          <w:lang w:val="en-US"/>
        </w:rPr>
        <w:t>for</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self-monitor</w:t>
      </w:r>
      <w:r w:rsidR="0060154C">
        <w:rPr>
          <w:rFonts w:ascii="Times New Roman" w:hAnsi="Times New Roman" w:cs="Times New Roman"/>
          <w:sz w:val="24"/>
          <w:szCs w:val="24"/>
          <w:lang w:val="en-US"/>
        </w:rPr>
        <w:t>ing</w:t>
      </w:r>
      <w:r w:rsidRPr="0007469A">
        <w:rPr>
          <w:rFonts w:ascii="Times New Roman" w:hAnsi="Times New Roman" w:cs="Times New Roman"/>
          <w:sz w:val="24"/>
          <w:szCs w:val="24"/>
          <w:lang w:val="en-US"/>
        </w:rPr>
        <w:t xml:space="preserve"> stress levels</w:t>
      </w:r>
      <w:r w:rsidR="006A1492">
        <w:rPr>
          <w:rFonts w:ascii="Times New Roman" w:hAnsi="Times New Roman" w:cs="Times New Roman"/>
          <w:sz w:val="24"/>
          <w:szCs w:val="24"/>
          <w:lang w:val="en-US"/>
        </w:rPr>
        <w:t>, and to researchers for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0A7C86">
        <w:rPr>
          <w:rFonts w:ascii="Times New Roman" w:eastAsia="Times New Roman" w:hAnsi="Times New Roman" w:cs="Times New Roman"/>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E70F" w14:textId="77777777" w:rsidR="002B70F1" w:rsidRDefault="002B70F1" w:rsidP="006C02A6">
      <w:pPr>
        <w:spacing w:after="0" w:line="240" w:lineRule="auto"/>
      </w:pPr>
      <w:r>
        <w:separator/>
      </w:r>
    </w:p>
  </w:endnote>
  <w:endnote w:type="continuationSeparator" w:id="0">
    <w:p w14:paraId="6559AD4F" w14:textId="77777777" w:rsidR="002B70F1" w:rsidRDefault="002B70F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E647" w14:textId="77777777" w:rsidR="002B70F1" w:rsidRDefault="002B70F1" w:rsidP="006C02A6">
      <w:pPr>
        <w:spacing w:after="0" w:line="240" w:lineRule="auto"/>
      </w:pPr>
      <w:r>
        <w:separator/>
      </w:r>
    </w:p>
  </w:footnote>
  <w:footnote w:type="continuationSeparator" w:id="0">
    <w:p w14:paraId="6F7C56BF" w14:textId="77777777" w:rsidR="002B70F1" w:rsidRDefault="002B70F1"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r w:rsidR="00D53C66" w:rsidRPr="00D53C66">
        <w:rPr>
          <w:rFonts w:ascii="Times New Roman" w:hAnsi="Times New Roman" w:cs="Times New Roman"/>
          <w:lang w:val="en-US"/>
        </w:rPr>
        <w:t>geom_</w:t>
      </w:r>
      <w:r w:rsidR="00D53C66" w:rsidRPr="00D53C66">
        <w:rPr>
          <w:rFonts w:ascii="Times New Roman" w:hAnsi="Times New Roman" w:cs="Times New Roman"/>
          <w:lang w:val="en-US"/>
        </w:rPr>
        <w:t>smooth()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r w:rsidRPr="00866C96">
        <w:rPr>
          <w:rStyle w:val="Kommentarzeichen"/>
          <w:rFonts w:ascii="Times New Roman" w:hAnsi="Times New Roman" w:cs="Times New Roman"/>
          <w:sz w:val="20"/>
          <w:szCs w:val="20"/>
        </w:rPr>
        <w:t/>
      </w:r>
      <w:r w:rsidRPr="00866C96">
        <w:rPr>
          <w:rStyle w:val="Kommentarzeichen"/>
          <w:rFonts w:ascii="Times New Roman" w:hAnsi="Times New Roman" w:cs="Times New Roman"/>
          <w:sz w:val="20"/>
          <w:szCs w:val="20"/>
        </w:rPr>
        <w:t/>
      </w:r>
      <w:r w:rsidRPr="00866C96">
        <w:rPr>
          <w:rStyle w:val="Kommentarzeichen"/>
          <w:rFonts w:ascii="Times New Roman" w:hAnsi="Times New Roman" w:cs="Times New Roman"/>
          <w:sz w:val="20"/>
          <w:szCs w:val="20"/>
        </w:rPr>
        <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7732</Words>
  <Characters>45624</Characters>
  <Application>Microsoft Office Word</Application>
  <DocSecurity>0</DocSecurity>
  <Lines>1382</Lines>
  <Paragraphs>613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2024-09-09T08:08:00Z</dcterms:created>
  <dcterms:modified xsi:type="dcterms:W3CDTF">2024-09-09T08:08:00Z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