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9E9A00F" w14:textId="176B1E93" w:rsidR="00157193" w:rsidRPr="008077A3" w:rsidRDefault="00927A6A"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Thus, we sought to investigate if </w:t>
      </w:r>
      <w:r w:rsidR="0048124B" w:rsidRPr="008077A3">
        <w:rPr>
          <w:rFonts w:ascii="Times New Roman" w:hAnsi="Times New Roman" w:cs="Times New Roman"/>
          <w:sz w:val="24"/>
          <w:szCs w:val="24"/>
          <w:lang w:val="en-US"/>
        </w:rPr>
        <w:t xml:space="preserve">fitness trackers as </w:t>
      </w:r>
    </w:p>
    <w:p w14:paraId="2323C783" w14:textId="7933D230" w:rsidR="0024738F" w:rsidRPr="008077A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837676" w:rsidRPr="008077A3">
        <w:rPr>
          <w:rFonts w:ascii="Times New Roman" w:hAnsi="Times New Roman" w:cs="Times New Roman"/>
          <w:sz w:val="24"/>
          <w:szCs w:val="24"/>
          <w:lang w:val="en-US"/>
        </w:rPr>
        <w:t xml:space="preserve">teacher stress, fitness tracker, </w:t>
      </w:r>
      <w:r w:rsidR="00921E37">
        <w:rPr>
          <w:rFonts w:ascii="Times New Roman" w:hAnsi="Times New Roman" w:cs="Times New Roman"/>
          <w:sz w:val="24"/>
          <w:szCs w:val="24"/>
          <w:lang w:val="en-US"/>
        </w:rPr>
        <w:t xml:space="preserve">heart rate </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commentRangeStart w:id="0"/>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commentRangeEnd w:id="0"/>
      <w:r w:rsidR="00271421" w:rsidRPr="008077A3">
        <w:rPr>
          <w:rStyle w:val="Kommentarzeichen"/>
          <w:rFonts w:ascii="Times New Roman" w:hAnsi="Times New Roman" w:cs="Times New Roman"/>
          <w:sz w:val="24"/>
          <w:szCs w:val="24"/>
        </w:rPr>
        <w:commentReference w:id="0"/>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lastRenderedPageBreak/>
        <w:t>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1"/>
      <w:commentRangeStart w:id="2"/>
      <w:r w:rsidR="00047AA4" w:rsidRPr="008077A3">
        <w:rPr>
          <w:rFonts w:ascii="Times New Roman" w:hAnsi="Times New Roman" w:cs="Times New Roman"/>
          <w:sz w:val="24"/>
          <w:szCs w:val="24"/>
          <w:lang w:val="en-US"/>
        </w:rPr>
        <w:t>.</w:t>
      </w:r>
      <w:commentRangeEnd w:id="1"/>
      <w:r w:rsidR="00AE6924" w:rsidRPr="008077A3">
        <w:rPr>
          <w:rStyle w:val="Kommentarzeichen"/>
          <w:rFonts w:ascii="Times New Roman" w:hAnsi="Times New Roman" w:cs="Times New Roman"/>
          <w:sz w:val="24"/>
          <w:szCs w:val="24"/>
        </w:rPr>
        <w:commentReference w:id="1"/>
      </w:r>
      <w:commentRangeEnd w:id="2"/>
      <w:r w:rsidR="0055623B" w:rsidRPr="008077A3">
        <w:rPr>
          <w:rStyle w:val="Kommentarzeichen"/>
          <w:rFonts w:ascii="Times New Roman" w:hAnsi="Times New Roman" w:cs="Times New Roman"/>
          <w:sz w:val="24"/>
          <w:szCs w:val="24"/>
        </w:rPr>
        <w:commentReference w:id="2"/>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Pr="008077A3">
        <w:rPr>
          <w:rFonts w:ascii="Times New Roman" w:hAnsi="Times New Roman" w:cs="Times New Roman"/>
          <w:sz w:val="24"/>
          <w:szCs w:val="24"/>
          <w:lang w:val="en-US"/>
        </w:rPr>
        <w:lastRenderedPageBreak/>
        <w:t>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lastRenderedPageBreak/>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w:t>
      </w:r>
      <w:r w:rsidR="00D01985" w:rsidRPr="008077A3">
        <w:rPr>
          <w:rFonts w:ascii="Times New Roman" w:hAnsi="Times New Roman" w:cs="Times New Roman"/>
          <w:sz w:val="24"/>
          <w:szCs w:val="24"/>
          <w:lang w:val="en-US"/>
        </w:rPr>
        <w:lastRenderedPageBreak/>
        <w:t xml:space="preserve">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w:t>
      </w:r>
      <w:r w:rsidR="006A49E7" w:rsidRPr="008077A3">
        <w:rPr>
          <w:rFonts w:ascii="Times New Roman" w:hAnsi="Times New Roman" w:cs="Times New Roman"/>
          <w:sz w:val="24"/>
          <w:szCs w:val="24"/>
          <w:lang w:val="en-US"/>
        </w:rPr>
        <w:lastRenderedPageBreak/>
        <w:t xml:space="preserve">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3"/>
      <w:commentRangeStart w:id="4"/>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3"/>
      <w:r w:rsidR="00A77C9D" w:rsidRPr="008077A3">
        <w:rPr>
          <w:rStyle w:val="Kommentarzeichen"/>
          <w:rFonts w:ascii="Times New Roman" w:hAnsi="Times New Roman" w:cs="Times New Roman"/>
          <w:sz w:val="24"/>
          <w:szCs w:val="24"/>
        </w:rPr>
        <w:commentReference w:id="3"/>
      </w:r>
      <w:commentRangeEnd w:id="4"/>
      <w:r w:rsidR="00F2616D" w:rsidRPr="008077A3">
        <w:rPr>
          <w:rStyle w:val="Kommentarzeichen"/>
          <w:rFonts w:ascii="Times New Roman" w:hAnsi="Times New Roman" w:cs="Times New Roman"/>
          <w:sz w:val="24"/>
          <w:szCs w:val="24"/>
        </w:rPr>
        <w:commentReference w:id="4"/>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w:t>
      </w:r>
      <w:r w:rsidRPr="008077A3">
        <w:rPr>
          <w:rFonts w:ascii="Times New Roman" w:hAnsi="Times New Roman" w:cs="Times New Roman"/>
          <w:sz w:val="24"/>
          <w:szCs w:val="24"/>
          <w:lang w:val="en-US"/>
        </w:rPr>
        <w:lastRenderedPageBreak/>
        <w:t xml:space="preserve">[@lazarus1990theory]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w:t>
      </w:r>
      <w:r w:rsidRPr="008077A3">
        <w:rPr>
          <w:rFonts w:ascii="Times New Roman" w:hAnsi="Times New Roman" w:cs="Times New Roman"/>
          <w:sz w:val="24"/>
          <w:szCs w:val="24"/>
          <w:lang w:val="en-US"/>
        </w:rPr>
        <w:lastRenderedPageBreak/>
        <w:t xml:space="preserve">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are considered to be important resources and have an influence on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 xml:space="preserve">effective classroom management and active </w:t>
      </w:r>
      <w:r w:rsidR="00AC4560" w:rsidRPr="008077A3">
        <w:rPr>
          <w:rFonts w:ascii="Times New Roman" w:hAnsi="Times New Roman" w:cs="Times New Roman"/>
          <w:sz w:val="24"/>
          <w:szCs w:val="24"/>
          <w:lang w:val="en-US"/>
        </w:rPr>
        <w:lastRenderedPageBreak/>
        <w:t>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teachers who felt </w:t>
      </w:r>
      <w:r w:rsidRPr="008077A3">
        <w:rPr>
          <w:rFonts w:ascii="Times New Roman" w:hAnsi="Times New Roman" w:cs="Times New Roman"/>
          <w:sz w:val="24"/>
          <w:szCs w:val="24"/>
          <w:lang w:val="en-US"/>
        </w:rPr>
        <w:lastRenderedPageBreak/>
        <w:t>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73A4298D"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w:t>
      </w:r>
      <w:r w:rsidR="00BB3C62"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Charge 4.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w:t>
      </w:r>
      <w:r w:rsidR="00F25EE7">
        <w:rPr>
          <w:rFonts w:ascii="Times New Roman" w:eastAsia="Times New Roman" w:hAnsi="Times New Roman" w:cs="Times New Roman"/>
          <w:color w:val="000000"/>
          <w:sz w:val="24"/>
          <w:szCs w:val="24"/>
          <w:lang w:val="en-US" w:eastAsia="de-DE"/>
        </w:rPr>
        <w:t xml:space="preserve">the </w:t>
      </w:r>
      <w:r w:rsidR="002F5C1C" w:rsidRPr="008077A3">
        <w:rPr>
          <w:rFonts w:ascii="Times New Roman" w:eastAsia="Times New Roman" w:hAnsi="Times New Roman" w:cs="Times New Roman"/>
          <w:color w:val="000000"/>
          <w:sz w:val="24"/>
          <w:szCs w:val="24"/>
          <w:lang w:val="en-US" w:eastAsia="de-DE"/>
        </w:rPr>
        <w:t>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commentRangeStart w:id="7"/>
      <w:commentRangeEnd w:id="7"/>
      <w:r w:rsidR="00654600" w:rsidRPr="008077A3">
        <w:rPr>
          <w:rStyle w:val="Kommentarzeichen"/>
          <w:rFonts w:ascii="Times New Roman" w:hAnsi="Times New Roman" w:cs="Times New Roman"/>
          <w:sz w:val="24"/>
          <w:szCs w:val="24"/>
        </w:rPr>
        <w:commentReference w:id="7"/>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lastRenderedPageBreak/>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6C8CBAC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r w:rsidR="00A1026D">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8"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8"/>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9"/>
      <w:commentRangeStart w:id="10"/>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9"/>
      <w:r w:rsidR="002E604C" w:rsidRPr="008077A3">
        <w:rPr>
          <w:rStyle w:val="Kommentarzeichen"/>
          <w:rFonts w:ascii="Times New Roman" w:hAnsi="Times New Roman" w:cs="Times New Roman"/>
          <w:sz w:val="24"/>
          <w:szCs w:val="24"/>
        </w:rPr>
        <w:commentReference w:id="9"/>
      </w:r>
      <w:commentRangeEnd w:id="10"/>
      <w:r w:rsidR="00E456AE" w:rsidRPr="008077A3">
        <w:rPr>
          <w:rStyle w:val="Kommentarzeichen"/>
          <w:rFonts w:ascii="Times New Roman" w:hAnsi="Times New Roman" w:cs="Times New Roman"/>
          <w:sz w:val="24"/>
          <w:szCs w:val="24"/>
        </w:rPr>
        <w:commentReference w:id="10"/>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C12E31"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1"/>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1"/>
      <w:r w:rsidR="001A3A47" w:rsidRPr="008077A3">
        <w:rPr>
          <w:rStyle w:val="Kommentarzeichen"/>
          <w:rFonts w:ascii="Times New Roman" w:hAnsi="Times New Roman" w:cs="Times New Roman"/>
          <w:sz w:val="24"/>
          <w:szCs w:val="24"/>
        </w:rPr>
        <w:commentReference w:id="11"/>
      </w: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lastRenderedPageBreak/>
        <w:t>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lastRenderedPageBreak/>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C12E31"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lastRenderedPageBreak/>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2"/>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2"/>
      <w:r w:rsidR="007267D5" w:rsidRPr="008077A3">
        <w:rPr>
          <w:rStyle w:val="Kommentarzeichen"/>
          <w:rFonts w:ascii="Times New Roman" w:hAnsi="Times New Roman" w:cs="Times New Roman"/>
          <w:sz w:val="24"/>
          <w:szCs w:val="24"/>
        </w:rPr>
        <w:commentReference w:id="12"/>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 xml:space="preserve">mean </w:t>
      </w:r>
      <w:r w:rsidR="00642E5A" w:rsidRPr="008077A3">
        <w:rPr>
          <w:rFonts w:ascii="Times New Roman" w:eastAsia="Times New Roman" w:hAnsi="Times New Roman" w:cs="Times New Roman"/>
          <w:color w:val="000000"/>
          <w:sz w:val="24"/>
          <w:szCs w:val="24"/>
          <w:highlight w:val="yellow"/>
          <w:lang w:val="en-US" w:eastAsia="de-DE"/>
        </w:rPr>
        <w:lastRenderedPageBreak/>
        <w:t>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w:t>
      </w:r>
      <w:r w:rsidR="00660517" w:rsidRPr="008077A3">
        <w:rPr>
          <w:rFonts w:ascii="Times New Roman" w:eastAsia="Times New Roman" w:hAnsi="Times New Roman" w:cs="Times New Roman"/>
          <w:color w:val="000000"/>
          <w:sz w:val="24"/>
          <w:szCs w:val="24"/>
          <w:lang w:val="en-US" w:eastAsia="de-DE"/>
        </w:rPr>
        <w:lastRenderedPageBreak/>
        <w:t xml:space="preserve">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D44633" w:rsidRPr="00C12E31" w14:paraId="056D5EEB" w14:textId="77777777" w:rsidTr="00B67557">
        <w:trPr>
          <w:trHeight w:val="544"/>
        </w:trPr>
        <w:tc>
          <w:tcPr>
            <w:tcW w:w="1985"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992"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B67557">
        <w:trPr>
          <w:trHeight w:val="544"/>
        </w:trPr>
        <w:tc>
          <w:tcPr>
            <w:tcW w:w="1985"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260" w:type="dxa"/>
            <w:gridSpan w:val="4"/>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261" w:type="dxa"/>
            <w:gridSpan w:val="4"/>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3260"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544"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B67557">
        <w:trPr>
          <w:trHeight w:val="306"/>
        </w:trPr>
        <w:tc>
          <w:tcPr>
            <w:tcW w:w="1985"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701" w:type="dxa"/>
            <w:gridSpan w:val="2"/>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701"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701"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843"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64621A" w:rsidRPr="008077A3" w14:paraId="0D08FADB" w14:textId="77777777" w:rsidTr="0064621A">
        <w:trPr>
          <w:trHeight w:val="331"/>
        </w:trPr>
        <w:tc>
          <w:tcPr>
            <w:tcW w:w="1985"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2" w:type="dxa"/>
            <w:tcBorders>
              <w:bottom w:val="single" w:sz="4" w:space="0" w:color="auto"/>
            </w:tcBorders>
            <w:hideMark/>
          </w:tcPr>
          <w:p w14:paraId="7677B54F" w14:textId="5BD92695" w:rsidR="00D44633" w:rsidRPr="008077A3" w:rsidRDefault="007758F1"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993" w:type="dxa"/>
            <w:tcBorders>
              <w:bottom w:val="single" w:sz="4" w:space="0" w:color="auto"/>
            </w:tcBorders>
          </w:tcPr>
          <w:p w14:paraId="13ABF78A" w14:textId="63914BF9" w:rsidR="00D44633" w:rsidRPr="008077A3" w:rsidRDefault="005A176D" w:rsidP="0064621A">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hideMark/>
          </w:tcPr>
          <w:p w14:paraId="474437F5" w14:textId="77777777" w:rsidR="00D44633" w:rsidRPr="008077A3" w:rsidRDefault="00D44633"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64621A">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1129"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72"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45"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856"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993"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64621A" w:rsidRPr="008077A3" w14:paraId="7F46EA68" w14:textId="77777777" w:rsidTr="0064621A">
        <w:trPr>
          <w:trHeight w:val="672"/>
        </w:trPr>
        <w:tc>
          <w:tcPr>
            <w:tcW w:w="1985"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992"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1129"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72"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45"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6"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993"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64621A" w:rsidRPr="008077A3" w14:paraId="48F70FA6" w14:textId="77777777" w:rsidTr="0064621A">
        <w:trPr>
          <w:trHeight w:val="696"/>
        </w:trPr>
        <w:tc>
          <w:tcPr>
            <w:tcW w:w="1985"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70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0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993"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246C8396" w14:textId="77777777" w:rsidTr="0064621A">
        <w:trPr>
          <w:trHeight w:val="696"/>
        </w:trPr>
        <w:tc>
          <w:tcPr>
            <w:tcW w:w="1985"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0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A67413C" w14:textId="77777777" w:rsidTr="0064621A">
        <w:trPr>
          <w:trHeight w:val="696"/>
        </w:trPr>
        <w:tc>
          <w:tcPr>
            <w:tcW w:w="1985"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64621A" w:rsidRPr="008077A3" w14:paraId="5B04F67C" w14:textId="77777777" w:rsidTr="0064621A">
        <w:trPr>
          <w:trHeight w:val="737"/>
        </w:trPr>
        <w:tc>
          <w:tcPr>
            <w:tcW w:w="1985"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70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993"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1129"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45"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856"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0"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993"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64621A" w:rsidRPr="008077A3" w14:paraId="41AA7E23" w14:textId="77777777" w:rsidTr="0064621A">
        <w:trPr>
          <w:trHeight w:val="737"/>
        </w:trPr>
        <w:tc>
          <w:tcPr>
            <w:tcW w:w="1985"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1129"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0"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64621A" w:rsidRPr="008077A3" w14:paraId="58F97C1C" w14:textId="77777777" w:rsidTr="0064621A">
        <w:trPr>
          <w:trHeight w:val="737"/>
        </w:trPr>
        <w:tc>
          <w:tcPr>
            <w:tcW w:w="1985"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992"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72"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45"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6"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993"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64621A" w:rsidRPr="008077A3" w14:paraId="29729ED6" w14:textId="77777777" w:rsidTr="0064621A">
        <w:trPr>
          <w:trHeight w:val="737"/>
        </w:trPr>
        <w:tc>
          <w:tcPr>
            <w:tcW w:w="1985"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992"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856"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0"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28CE715" w14:textId="77777777" w:rsidTr="0064621A">
        <w:trPr>
          <w:trHeight w:val="737"/>
        </w:trPr>
        <w:tc>
          <w:tcPr>
            <w:tcW w:w="1985"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992"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708" w:type="dxa"/>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709"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72"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856"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993"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0E4CDC8" w14:textId="77777777" w:rsidTr="0064621A">
        <w:trPr>
          <w:trHeight w:val="737"/>
        </w:trPr>
        <w:tc>
          <w:tcPr>
            <w:tcW w:w="1985"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993"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709"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7E88BF7D" w14:textId="77777777" w:rsidTr="0064621A">
        <w:trPr>
          <w:trHeight w:val="737"/>
        </w:trPr>
        <w:tc>
          <w:tcPr>
            <w:tcW w:w="1985"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992"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993"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708" w:type="dxa"/>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9"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1129"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72"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45"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856"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0"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993"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64621A" w:rsidRPr="008077A3" w14:paraId="6080F08F" w14:textId="77777777" w:rsidTr="0064621A">
        <w:trPr>
          <w:trHeight w:val="1023"/>
        </w:trPr>
        <w:tc>
          <w:tcPr>
            <w:tcW w:w="1985"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708" w:type="dxa"/>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1129"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0"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993"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64621A" w:rsidRPr="008077A3" w14:paraId="005C844F" w14:textId="77777777" w:rsidTr="0064621A">
        <w:trPr>
          <w:trHeight w:val="737"/>
        </w:trPr>
        <w:tc>
          <w:tcPr>
            <w:tcW w:w="1985"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1129"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72"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45"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856"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0"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64621A" w:rsidRPr="008077A3" w14:paraId="089EDD93" w14:textId="77777777" w:rsidTr="0064621A">
        <w:trPr>
          <w:trHeight w:val="737"/>
        </w:trPr>
        <w:tc>
          <w:tcPr>
            <w:tcW w:w="1985"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992"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70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708" w:type="dxa"/>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709"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72"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856"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993"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95138C2" w14:textId="77777777" w:rsidTr="0064621A">
        <w:trPr>
          <w:trHeight w:val="737"/>
        </w:trPr>
        <w:tc>
          <w:tcPr>
            <w:tcW w:w="1985"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992"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993"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708" w:type="dxa"/>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709"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72"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856"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993"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32775688" w14:textId="77777777" w:rsidTr="0064621A">
        <w:trPr>
          <w:trHeight w:val="737"/>
        </w:trPr>
        <w:tc>
          <w:tcPr>
            <w:tcW w:w="1985"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5"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6"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CEAE2F9" w14:textId="77777777" w:rsidTr="0064621A">
        <w:trPr>
          <w:trHeight w:val="737"/>
        </w:trPr>
        <w:tc>
          <w:tcPr>
            <w:tcW w:w="1985"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993"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9"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1129"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72"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45"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993"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64621A" w:rsidRPr="008077A3" w14:paraId="3B0DEFEB" w14:textId="77777777" w:rsidTr="0064621A">
        <w:trPr>
          <w:trHeight w:val="737"/>
        </w:trPr>
        <w:tc>
          <w:tcPr>
            <w:tcW w:w="1985"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Appraisal</w:t>
            </w:r>
          </w:p>
        </w:tc>
        <w:tc>
          <w:tcPr>
            <w:tcW w:w="992"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708" w:type="dxa"/>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9"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8E6384" w:rsidRPr="008077A3">
              <w:rPr>
                <w:rFonts w:ascii="Times New Roman" w:eastAsia="Times New Roman" w:hAnsi="Times New Roman" w:cs="Times New Roman"/>
                <w:color w:val="000000"/>
                <w:sz w:val="24"/>
                <w:szCs w:val="24"/>
                <w:lang w:eastAsia="de-DE"/>
              </w:rPr>
              <w:t>52</w:t>
            </w:r>
          </w:p>
        </w:tc>
        <w:tc>
          <w:tcPr>
            <w:tcW w:w="1129"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lastRenderedPageBreak/>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0"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B9102B" w:rsidRPr="008077A3">
              <w:rPr>
                <w:rFonts w:ascii="Times New Roman" w:eastAsia="Times New Roman" w:hAnsi="Times New Roman" w:cs="Times New Roman"/>
                <w:color w:val="000000"/>
                <w:sz w:val="24"/>
                <w:szCs w:val="24"/>
                <w:lang w:eastAsia="de-DE"/>
              </w:rPr>
              <w:t>.007)</w:t>
            </w:r>
          </w:p>
        </w:tc>
        <w:tc>
          <w:tcPr>
            <w:tcW w:w="993"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3E473E" w:rsidRPr="008077A3">
              <w:rPr>
                <w:rFonts w:ascii="Times New Roman" w:eastAsia="Times New Roman" w:hAnsi="Times New Roman" w:cs="Times New Roman"/>
                <w:color w:val="000000"/>
                <w:sz w:val="24"/>
                <w:szCs w:val="24"/>
                <w:lang w:eastAsia="de-DE"/>
              </w:rPr>
              <w:t>34</w:t>
            </w:r>
          </w:p>
        </w:tc>
      </w:tr>
      <w:tr w:rsidR="0064621A" w:rsidRPr="008077A3" w14:paraId="02108FCC" w14:textId="77777777" w:rsidTr="0064621A">
        <w:trPr>
          <w:trHeight w:val="737"/>
        </w:trPr>
        <w:tc>
          <w:tcPr>
            <w:tcW w:w="1985"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72"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45"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993"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64621A" w:rsidRPr="008077A3" w14:paraId="7682F168" w14:textId="77777777" w:rsidTr="0064621A">
        <w:trPr>
          <w:trHeight w:val="737"/>
        </w:trPr>
        <w:tc>
          <w:tcPr>
            <w:tcW w:w="1985"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708" w:type="dxa"/>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9"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72"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856"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993"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1921F4D3" w14:textId="77777777" w:rsidTr="0064621A">
        <w:trPr>
          <w:trHeight w:val="737"/>
        </w:trPr>
        <w:tc>
          <w:tcPr>
            <w:tcW w:w="1985"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8" w:type="dxa"/>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9"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72"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56"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993"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6DA5338" w14:textId="77777777" w:rsidTr="0064621A">
        <w:trPr>
          <w:trHeight w:val="921"/>
        </w:trPr>
        <w:tc>
          <w:tcPr>
            <w:tcW w:w="1985"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992"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481FABF8" w14:textId="77777777" w:rsidTr="0064621A">
        <w:trPr>
          <w:trHeight w:val="525"/>
        </w:trPr>
        <w:tc>
          <w:tcPr>
            <w:tcW w:w="1985"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992"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70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993"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1129"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72"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45"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56"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0"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64621A" w:rsidRPr="008077A3" w14:paraId="368D6EEB" w14:textId="77777777" w:rsidTr="0064621A">
        <w:trPr>
          <w:trHeight w:val="987"/>
        </w:trPr>
        <w:tc>
          <w:tcPr>
            <w:tcW w:w="1985"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708" w:type="dxa"/>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1129"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72"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0"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64621A" w:rsidRPr="008077A3" w14:paraId="23578B06" w14:textId="77777777" w:rsidTr="0064621A">
        <w:trPr>
          <w:trHeight w:val="737"/>
        </w:trPr>
        <w:tc>
          <w:tcPr>
            <w:tcW w:w="1985"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992"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72"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45"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6"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0"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64621A" w:rsidRPr="008077A3" w14:paraId="3F3B6767" w14:textId="77777777" w:rsidTr="0064621A">
        <w:trPr>
          <w:trHeight w:val="737"/>
        </w:trPr>
        <w:tc>
          <w:tcPr>
            <w:tcW w:w="1985"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70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8" w:type="dxa"/>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709"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72"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856"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993"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64621A" w:rsidRPr="008077A3" w14:paraId="20DAE85D" w14:textId="77777777" w:rsidTr="0064621A">
        <w:trPr>
          <w:trHeight w:val="737"/>
        </w:trPr>
        <w:tc>
          <w:tcPr>
            <w:tcW w:w="1985"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992"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993"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8" w:type="dxa"/>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09"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1129"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72"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45"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856"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993"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3325" w:type="dxa"/>
            <w:gridSpan w:val="17"/>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3"/>
      <w:commentRangeStart w:id="14"/>
      <w:r w:rsidR="00AA3B57" w:rsidRPr="008077A3">
        <w:rPr>
          <w:rStyle w:val="--l"/>
          <w:lang w:val="en-US"/>
        </w:rPr>
        <w:t xml:space="preserve">insufficient </w:t>
      </w:r>
      <w:commentRangeEnd w:id="13"/>
      <w:r w:rsidR="00A95D29" w:rsidRPr="008077A3">
        <w:rPr>
          <w:rStyle w:val="Kommentarzeichen"/>
          <w:rFonts w:eastAsiaTheme="minorHAnsi"/>
          <w:sz w:val="24"/>
          <w:szCs w:val="24"/>
          <w:lang w:eastAsia="en-US"/>
        </w:rPr>
        <w:commentReference w:id="13"/>
      </w:r>
      <w:commentRangeEnd w:id="14"/>
      <w:r w:rsidR="00FB2939" w:rsidRPr="008077A3">
        <w:rPr>
          <w:rStyle w:val="Kommentarzeichen"/>
          <w:rFonts w:eastAsiaTheme="minorHAnsi"/>
          <w:sz w:val="24"/>
          <w:szCs w:val="24"/>
          <w:lang w:eastAsia="en-US"/>
        </w:rPr>
        <w:commentReference w:id="14"/>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15"/>
      <w:r w:rsidRPr="008077A3">
        <w:rPr>
          <w:lang w:val="en-US"/>
        </w:rPr>
        <w:t>at least in currently available models.</w:t>
      </w:r>
      <w:r w:rsidRPr="008077A3">
        <w:rPr>
          <w:rStyle w:val="--l"/>
          <w:lang w:val="en-US"/>
        </w:rPr>
        <w:t xml:space="preserve"> </w:t>
      </w:r>
      <w:commentRangeEnd w:id="15"/>
      <w:r w:rsidR="0029442D">
        <w:rPr>
          <w:rStyle w:val="Kommentarzeichen"/>
          <w:rFonts w:asciiTheme="minorHAnsi" w:eastAsiaTheme="minorHAnsi" w:hAnsiTheme="minorHAnsi" w:cstheme="minorBidi"/>
          <w:lang w:eastAsia="en-US"/>
        </w:rPr>
        <w:commentReference w:id="15"/>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Pr="008077A3" w:rsidRDefault="00FB37F5" w:rsidP="003420F3">
      <w:pPr>
        <w:pStyle w:val="StandardWeb"/>
        <w:spacing w:before="240" w:beforeAutospacing="0" w:after="240" w:afterAutospacing="0" w:line="480" w:lineRule="auto"/>
        <w:jc w:val="both"/>
        <w:rPr>
          <w:color w:val="000000"/>
          <w:lang w:val="en-US"/>
        </w:rPr>
      </w:pPr>
    </w:p>
    <w:p w14:paraId="432966D0" w14:textId="3BD150BC"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43760B39"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042395">
        <w:rPr>
          <w:color w:val="000000"/>
          <w:lang w:val="en-US"/>
        </w:rPr>
        <w:t xml:space="preserve"> with </w:t>
      </w:r>
      <w:r w:rsidR="00AF70F5">
        <w:rPr>
          <w:color w:val="000000"/>
          <w:lang w:val="en-US"/>
        </w:rPr>
        <w:t xml:space="preserve">practical implications. </w:t>
      </w:r>
      <w:r w:rsidR="00896DD3" w:rsidRPr="008077A3">
        <w:rPr>
          <w:color w:val="000000"/>
          <w:lang w:val="en-US"/>
        </w:rPr>
        <w:t>First, implications for teacher</w:t>
      </w:r>
      <w:r w:rsidR="00C45F9E" w:rsidRPr="008077A3">
        <w:rPr>
          <w:color w:val="000000"/>
          <w:lang w:val="en-US"/>
        </w:rPr>
        <w:t xml:space="preserve">s and teaching </w:t>
      </w:r>
      <w:r w:rsidR="00896DD3" w:rsidRPr="008077A3">
        <w:rPr>
          <w:color w:val="000000"/>
          <w:lang w:val="en-US"/>
        </w:rPr>
        <w:lastRenderedPageBreak/>
        <w:t xml:space="preserve">training will be presented, followed by some central guidelines for researchers to consider when working with fitness trackers. </w:t>
      </w:r>
    </w:p>
    <w:p w14:paraId="5B4DEC7D" w14:textId="41C49993"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9C317B">
        <w:rPr>
          <w:color w:val="000000"/>
          <w:lang w:val="en-US"/>
        </w:rPr>
        <w:t>Accordingly,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3B238B">
        <w:rPr>
          <w:rStyle w:val="--l"/>
          <w:lang w:val="en-US"/>
        </w:rPr>
        <w:t>, etc.</w:t>
      </w:r>
      <w:r w:rsidR="001F3E3E" w:rsidRPr="001F3E3E">
        <w:rPr>
          <w:rStyle w:val="--l"/>
          <w:lang w:val="en-US"/>
        </w:rPr>
        <w:t>).</w:t>
      </w:r>
      <w:r w:rsidR="00A33A20">
        <w:rPr>
          <w:rStyle w:val="--l"/>
          <w:color w:val="000000"/>
          <w:lang w:val="en-US"/>
        </w:rPr>
        <w:t xml:space="preserve"> </w:t>
      </w:r>
    </w:p>
    <w:p w14:paraId="75A3C199" w14:textId="2C8542D6"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The SRI method has proven very insightful for adding the teacher</w:t>
      </w:r>
      <w:r w:rsidR="00312E76">
        <w:rPr>
          <w:color w:val="000000"/>
          <w:lang w:val="en-US"/>
        </w:rPr>
        <w:t>’</w:t>
      </w:r>
      <w:r w:rsidRPr="008077A3">
        <w:rPr>
          <w:color w:val="000000"/>
          <w:lang w:val="en-US"/>
        </w:rPr>
        <w:t xml:space="preserve">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799943FE" w14:textId="446B0100" w:rsidR="00F05F1C" w:rsidRDefault="005E24C0" w:rsidP="00F05F1C">
      <w:pPr>
        <w:pStyle w:val="StandardWeb"/>
        <w:spacing w:before="240" w:after="240" w:line="480" w:lineRule="auto"/>
        <w:jc w:val="both"/>
        <w:rPr>
          <w:color w:val="000000"/>
          <w:lang w:val="en-US"/>
        </w:rPr>
      </w:pPr>
      <w:commentRangeStart w:id="16"/>
      <w:r w:rsidRPr="008077A3">
        <w:rPr>
          <w:color w:val="000000"/>
          <w:lang w:val="en-US"/>
        </w:rPr>
        <w:t xml:space="preserve">For researchers wishing to use fitness trackers in data collection, </w:t>
      </w:r>
      <w:commentRangeEnd w:id="16"/>
      <w:r w:rsidR="00EC583A" w:rsidRPr="008077A3">
        <w:rPr>
          <w:rStyle w:val="Kommentarzeichen"/>
          <w:rFonts w:eastAsiaTheme="minorHAnsi"/>
          <w:sz w:val="24"/>
          <w:szCs w:val="24"/>
          <w:lang w:eastAsia="en-US"/>
        </w:rPr>
        <w:commentReference w:id="16"/>
      </w:r>
      <w:r w:rsidRPr="008077A3">
        <w:rPr>
          <w:color w:val="000000"/>
          <w:lang w:val="en-US"/>
        </w:rPr>
        <w:t xml:space="preserve">a few </w:t>
      </w:r>
      <w:commentRangeStart w:id="17"/>
      <w:commentRangeStart w:id="18"/>
      <w:r w:rsidRPr="008077A3">
        <w:rPr>
          <w:color w:val="000000"/>
          <w:lang w:val="en-US"/>
        </w:rPr>
        <w:t xml:space="preserve">practical </w:t>
      </w:r>
      <w:commentRangeEnd w:id="17"/>
      <w:r w:rsidRPr="008077A3">
        <w:rPr>
          <w:rStyle w:val="Kommentarzeichen"/>
          <w:rFonts w:eastAsiaTheme="minorHAnsi"/>
          <w:sz w:val="24"/>
          <w:szCs w:val="24"/>
          <w:lang w:eastAsia="en-US"/>
        </w:rPr>
        <w:commentReference w:id="17"/>
      </w:r>
      <w:commentRangeEnd w:id="18"/>
      <w:r w:rsidR="003D2DDD" w:rsidRPr="008077A3">
        <w:rPr>
          <w:rStyle w:val="Kommentarzeichen"/>
          <w:rFonts w:eastAsiaTheme="minorHAnsi"/>
          <w:sz w:val="24"/>
          <w:szCs w:val="24"/>
          <w:lang w:eastAsia="en-US"/>
        </w:rPr>
        <w:commentReference w:id="18"/>
      </w:r>
      <w:r w:rsidRPr="008077A3">
        <w:rPr>
          <w:color w:val="000000"/>
          <w:lang w:val="en-US"/>
        </w:rPr>
        <w:t xml:space="preserve">aspects to consider </w:t>
      </w:r>
      <w:r w:rsidR="00F275C3">
        <w:rPr>
          <w:color w:val="000000"/>
          <w:lang w:val="en-US"/>
        </w:rPr>
        <w:t xml:space="preserve">concerning the </w:t>
      </w:r>
      <w:r w:rsidR="00CA7619">
        <w:rPr>
          <w:color w:val="000000"/>
          <w:lang w:val="en-US"/>
        </w:rPr>
        <w:t xml:space="preserve">planning, </w:t>
      </w:r>
      <w:r w:rsidR="00F05F1C">
        <w:rPr>
          <w:color w:val="000000"/>
          <w:lang w:val="en-US"/>
        </w:rPr>
        <w:t>data collection</w:t>
      </w:r>
      <w:r w:rsidR="00664103">
        <w:rPr>
          <w:color w:val="000000"/>
          <w:lang w:val="en-US"/>
        </w:rPr>
        <w:t>,</w:t>
      </w:r>
      <w:r w:rsidR="00CA7619">
        <w:rPr>
          <w:color w:val="000000"/>
          <w:lang w:val="en-US"/>
        </w:rPr>
        <w:t xml:space="preserve"> and follow-up</w:t>
      </w:r>
      <w:r w:rsidR="00F05F1C">
        <w:rPr>
          <w:color w:val="000000"/>
          <w:lang w:val="en-US"/>
        </w:rPr>
        <w:t xml:space="preserve"> procedure of studies</w:t>
      </w:r>
      <w:r w:rsidR="00664103">
        <w:rPr>
          <w:color w:val="000000"/>
          <w:lang w:val="en-US"/>
        </w:rPr>
        <w:t xml:space="preserve">. </w:t>
      </w:r>
    </w:p>
    <w:p w14:paraId="50253E77" w14:textId="70B0E211" w:rsidR="00197123" w:rsidRDefault="00664103" w:rsidP="00197123">
      <w:pPr>
        <w:pStyle w:val="StandardWeb"/>
        <w:numPr>
          <w:ilvl w:val="0"/>
          <w:numId w:val="37"/>
        </w:numPr>
        <w:spacing w:before="240" w:after="240" w:line="480" w:lineRule="auto"/>
        <w:jc w:val="both"/>
        <w:rPr>
          <w:rStyle w:val="--l"/>
          <w:lang w:val="en-US"/>
        </w:rPr>
      </w:pPr>
      <w:r w:rsidRPr="00C97217">
        <w:rPr>
          <w:b/>
          <w:bCs/>
          <w:color w:val="000000"/>
          <w:lang w:val="en-US"/>
        </w:rPr>
        <w:t>Planning</w:t>
      </w:r>
      <w:r>
        <w:rPr>
          <w:color w:val="000000"/>
          <w:lang w:val="en-US"/>
        </w:rPr>
        <w:t xml:space="preserve">:  </w:t>
      </w:r>
      <w:r w:rsidR="00F05F1C" w:rsidRPr="00F05F1C">
        <w:rPr>
          <w:color w:val="000000"/>
          <w:lang w:val="en-US"/>
        </w:rPr>
        <w:t xml:space="preserve">First of all, depending on the research question, it should be decided which </w:t>
      </w:r>
      <w:r w:rsidR="00F05F1C" w:rsidRPr="007E75AF">
        <w:rPr>
          <w:color w:val="000000"/>
          <w:lang w:val="en-US"/>
        </w:rPr>
        <w:t>model of fitness tracker</w:t>
      </w:r>
      <w:r w:rsidR="00F05F1C" w:rsidRPr="00F05F1C">
        <w:rPr>
          <w:color w:val="000000"/>
          <w:lang w:val="en-US"/>
        </w:rPr>
        <w:t xml:space="preserve"> is to be used. It must be taken into account whether the study will be conducted in the laboratory, in a medical environment</w:t>
      </w:r>
      <w:r w:rsidR="00F05F1C">
        <w:rPr>
          <w:color w:val="000000"/>
          <w:lang w:val="en-US"/>
        </w:rPr>
        <w:t>,</w:t>
      </w:r>
      <w:r w:rsidR="00F05F1C" w:rsidRPr="00F05F1C">
        <w:rPr>
          <w:color w:val="000000"/>
          <w:lang w:val="en-US"/>
        </w:rPr>
        <w:t xml:space="preserve"> or under actual real</w:t>
      </w:r>
      <w:r w:rsidR="00F05F1C">
        <w:rPr>
          <w:color w:val="000000"/>
          <w:lang w:val="en-US"/>
        </w:rPr>
        <w:t>-</w:t>
      </w:r>
      <w:r w:rsidR="00F05F1C" w:rsidRPr="00F05F1C">
        <w:rPr>
          <w:color w:val="000000"/>
          <w:lang w:val="en-US"/>
        </w:rPr>
        <w:t>world conditions.</w:t>
      </w:r>
      <w:r w:rsidR="00F05F1C">
        <w:rPr>
          <w:color w:val="000000"/>
          <w:lang w:val="en-US"/>
        </w:rPr>
        <w:t xml:space="preserve"> </w:t>
      </w:r>
      <w:r w:rsidR="000C5623" w:rsidRPr="000C5623">
        <w:rPr>
          <w:color w:val="000000"/>
          <w:lang w:val="en-US"/>
        </w:rPr>
        <w:t>As already mentioned, conventional fitness trackers should not be used if the focus is on measurement accuracy, such as in medical studies, as they cannot replace ECGs</w:t>
      </w:r>
      <w:r w:rsidR="00D70752">
        <w:rPr>
          <w:color w:val="000000"/>
          <w:lang w:val="en-US"/>
        </w:rPr>
        <w:t xml:space="preserve"> [</w:t>
      </w:r>
      <w:r w:rsidR="00CE4A96">
        <w:rPr>
          <w:color w:val="000000"/>
          <w:lang w:val="en-US"/>
        </w:rPr>
        <w:t>@</w:t>
      </w:r>
      <w:r w:rsidR="00CE4A96" w:rsidRPr="008077A3">
        <w:rPr>
          <w:color w:val="000000"/>
          <w:lang w:val="en-US"/>
        </w:rPr>
        <w:t>gagnon2022</w:t>
      </w:r>
      <w:r w:rsidR="00CE4A96">
        <w:rPr>
          <w:color w:val="000000"/>
          <w:lang w:val="en-US"/>
        </w:rPr>
        <w:t>]</w:t>
      </w:r>
      <w:r w:rsidR="000C5623" w:rsidRPr="000C5623">
        <w:rPr>
          <w:color w:val="000000"/>
          <w:lang w:val="en-US"/>
        </w:rPr>
        <w:t>.</w:t>
      </w:r>
      <w:r w:rsidR="005360F5">
        <w:rPr>
          <w:color w:val="000000"/>
          <w:lang w:val="en-US"/>
        </w:rPr>
        <w:t xml:space="preserve"> Moreover, </w:t>
      </w:r>
      <w:r w:rsidR="00C12E31">
        <w:rPr>
          <w:color w:val="000000"/>
          <w:lang w:val="en-US"/>
        </w:rPr>
        <w:t>rese</w:t>
      </w:r>
      <w:r w:rsidR="00775642">
        <w:rPr>
          <w:color w:val="000000"/>
          <w:lang w:val="en-US"/>
        </w:rPr>
        <w:t>archer</w:t>
      </w:r>
      <w:r w:rsidR="0093459D">
        <w:rPr>
          <w:color w:val="000000"/>
          <w:lang w:val="en-US"/>
        </w:rPr>
        <w:t>s</w:t>
      </w:r>
      <w:r w:rsidR="00775642">
        <w:rPr>
          <w:color w:val="000000"/>
          <w:lang w:val="en-US"/>
        </w:rPr>
        <w:t xml:space="preserve"> should consider</w:t>
      </w:r>
      <w:r w:rsidR="0093459D">
        <w:rPr>
          <w:color w:val="000000"/>
          <w:lang w:val="en-US"/>
        </w:rPr>
        <w:t xml:space="preserve"> that</w:t>
      </w:r>
      <w:r w:rsidR="005360F5" w:rsidRPr="005360F5">
        <w:rPr>
          <w:lang w:val="en-US"/>
        </w:rPr>
        <w:t xml:space="preserve"> measurement accuracy also depends on the intensity of the movements performed by the participants during data collection. </w:t>
      </w:r>
      <w:r w:rsidR="007116A4">
        <w:rPr>
          <w:lang w:val="en-US"/>
        </w:rPr>
        <w:t>Findings in some studies indicate that Fitbit</w:t>
      </w:r>
      <w:r w:rsidR="007116A4" w:rsidRPr="008077A3">
        <w:rPr>
          <w:color w:val="000000"/>
          <w:lang w:val="en-US"/>
        </w:rPr>
        <w:t>®</w:t>
      </w:r>
      <w:r w:rsidR="007116A4">
        <w:rPr>
          <w:lang w:val="en-US"/>
        </w:rPr>
        <w:t xml:space="preserve"> fitness tracker</w:t>
      </w:r>
      <w:r w:rsidR="007116A4">
        <w:rPr>
          <w:lang w:val="en-US"/>
        </w:rPr>
        <w:t>s</w:t>
      </w:r>
      <w:r w:rsidR="007116A4">
        <w:rPr>
          <w:lang w:val="en-US"/>
        </w:rPr>
        <w:t xml:space="preserve"> </w:t>
      </w:r>
      <w:r w:rsidR="0059455D">
        <w:rPr>
          <w:lang w:val="en-US"/>
        </w:rPr>
        <w:t xml:space="preserve">for example </w:t>
      </w:r>
      <w:r w:rsidR="007116A4">
        <w:rPr>
          <w:lang w:val="en-US"/>
        </w:rPr>
        <w:t xml:space="preserve">showed a </w:t>
      </w:r>
      <w:r w:rsidR="003A41BC">
        <w:rPr>
          <w:lang w:val="en-US"/>
        </w:rPr>
        <w:t>decrease in accuracy by underestimating the HR, especially at higher exercise intensities such as cycling [@thomson2019heart; @montoye2017comparative; @jo2016; @jachymek2021]</w:t>
      </w:r>
      <w:r w:rsidR="003A41BC">
        <w:rPr>
          <w:lang w:val="en-US"/>
        </w:rPr>
        <w:t xml:space="preserve">. </w:t>
      </w:r>
      <w:r w:rsidR="00FA1AD5" w:rsidRPr="00FA1AD5">
        <w:rPr>
          <w:rStyle w:val="--l"/>
          <w:lang w:val="en-US"/>
        </w:rPr>
        <w:t>The @fuller2020 systematic review provides a detailed overview of studies that used consumer-worn activity trackers between 2000 and 2019 regarding their validity and reliability.</w:t>
      </w:r>
    </w:p>
    <w:p w14:paraId="73F2BA29" w14:textId="4E5BD371" w:rsidR="00177542" w:rsidRPr="00F05F1C" w:rsidRDefault="00177542" w:rsidP="00197123">
      <w:pPr>
        <w:pStyle w:val="StandardWeb"/>
        <w:numPr>
          <w:ilvl w:val="0"/>
          <w:numId w:val="37"/>
        </w:numPr>
        <w:spacing w:before="240" w:after="240" w:line="480" w:lineRule="auto"/>
        <w:jc w:val="both"/>
        <w:rPr>
          <w:color w:val="000000"/>
          <w:lang w:val="en-US"/>
        </w:rPr>
      </w:pPr>
    </w:p>
    <w:p w14:paraId="233D8F3D" w14:textId="53D02A4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In summary, our study contributes to the 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01AE9FD5" w14:textId="13E5CF39"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19"/>
      <w:commentRangeStart w:id="20"/>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9"/>
      <w:r w:rsidRPr="008077A3">
        <w:rPr>
          <w:rStyle w:val="Kommentarzeichen"/>
          <w:rFonts w:ascii="Times New Roman" w:hAnsi="Times New Roman" w:cs="Times New Roman"/>
          <w:sz w:val="24"/>
          <w:szCs w:val="24"/>
        </w:rPr>
        <w:commentReference w:id="19"/>
      </w:r>
      <w:commentRangeEnd w:id="20"/>
      <w:r w:rsidR="00B7732B" w:rsidRPr="008077A3">
        <w:rPr>
          <w:rStyle w:val="Kommentarzeichen"/>
          <w:rFonts w:ascii="Times New Roman" w:hAnsi="Times New Roman" w:cs="Times New Roman"/>
          <w:sz w:val="24"/>
          <w:szCs w:val="24"/>
        </w:rPr>
        <w:commentReference w:id="20"/>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r>
        <w:t>Reviewer:innen</w:t>
      </w:r>
      <w:proofErr w:type="spellEnd"/>
      <w:r>
        <w:t xml:space="preserve"> kann man vorschlagen?</w:t>
      </w:r>
    </w:p>
  </w:comment>
  <w:comment w:id="1"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2"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teils wiederspiegelt.</w:t>
      </w:r>
    </w:p>
  </w:comment>
  <w:comment w:id="3"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4"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5"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6"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7"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9"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10"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1"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2"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3"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4" w:author="Mandy Klatt" w:date="2024-06-03T10:26:00Z" w:initials="MK">
    <w:p w14:paraId="177B68F8" w14:textId="14C6A18D" w:rsidR="00FB2939" w:rsidRDefault="00FB2939">
      <w:pPr>
        <w:pStyle w:val="Kommentartext"/>
      </w:pPr>
      <w:r>
        <w:rPr>
          <w:rStyle w:val="Kommentarzeichen"/>
        </w:rPr>
        <w:annotationRef/>
      </w:r>
      <w:r w:rsidR="00B44C88">
        <w:rPr>
          <w:noProof/>
        </w:rPr>
        <w:t xml:space="preserve">Ja, direkt im Abstract: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15" w:author="Mandy Klatt" w:date="2024-06-06T16:44:00Z" w:initials="MK">
    <w:p w14:paraId="2931100E" w14:textId="15754E7A" w:rsidR="0029442D" w:rsidRDefault="0029442D">
      <w:pPr>
        <w:pStyle w:val="Kommentartext"/>
      </w:pPr>
      <w:r>
        <w:rPr>
          <w:rStyle w:val="Kommentarzeichen"/>
        </w:rPr>
        <w:annotationRef/>
      </w:r>
      <w:r>
        <w:t>Mittlerweile schon. Das hat sich in den letzten</w:t>
      </w:r>
      <w:r w:rsidR="00BC7FBE">
        <w:t xml:space="preserve"> vier</w:t>
      </w:r>
      <w:r>
        <w:t xml:space="preserve"> Jahren sehr geändert, aber eben nicht zum Zeitpunkt unserer Datenerhebung. </w:t>
      </w:r>
    </w:p>
  </w:comment>
  <w:comment w:id="16"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17"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18" w:author="Mandy Klatt" w:date="2024-05-28T14:38:00Z" w:initials="MK">
    <w:p w14:paraId="4711AE49" w14:textId="66139861" w:rsidR="003D2DDD" w:rsidRDefault="003D2DDD">
      <w:pPr>
        <w:pStyle w:val="Kommentartext"/>
      </w:pPr>
      <w:r>
        <w:rPr>
          <w:rStyle w:val="Kommentarzeichen"/>
        </w:rPr>
        <w:annotationRef/>
      </w:r>
      <w:r>
        <w:t xml:space="preserve">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19"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0"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6FCDF2CA" w15:done="0"/>
  <w15:commentEx w15:paraId="196A1BBF" w15:done="0"/>
  <w15:commentEx w15:paraId="23F25D24" w15:paraIdParent="196A1BBF"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29FF830B" w16cex:dateUtc="2024-05-27T20:09:00Z"/>
  <w16cex:commentExtensible w16cex:durableId="29F8BEA7" w16cex:dateUtc="2024-05-22T16:57:00Z"/>
  <w16cex:commentExtensible w16cex:durableId="2A006AE7" w16cex:dateUtc="2024-05-28T12:38: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6FCDF2CA" w16cid:durableId="29FF830B"/>
  <w16cid:commentId w16cid:paraId="196A1BBF" w16cid:durableId="29F8BEA7"/>
  <w16cid:commentId w16cid:paraId="23F25D24" w16cid:durableId="2A006AE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71BF0" w14:textId="77777777" w:rsidR="00174E10" w:rsidRDefault="00174E10" w:rsidP="006C02A6">
      <w:pPr>
        <w:spacing w:after="0" w:line="240" w:lineRule="auto"/>
      </w:pPr>
      <w:r>
        <w:separator/>
      </w:r>
    </w:p>
  </w:endnote>
  <w:endnote w:type="continuationSeparator" w:id="0">
    <w:p w14:paraId="09200364" w14:textId="77777777" w:rsidR="00174E10" w:rsidRDefault="00174E1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87C5" w14:textId="77777777" w:rsidR="00174E10" w:rsidRDefault="00174E10" w:rsidP="006C02A6">
      <w:pPr>
        <w:spacing w:after="0" w:line="240" w:lineRule="auto"/>
      </w:pPr>
      <w:r>
        <w:separator/>
      </w:r>
    </w:p>
  </w:footnote>
  <w:footnote w:type="continuationSeparator" w:id="0">
    <w:p w14:paraId="1B60EAAE" w14:textId="77777777" w:rsidR="00174E10" w:rsidRDefault="00174E10"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4"/>
  </w:num>
  <w:num w:numId="2">
    <w:abstractNumId w:val="24"/>
  </w:num>
  <w:num w:numId="3">
    <w:abstractNumId w:val="2"/>
  </w:num>
  <w:num w:numId="4">
    <w:abstractNumId w:val="9"/>
  </w:num>
  <w:num w:numId="5">
    <w:abstractNumId w:val="8"/>
  </w:num>
  <w:num w:numId="6">
    <w:abstractNumId w:val="31"/>
  </w:num>
  <w:num w:numId="7">
    <w:abstractNumId w:val="22"/>
  </w:num>
  <w:num w:numId="8">
    <w:abstractNumId w:val="7"/>
  </w:num>
  <w:num w:numId="9">
    <w:abstractNumId w:val="23"/>
  </w:num>
  <w:num w:numId="10">
    <w:abstractNumId w:val="19"/>
    <w:lvlOverride w:ilvl="0">
      <w:lvl w:ilvl="0">
        <w:numFmt w:val="decimal"/>
        <w:lvlText w:val="%1."/>
        <w:lvlJc w:val="left"/>
      </w:lvl>
    </w:lvlOverride>
  </w:num>
  <w:num w:numId="11">
    <w:abstractNumId w:val="16"/>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32"/>
    <w:lvlOverride w:ilvl="0">
      <w:lvl w:ilvl="0">
        <w:numFmt w:val="decimal"/>
        <w:lvlText w:val="%1."/>
        <w:lvlJc w:val="left"/>
      </w:lvl>
    </w:lvlOverride>
  </w:num>
  <w:num w:numId="14">
    <w:abstractNumId w:val="33"/>
  </w:num>
  <w:num w:numId="15">
    <w:abstractNumId w:val="29"/>
    <w:lvlOverride w:ilvl="0">
      <w:lvl w:ilvl="0">
        <w:numFmt w:val="decimal"/>
        <w:lvlText w:val="%1."/>
        <w:lvlJc w:val="left"/>
      </w:lvl>
    </w:lvlOverride>
  </w:num>
  <w:num w:numId="16">
    <w:abstractNumId w:val="21"/>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4"/>
  </w:num>
  <w:num w:numId="20">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2"/>
  </w:num>
  <w:num w:numId="24">
    <w:abstractNumId w:val="30"/>
  </w:num>
  <w:num w:numId="25">
    <w:abstractNumId w:val="25"/>
  </w:num>
  <w:num w:numId="26">
    <w:abstractNumId w:val="13"/>
  </w:num>
  <w:num w:numId="27">
    <w:abstractNumId w:val="17"/>
  </w:num>
  <w:num w:numId="28">
    <w:abstractNumId w:val="5"/>
  </w:num>
  <w:num w:numId="29">
    <w:abstractNumId w:val="20"/>
  </w:num>
  <w:num w:numId="30">
    <w:abstractNumId w:val="0"/>
  </w:num>
  <w:num w:numId="31">
    <w:abstractNumId w:val="6"/>
  </w:num>
  <w:num w:numId="32">
    <w:abstractNumId w:val="18"/>
  </w:num>
  <w:num w:numId="33">
    <w:abstractNumId w:val="26"/>
  </w:num>
  <w:num w:numId="34">
    <w:abstractNumId w:val="3"/>
  </w:num>
  <w:num w:numId="35">
    <w:abstractNumId w:val="28"/>
  </w:num>
  <w:num w:numId="36">
    <w:abstractNumId w:val="27"/>
  </w:num>
  <w:num w:numId="3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395"/>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623"/>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2EAC"/>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4E10"/>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123"/>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2E76"/>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248"/>
    <w:rsid w:val="0037628E"/>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41BC"/>
    <w:rsid w:val="003A561C"/>
    <w:rsid w:val="003A593E"/>
    <w:rsid w:val="003A59CB"/>
    <w:rsid w:val="003A5BA2"/>
    <w:rsid w:val="003A6498"/>
    <w:rsid w:val="003A79D3"/>
    <w:rsid w:val="003A7F8C"/>
    <w:rsid w:val="003B0273"/>
    <w:rsid w:val="003B0317"/>
    <w:rsid w:val="003B0645"/>
    <w:rsid w:val="003B0DFD"/>
    <w:rsid w:val="003B162C"/>
    <w:rsid w:val="003B238B"/>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32FD"/>
    <w:rsid w:val="00464312"/>
    <w:rsid w:val="00464493"/>
    <w:rsid w:val="004646C4"/>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0F5"/>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28E5"/>
    <w:rsid w:val="00592A47"/>
    <w:rsid w:val="00592C13"/>
    <w:rsid w:val="00593399"/>
    <w:rsid w:val="00593796"/>
    <w:rsid w:val="0059387F"/>
    <w:rsid w:val="00593A40"/>
    <w:rsid w:val="0059455D"/>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356"/>
    <w:rsid w:val="00645FEC"/>
    <w:rsid w:val="0064616D"/>
    <w:rsid w:val="0064621A"/>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3E5"/>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642"/>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39F"/>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5AF"/>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4454"/>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39D3"/>
    <w:rsid w:val="009B44F6"/>
    <w:rsid w:val="009B49FB"/>
    <w:rsid w:val="009B4A61"/>
    <w:rsid w:val="009B4B39"/>
    <w:rsid w:val="009B4CC1"/>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7B2"/>
    <w:rsid w:val="00A0487C"/>
    <w:rsid w:val="00A04AC8"/>
    <w:rsid w:val="00A057A0"/>
    <w:rsid w:val="00A06586"/>
    <w:rsid w:val="00A06EFB"/>
    <w:rsid w:val="00A07292"/>
    <w:rsid w:val="00A07395"/>
    <w:rsid w:val="00A07A66"/>
    <w:rsid w:val="00A07C01"/>
    <w:rsid w:val="00A07CCF"/>
    <w:rsid w:val="00A1026D"/>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0F5"/>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67557"/>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C62"/>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74E"/>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2E31"/>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217"/>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4A96"/>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7E1"/>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0752"/>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6B3"/>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5BA"/>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5F1C"/>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2F24"/>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2F41"/>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8596</Words>
  <Characters>51064</Characters>
  <Application>Microsoft Office Word</Application>
  <DocSecurity>0</DocSecurity>
  <Lines>1501</Lines>
  <Paragraphs>641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121</cp:revision>
  <dcterms:created xsi:type="dcterms:W3CDTF">2024-06-03T14:44:00Z</dcterms:created>
  <dcterms:modified xsi:type="dcterms:W3CDTF">2024-06-07T14:52:00Z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