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b/>
          <w:bCs/>
          <w:sz w:val="24"/>
          <w:szCs w:val="24"/>
          <w:lang w:val="en-US"/>
        </w:rPr>
      </w:pPr>
      <w:commentRangeStart w:id="3"/>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commentRangeEnd w:id="3"/>
      <w:r w:rsidR="005E0619">
        <w:rPr>
          <w:rStyle w:val="Kommentarzeichen"/>
        </w:rPr>
        <w:commentReference w:id="3"/>
      </w:r>
    </w:p>
    <w:p w14:paraId="2961DBB3" w14:textId="35A0B5D8"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5DE64B97"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These devices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6B479BAD"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76707E">
        <w:rPr>
          <w:rFonts w:ascii="Times New Roman" w:hAnsi="Times New Roman" w:cs="Times New Roman"/>
          <w:sz w:val="24"/>
          <w:szCs w:val="24"/>
          <w:lang w:val="en-US"/>
        </w:rPr>
        <w:t>F</w:t>
      </w:r>
      <w:r w:rsidR="00BC0502">
        <w:rPr>
          <w:rFonts w:ascii="Times New Roman" w:hAnsi="Times New Roman" w:cs="Times New Roman"/>
          <w:sz w:val="24"/>
          <w:szCs w:val="24"/>
          <w:lang w:val="en-US"/>
        </w:rPr>
        <w:t xml:space="preserve">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w:t>
      </w:r>
      <w:r w:rsidR="00860013">
        <w:rPr>
          <w:rFonts w:ascii="Times New Roman" w:hAnsi="Times New Roman" w:cs="Times New Roman"/>
          <w:sz w:val="24"/>
          <w:szCs w:val="24"/>
          <w:lang w:val="en-US"/>
        </w:rPr>
        <w:lastRenderedPageBreak/>
        <w:t xml:space="preserve">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91F2AD1" w14:textId="2B19A16E" w:rsidR="00C06618"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t>
      </w:r>
      <w:r w:rsidR="00FF0802">
        <w:rPr>
          <w:rFonts w:ascii="Times New Roman" w:hAnsi="Times New Roman" w:cs="Times New Roman"/>
          <w:sz w:val="24"/>
          <w:szCs w:val="24"/>
          <w:lang w:val="en-US"/>
        </w:rPr>
        <w:t xml:space="preserve">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w:t>
      </w:r>
      <w:r w:rsidR="004313C5">
        <w:rPr>
          <w:rFonts w:ascii="Times New Roman" w:hAnsi="Times New Roman" w:cs="Times New Roman"/>
          <w:sz w:val="24"/>
          <w:szCs w:val="24"/>
          <w:lang w:val="en-US"/>
        </w:rPr>
        <w:t xml:space="preserve">not only </w:t>
      </w:r>
      <w:r w:rsidR="00867B99">
        <w:rPr>
          <w:rFonts w:ascii="Times New Roman" w:hAnsi="Times New Roman" w:cs="Times New Roman"/>
          <w:sz w:val="24"/>
          <w:szCs w:val="24"/>
          <w:lang w:val="en-US"/>
        </w:rPr>
        <w:t xml:space="preserve">in </w:t>
      </w:r>
      <w:r w:rsidR="00F17511">
        <w:rPr>
          <w:rFonts w:ascii="Times New Roman" w:hAnsi="Times New Roman" w:cs="Times New Roman"/>
          <w:sz w:val="24"/>
          <w:szCs w:val="24"/>
          <w:lang w:val="en-US"/>
        </w:rPr>
        <w:t xml:space="preserve">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w:t>
      </w:r>
      <w:r w:rsidR="004313C5">
        <w:rPr>
          <w:rFonts w:ascii="Times New Roman" w:hAnsi="Times New Roman" w:cs="Times New Roman"/>
          <w:sz w:val="24"/>
          <w:szCs w:val="24"/>
          <w:lang w:val="en-US"/>
        </w:rPr>
        <w:t xml:space="preserve"> </w:t>
      </w:r>
      <w:r w:rsidR="00E054E3">
        <w:rPr>
          <w:rFonts w:ascii="Times New Roman" w:hAnsi="Times New Roman" w:cs="Times New Roman"/>
          <w:sz w:val="24"/>
          <w:szCs w:val="24"/>
          <w:lang w:val="en-US"/>
        </w:rPr>
        <w:t xml:space="preserve">but also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r w:rsidR="00966430">
        <w:rPr>
          <w:rFonts w:ascii="Times New Roman" w:hAnsi="Times New Roman" w:cs="Times New Roman"/>
          <w:sz w:val="24"/>
          <w:szCs w:val="24"/>
          <w:lang w:val="en-US"/>
        </w:rPr>
        <w:t xml:space="preserve">For the use </w:t>
      </w:r>
      <w:r w:rsidR="004858F5">
        <w:rPr>
          <w:rFonts w:ascii="Times New Roman" w:hAnsi="Times New Roman" w:cs="Times New Roman"/>
          <w:sz w:val="24"/>
          <w:szCs w:val="24"/>
          <w:lang w:val="en-US"/>
        </w:rPr>
        <w:t xml:space="preserve">in </w:t>
      </w:r>
      <w:r w:rsidR="004858F5" w:rsidRPr="00CE64FB">
        <w:rPr>
          <w:rFonts w:ascii="Times New Roman" w:hAnsi="Times New Roman" w:cs="Times New Roman"/>
          <w:sz w:val="24"/>
          <w:szCs w:val="24"/>
          <w:lang w:val="en-US"/>
        </w:rPr>
        <w:t>the educational context</w:t>
      </w:r>
      <w:r w:rsidR="004858F5">
        <w:rPr>
          <w:rFonts w:ascii="Times New Roman" w:hAnsi="Times New Roman" w:cs="Times New Roman"/>
          <w:sz w:val="24"/>
          <w:szCs w:val="24"/>
          <w:lang w:val="en-US"/>
        </w:rPr>
        <w:t>,</w:t>
      </w:r>
      <w:r w:rsidR="00966430">
        <w:rPr>
          <w:rFonts w:ascii="Times New Roman" w:hAnsi="Times New Roman" w:cs="Times New Roman"/>
          <w:sz w:val="24"/>
          <w:szCs w:val="24"/>
          <w:lang w:val="en-US"/>
        </w:rPr>
        <w:t xml:space="preserve"> </w:t>
      </w:r>
      <w:r w:rsidR="00966430" w:rsidRPr="00CE64FB">
        <w:rPr>
          <w:rFonts w:ascii="Times New Roman" w:hAnsi="Times New Roman" w:cs="Times New Roman"/>
          <w:sz w:val="24"/>
          <w:szCs w:val="24"/>
          <w:lang w:val="en-US"/>
        </w:rPr>
        <w:t xml:space="preserve">different approaches </w:t>
      </w:r>
      <w:r w:rsidR="00966430">
        <w:rPr>
          <w:rFonts w:ascii="Times New Roman" w:hAnsi="Times New Roman" w:cs="Times New Roman"/>
          <w:sz w:val="24"/>
          <w:szCs w:val="24"/>
          <w:lang w:val="en-US"/>
        </w:rPr>
        <w:t>were</w:t>
      </w:r>
      <w:r w:rsidR="00966430" w:rsidRPr="00CE64FB">
        <w:rPr>
          <w:rFonts w:ascii="Times New Roman" w:hAnsi="Times New Roman" w:cs="Times New Roman"/>
          <w:sz w:val="24"/>
          <w:szCs w:val="24"/>
          <w:lang w:val="en-US"/>
        </w:rPr>
        <w:t xml:space="preserve"> identified</w:t>
      </w:r>
      <w:r w:rsidR="004858F5">
        <w:rPr>
          <w:rFonts w:ascii="Times New Roman" w:hAnsi="Times New Roman" w:cs="Times New Roman"/>
          <w:sz w:val="24"/>
          <w:szCs w:val="24"/>
          <w:lang w:val="en-US"/>
        </w:rPr>
        <w:t xml:space="preserve"> [@</w:t>
      </w:r>
      <w:r w:rsidR="004858F5" w:rsidRPr="00592C13">
        <w:rPr>
          <w:rFonts w:ascii="Times New Roman" w:hAnsi="Times New Roman" w:cs="Times New Roman"/>
          <w:sz w:val="24"/>
          <w:szCs w:val="24"/>
          <w:lang w:val="en-US"/>
        </w:rPr>
        <w:t>de2017towards</w:t>
      </w:r>
      <w:r w:rsidR="004858F5">
        <w:rPr>
          <w:rFonts w:ascii="Times New Roman" w:hAnsi="Times New Roman" w:cs="Times New Roman"/>
          <w:sz w:val="24"/>
          <w:szCs w:val="24"/>
          <w:lang w:val="en-US"/>
        </w:rPr>
        <w:t>]</w:t>
      </w:r>
      <w:r w:rsidR="00966430">
        <w:rPr>
          <w:rFonts w:ascii="Times New Roman" w:hAnsi="Times New Roman" w:cs="Times New Roman"/>
          <w:sz w:val="24"/>
          <w:szCs w:val="24"/>
          <w:lang w:val="en-US"/>
        </w:rPr>
        <w:t>:</w:t>
      </w:r>
      <w:r w:rsidR="004858F5">
        <w:rPr>
          <w:rFonts w:ascii="Times New Roman" w:hAnsi="Times New Roman" w:cs="Times New Roman"/>
          <w:sz w:val="24"/>
          <w:szCs w:val="24"/>
          <w:lang w:val="en-US"/>
        </w:rPr>
        <w:t xml:space="preserve"> </w:t>
      </w:r>
      <w:r w:rsidR="001831EC">
        <w:rPr>
          <w:rFonts w:ascii="Times New Roman" w:hAnsi="Times New Roman" w:cs="Times New Roman"/>
          <w:sz w:val="24"/>
          <w:szCs w:val="24"/>
          <w:lang w:val="en-US"/>
        </w:rPr>
        <w:t>On the one hand, t</w:t>
      </w:r>
      <w:r w:rsidR="000A7AC3">
        <w:rPr>
          <w:rFonts w:ascii="Times New Roman" w:hAnsi="Times New Roman" w:cs="Times New Roman"/>
          <w:sz w:val="24"/>
          <w:szCs w:val="24"/>
          <w:lang w:val="en-US"/>
        </w:rPr>
        <w:t xml:space="preserve">here </w:t>
      </w:r>
      <w:r w:rsidR="00C123B3">
        <w:rPr>
          <w:rFonts w:ascii="Times New Roman" w:hAnsi="Times New Roman" w:cs="Times New Roman"/>
          <w:sz w:val="24"/>
          <w:szCs w:val="24"/>
          <w:lang w:val="en-US"/>
        </w:rPr>
        <w:t xml:space="preserve">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r w:rsidR="00906AE8">
        <w:rPr>
          <w:rFonts w:ascii="Times New Roman" w:hAnsi="Times New Roman" w:cs="Times New Roman"/>
          <w:sz w:val="24"/>
          <w:szCs w:val="24"/>
          <w:lang w:val="en-US"/>
        </w:rPr>
        <w:t>(</w:t>
      </w:r>
      <w:r w:rsidR="007C169A">
        <w:rPr>
          <w:rFonts w:ascii="Times New Roman" w:hAnsi="Times New Roman" w:cs="Times New Roman"/>
          <w:sz w:val="24"/>
          <w:szCs w:val="24"/>
          <w:lang w:val="en-US"/>
        </w:rPr>
        <w:t>e.g.,</w:t>
      </w:r>
      <w:r w:rsidR="004C37A1">
        <w:rPr>
          <w:rFonts w:ascii="Times New Roman" w:hAnsi="Times New Roman" w:cs="Times New Roman"/>
          <w:sz w:val="24"/>
          <w:szCs w:val="24"/>
          <w:lang w:val="en-US"/>
        </w:rPr>
        <w:t xml:space="preserve"> </w:t>
      </w:r>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7C169A">
        <w:rPr>
          <w:rFonts w:ascii="Times New Roman" w:hAnsi="Times New Roman" w:cs="Times New Roman"/>
          <w:sz w:val="24"/>
          <w:szCs w:val="24"/>
          <w:lang w:val="en-US"/>
        </w:rPr>
        <w:t>).</w:t>
      </w:r>
      <w:r w:rsidR="00692E1F">
        <w:rPr>
          <w:rFonts w:ascii="Times New Roman" w:hAnsi="Times New Roman" w:cs="Times New Roman"/>
          <w:sz w:val="24"/>
          <w:szCs w:val="24"/>
          <w:lang w:val="en-US"/>
        </w:rPr>
        <w:t xml:space="preserve"> </w:t>
      </w:r>
      <w:r w:rsidR="001831EC">
        <w:rPr>
          <w:rFonts w:ascii="Times New Roman" w:hAnsi="Times New Roman" w:cs="Times New Roman"/>
          <w:sz w:val="24"/>
          <w:szCs w:val="24"/>
          <w:lang w:val="en-US"/>
        </w:rPr>
        <w:t xml:space="preserve">On the </w:t>
      </w:r>
      <w:r w:rsidR="003C2B37" w:rsidRPr="003C2B37">
        <w:rPr>
          <w:rFonts w:ascii="Times New Roman" w:hAnsi="Times New Roman" w:cs="Times New Roman"/>
          <w:sz w:val="24"/>
          <w:szCs w:val="24"/>
          <w:lang w:val="en-US"/>
        </w:rPr>
        <w:t xml:space="preserve">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7C169A">
        <w:rPr>
          <w:rFonts w:ascii="Times New Roman" w:hAnsi="Times New Roman" w:cs="Times New Roman"/>
          <w:sz w:val="24"/>
          <w:szCs w:val="24"/>
          <w:lang w:val="en-US"/>
        </w:rPr>
        <w:t xml:space="preserve"> (e.g., </w:t>
      </w:r>
      <w:r w:rsidR="00946F6D" w:rsidRPr="00946F6D">
        <w:rPr>
          <w:rFonts w:ascii="Times New Roman" w:hAnsi="Times New Roman" w:cs="Times New Roman"/>
          <w:sz w:val="24"/>
          <w:szCs w:val="24"/>
          <w:lang w:val="en-US"/>
        </w:rPr>
        <w:t>byun2018feasibility</w:t>
      </w:r>
      <w:r w:rsidR="007C169A">
        <w:rPr>
          <w:rFonts w:ascii="Times New Roman" w:hAnsi="Times New Roman" w:cs="Times New Roman"/>
          <w:sz w:val="24"/>
          <w:szCs w:val="24"/>
          <w:lang w:val="en-US"/>
        </w:rPr>
        <w:t xml:space="preserve">). </w:t>
      </w:r>
      <w:r w:rsidR="001A3502">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sidR="001A3502">
        <w:rPr>
          <w:rFonts w:ascii="Times New Roman" w:hAnsi="Times New Roman" w:cs="Times New Roman"/>
          <w:sz w:val="24"/>
          <w:szCs w:val="24"/>
          <w:lang w:val="en-US"/>
        </w:rPr>
        <w:t xml:space="preserve"> </w:t>
      </w:r>
      <w:r w:rsidR="001A3502"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001A3502"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sidR="001A3502">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 xml:space="preserve">varies </w:t>
      </w:r>
      <w:r w:rsidR="00193A40" w:rsidRPr="00193A40">
        <w:rPr>
          <w:rFonts w:ascii="Times New Roman" w:hAnsi="Times New Roman" w:cs="Times New Roman"/>
          <w:sz w:val="24"/>
          <w:szCs w:val="24"/>
          <w:lang w:val="en-US"/>
        </w:rPr>
        <w:lastRenderedPageBreak/>
        <w:t>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
      <w:r w:rsidR="00EC517C">
        <w:rPr>
          <w:rStyle w:val="Kommentarzeichen"/>
        </w:rPr>
        <w:commentReference w:id="4"/>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5"/>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5"/>
      <w:r w:rsidR="009F3A58">
        <w:rPr>
          <w:rStyle w:val="Kommentarzeichen"/>
        </w:rPr>
        <w:commentReference w:id="5"/>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lastRenderedPageBreak/>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1694F18B"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6"/>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For our study, we ad</w:t>
      </w:r>
      <w:r w:rsidR="009C586B">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commentRangeStart w:id="7"/>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commentRangeEnd w:id="7"/>
      <w:r w:rsidR="002901BA">
        <w:rPr>
          <w:rStyle w:val="Kommentarzeichen"/>
        </w:rPr>
        <w:commentReference w:id="7"/>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lastRenderedPageBreak/>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commentRangeStart w:id="8"/>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commentRangeEnd w:id="8"/>
      <w:r w:rsidR="008C783D">
        <w:rPr>
          <w:rStyle w:val="Kommentarzeichen"/>
        </w:rPr>
        <w:commentReference w:id="8"/>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commentRangeStart w:id="9"/>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9"/>
      <w:r w:rsidR="00932279">
        <w:rPr>
          <w:rStyle w:val="Kommentarzeichen"/>
        </w:rPr>
        <w:commentReference w:id="9"/>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lastRenderedPageBreak/>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10"/>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10"/>
      <w:r w:rsidR="005708B1">
        <w:rPr>
          <w:rStyle w:val="Kommentarzeichen"/>
        </w:rPr>
        <w:commentReference w:id="10"/>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Pr>
          <w:rFonts w:ascii="Times New Roman" w:hAnsi="Times New Roman" w:cs="Times New Roman"/>
          <w:sz w:val="24"/>
          <w:szCs w:val="24"/>
          <w:lang w:val="en-US"/>
        </w:rPr>
        <w:lastRenderedPageBreak/>
        <w:t xml:space="preserve">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w:t>
      </w:r>
      <w:r w:rsidR="00FF7A9F" w:rsidRPr="00FF7A9F">
        <w:rPr>
          <w:rFonts w:ascii="Times New Roman" w:hAnsi="Times New Roman" w:cs="Times New Roman"/>
          <w:sz w:val="24"/>
          <w:szCs w:val="24"/>
          <w:lang w:val="en-US"/>
        </w:rPr>
        <w:lastRenderedPageBreak/>
        <w:t xml:space="preserve">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commentRangeStart w:id="11"/>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commentRangeEnd w:id="11"/>
      <w:r w:rsidR="00A36CDB">
        <w:rPr>
          <w:rStyle w:val="Kommentarzeichen"/>
        </w:rPr>
        <w:commentReference w:id="11"/>
      </w:r>
    </w:p>
    <w:p w14:paraId="1BE5094C" w14:textId="04C9A836"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lastRenderedPageBreak/>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commentRangeStart w:id="12"/>
      <w:r w:rsidRPr="008A5822">
        <w:rPr>
          <w:rFonts w:ascii="Times New Roman" w:hAnsi="Times New Roman" w:cs="Times New Roman"/>
          <w:b/>
          <w:bCs/>
          <w:sz w:val="24"/>
          <w:szCs w:val="24"/>
          <w:lang w:val="en-US"/>
        </w:rPr>
        <w:t>## Classroom Management Skills and Professional Experience as Resources</w:t>
      </w:r>
      <w:commentRangeEnd w:id="12"/>
      <w:r w:rsidR="00706D9D">
        <w:rPr>
          <w:rStyle w:val="Kommentarzeichen"/>
        </w:rPr>
        <w:commentReference w:id="12"/>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3"/>
      <w:r w:rsidR="00EA6390" w:rsidRPr="00EA6390">
        <w:rPr>
          <w:rFonts w:ascii="Times New Roman" w:hAnsi="Times New Roman" w:cs="Times New Roman"/>
          <w:sz w:val="24"/>
          <w:szCs w:val="24"/>
          <w:lang w:val="en-US"/>
        </w:rPr>
        <w:t>stress</w:t>
      </w:r>
      <w:commentRangeEnd w:id="13"/>
      <w:r w:rsidR="005C7A71">
        <w:rPr>
          <w:rStyle w:val="Kommentarzeichen"/>
        </w:rPr>
        <w:commentReference w:id="13"/>
      </w:r>
      <w:r w:rsidR="00EA6390" w:rsidRPr="00EA6390">
        <w:rPr>
          <w:rFonts w:ascii="Times New Roman" w:hAnsi="Times New Roman" w:cs="Times New Roman"/>
          <w:sz w:val="24"/>
          <w:szCs w:val="24"/>
          <w:lang w:val="en-US"/>
        </w:rPr>
        <w:t>.</w:t>
      </w: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14"/>
      <w:r w:rsidRPr="00956D35">
        <w:rPr>
          <w:rFonts w:ascii="Times New Roman" w:hAnsi="Times New Roman" w:cs="Times New Roman"/>
          <w:sz w:val="24"/>
          <w:szCs w:val="24"/>
          <w:lang w:val="en-US"/>
        </w:rPr>
        <w:t xml:space="preserve">professional vision </w:t>
      </w:r>
      <w:commentRangeEnd w:id="14"/>
      <w:r w:rsidR="00D95266">
        <w:rPr>
          <w:rStyle w:val="Kommentarzeichen"/>
        </w:rPr>
        <w:commentReference w:id="14"/>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5"/>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5"/>
      <w:r w:rsidR="00C4369A">
        <w:rPr>
          <w:rStyle w:val="Kommentarzeichen"/>
        </w:rPr>
        <w:commentReference w:id="15"/>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lastRenderedPageBreak/>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3" w:author="Mandy Klatt" w:date="2024-03-06T11:21:00Z" w:initials="MK">
    <w:p w14:paraId="282E1530" w14:textId="77777777" w:rsidR="005E0619" w:rsidRDefault="005E0619">
      <w:pPr>
        <w:pStyle w:val="Kommentartext"/>
      </w:pPr>
      <w:r>
        <w:rPr>
          <w:rStyle w:val="Kommentarzeichen"/>
        </w:rPr>
        <w:annotationRef/>
      </w:r>
      <w:r>
        <w:t xml:space="preserve">Wearables &amp; HR zusammenfügen </w:t>
      </w:r>
    </w:p>
    <w:p w14:paraId="1C9960E8" w14:textId="77777777" w:rsidR="00A61753" w:rsidRPr="00890864" w:rsidRDefault="00A61753">
      <w:pPr>
        <w:pStyle w:val="Kommentartext"/>
        <w:rPr>
          <w:lang w:val="en-US"/>
        </w:rPr>
      </w:pPr>
      <w:proofErr w:type="spellStart"/>
      <w:r w:rsidRPr="00890864">
        <w:rPr>
          <w:lang w:val="en-US"/>
        </w:rPr>
        <w:t>Fitnesstracker</w:t>
      </w:r>
      <w:proofErr w:type="spellEnd"/>
      <w:r w:rsidRPr="00890864">
        <w:rPr>
          <w:lang w:val="en-US"/>
        </w:rPr>
        <w:t xml:space="preserve"> + Stress + HR</w:t>
      </w:r>
      <w:r w:rsidR="00520C51" w:rsidRPr="00890864">
        <w:rPr>
          <w:lang w:val="en-US"/>
        </w:rPr>
        <w:t xml:space="preserve"> </w:t>
      </w:r>
      <w:proofErr w:type="spellStart"/>
      <w:r w:rsidR="00520C51" w:rsidRPr="00890864">
        <w:rPr>
          <w:lang w:val="en-US"/>
        </w:rPr>
        <w:t>als</w:t>
      </w:r>
      <w:proofErr w:type="spellEnd"/>
      <w:r w:rsidR="00520C51" w:rsidRPr="00890864">
        <w:rPr>
          <w:lang w:val="en-US"/>
        </w:rPr>
        <w:t xml:space="preserve"> </w:t>
      </w:r>
      <w:proofErr w:type="spellStart"/>
      <w:r w:rsidR="00520C51" w:rsidRPr="00890864">
        <w:rPr>
          <w:lang w:val="en-US"/>
        </w:rPr>
        <w:t>Überschrift</w:t>
      </w:r>
      <w:proofErr w:type="spellEnd"/>
    </w:p>
    <w:p w14:paraId="5C3852C8" w14:textId="77777777" w:rsidR="00520C51" w:rsidRPr="00890864" w:rsidRDefault="00520C51">
      <w:pPr>
        <w:pStyle w:val="Kommentartext"/>
        <w:rPr>
          <w:lang w:val="en-US"/>
        </w:rPr>
      </w:pPr>
    </w:p>
    <w:p w14:paraId="6A05A126" w14:textId="77777777" w:rsidR="00520C51" w:rsidRDefault="00520C51">
      <w:pPr>
        <w:pStyle w:val="Kommentartext"/>
        <w:rPr>
          <w:lang w:val="en-US"/>
        </w:rPr>
      </w:pPr>
      <w:r w:rsidRPr="00520C51">
        <w:rPr>
          <w:lang w:val="en-US"/>
        </w:rPr>
        <w:t xml:space="preserve">Fitness </w:t>
      </w:r>
      <w:r w:rsidR="00440E27">
        <w:rPr>
          <w:lang w:val="en-US"/>
        </w:rPr>
        <w:t>Trackers</w:t>
      </w:r>
      <w:r w:rsidRPr="00520C51">
        <w:rPr>
          <w:lang w:val="en-US"/>
        </w:rPr>
        <w:t xml:space="preserve"> as a Metho</w:t>
      </w:r>
      <w:r>
        <w:rPr>
          <w:lang w:val="en-US"/>
        </w:rPr>
        <w:t xml:space="preserve">d to Assess </w:t>
      </w:r>
      <w:r w:rsidR="00440E27">
        <w:rPr>
          <w:lang w:val="en-US"/>
        </w:rPr>
        <w:t xml:space="preserve">HR as an Indicator of Stress </w:t>
      </w:r>
    </w:p>
    <w:p w14:paraId="3B8C5CE9" w14:textId="77777777" w:rsidR="00EC53C3" w:rsidRDefault="00EC53C3">
      <w:pPr>
        <w:pStyle w:val="Kommentartext"/>
        <w:rPr>
          <w:lang w:val="en-US"/>
        </w:rPr>
      </w:pPr>
    </w:p>
    <w:p w14:paraId="2F75A1D9" w14:textId="2A04C69D" w:rsidR="00EC53C3" w:rsidRPr="00EC53C3" w:rsidRDefault="00EC53C3">
      <w:pPr>
        <w:pStyle w:val="Kommentartext"/>
      </w:pPr>
      <w:r w:rsidRPr="00EC53C3">
        <w:t>HR als Indikator für S</w:t>
      </w:r>
      <w:r>
        <w:t>tress gemessen mit Fitnesstracker</w:t>
      </w:r>
    </w:p>
  </w:comment>
  <w:comment w:id="4"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5" w:author="Mandy Klatt" w:date="2024-03-06T11:24:00Z" w:initials="MK">
    <w:p w14:paraId="03AD8B32" w14:textId="15A71389" w:rsidR="009F3A58" w:rsidRDefault="009F3A58">
      <w:pPr>
        <w:pStyle w:val="Kommentartext"/>
      </w:pPr>
      <w:r>
        <w:rPr>
          <w:rStyle w:val="Kommentarzeichen"/>
        </w:rPr>
        <w:annotationRef/>
      </w:r>
      <w:r>
        <w:t>Wichtige Info</w:t>
      </w:r>
      <w:r w:rsidR="008443DA">
        <w:t>, in die Diskussion?</w:t>
      </w:r>
    </w:p>
  </w:comment>
  <w:comment w:id="7" w:author="Mandy Klatt" w:date="2024-03-06T11:33:00Z" w:initials="MK">
    <w:p w14:paraId="6577EAC1" w14:textId="1B17CB1D" w:rsidR="002901BA" w:rsidRDefault="002901BA">
      <w:pPr>
        <w:pStyle w:val="Kommentartext"/>
      </w:pPr>
      <w:r>
        <w:rPr>
          <w:rStyle w:val="Kommentarzeichen"/>
        </w:rPr>
        <w:annotationRef/>
      </w:r>
      <w:r>
        <w:t xml:space="preserve">Re-Appraisal einfügen, </w:t>
      </w:r>
      <w:r w:rsidR="006C7473">
        <w:t>7 &amp; 8 raus</w:t>
      </w:r>
    </w:p>
  </w:comment>
  <w:comment w:id="8" w:author="Mandy Klatt" w:date="2024-03-06T11:35:00Z" w:initials="MK">
    <w:p w14:paraId="0E5ECD38" w14:textId="451EF80F" w:rsidR="008C783D" w:rsidRDefault="008C783D">
      <w:pPr>
        <w:pStyle w:val="Kommentartext"/>
      </w:pPr>
      <w:r>
        <w:rPr>
          <w:rStyle w:val="Kommentarzeichen"/>
        </w:rPr>
        <w:annotationRef/>
      </w:r>
      <w:r w:rsidR="00217F95">
        <w:t xml:space="preserve">Hier die Verbindung zu unserem P.A. herstellen </w:t>
      </w:r>
      <w:r w:rsidR="00217F95">
        <w:sym w:font="Wingdings" w:char="F0E0"/>
      </w:r>
      <w:r w:rsidR="00217F95">
        <w:t xml:space="preserve"> Wie störend nehme ich Unterrichtsstörungen überhaupt wahr?</w:t>
      </w:r>
    </w:p>
  </w:comment>
  <w:comment w:id="9"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10" w:author="Mandy Klatt" w:date="2024-03-06T12:14:00Z" w:initials="MK">
    <w:p w14:paraId="2AA1470F" w14:textId="472BE1E4" w:rsidR="005708B1" w:rsidRDefault="005708B1">
      <w:pPr>
        <w:pStyle w:val="Kommentartext"/>
      </w:pPr>
      <w:r>
        <w:rPr>
          <w:rStyle w:val="Kommentarzeichen"/>
        </w:rPr>
        <w:annotationRef/>
      </w:r>
      <w:r>
        <w:t>Wichtige Info!</w:t>
      </w:r>
    </w:p>
  </w:comment>
  <w:comment w:id="11" w:author="Mandy Klatt" w:date="2024-03-06T11:36:00Z" w:initials="MK">
    <w:p w14:paraId="51441A52" w14:textId="7367AA48" w:rsidR="00A36CDB" w:rsidRDefault="00A36CDB">
      <w:pPr>
        <w:pStyle w:val="Kommentartext"/>
      </w:pPr>
      <w:r>
        <w:rPr>
          <w:rStyle w:val="Kommentarzeichen"/>
        </w:rPr>
        <w:annotationRef/>
      </w:r>
      <w:r w:rsidR="00706D9D">
        <w:rPr>
          <w:rStyle w:val="Kommentarzeichen"/>
        </w:rPr>
        <w:t xml:space="preserve">Fällt </w:t>
      </w:r>
      <w:r w:rsidR="002966F0">
        <w:rPr>
          <w:rStyle w:val="Kommentarzeichen"/>
        </w:rPr>
        <w:t>weg</w:t>
      </w:r>
    </w:p>
  </w:comment>
  <w:comment w:id="12" w:author="Mandy Klatt" w:date="2024-03-06T11:43:00Z" w:initials="MK">
    <w:p w14:paraId="1C8CA22A" w14:textId="4B9A7710" w:rsidR="00706D9D" w:rsidRDefault="00706D9D">
      <w:pPr>
        <w:pStyle w:val="Kommentartext"/>
      </w:pPr>
      <w:r>
        <w:rPr>
          <w:rStyle w:val="Kommentarzeichen"/>
        </w:rPr>
        <w:annotationRef/>
      </w:r>
      <w:r>
        <w:t>Fällt weg</w:t>
      </w:r>
    </w:p>
  </w:comment>
  <w:comment w:id="13"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4"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15"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2F75A1D9" w15:done="0"/>
  <w15:commentEx w15:paraId="4DD066C9" w15:done="0"/>
  <w15:commentEx w15:paraId="03AD8B32" w15:done="0"/>
  <w15:commentEx w15:paraId="6577EAC1" w15:done="0"/>
  <w15:commentEx w15:paraId="0E5ECD38" w15:done="0"/>
  <w15:commentEx w15:paraId="278C48BF" w15:done="0"/>
  <w15:commentEx w15:paraId="2AA1470F" w15:done="0"/>
  <w15:commentEx w15:paraId="51441A52" w15:done="0"/>
  <w15:commentEx w15:paraId="1C8CA22A" w15:done="0"/>
  <w15:commentEx w15:paraId="1CD72BC6"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92D03F" w16cex:dateUtc="2024-03-06T10:21:00Z"/>
  <w16cex:commentExtensible w16cex:durableId="297DD4DA" w16cex:dateUtc="2024-02-19T12:23:00Z"/>
  <w16cex:commentExtensible w16cex:durableId="2992D10A" w16cex:dateUtc="2024-03-06T10:24:00Z"/>
  <w16cex:commentExtensible w16cex:durableId="2992D310" w16cex:dateUtc="2024-03-06T10:33:00Z"/>
  <w16cex:commentExtensible w16cex:durableId="2992D367" w16cex:dateUtc="2024-03-06T10:35:00Z"/>
  <w16cex:commentExtensible w16cex:durableId="2992D577" w16cex:dateUtc="2024-03-06T10:43:00Z"/>
  <w16cex:commentExtensible w16cex:durableId="2992DCA0" w16cex:dateUtc="2024-03-06T11:14:00Z"/>
  <w16cex:commentExtensible w16cex:durableId="2992D3CB" w16cex:dateUtc="2024-03-06T10:36:00Z"/>
  <w16cex:commentExtensible w16cex:durableId="2992D56A" w16cex:dateUtc="2024-03-06T10:43:00Z"/>
  <w16cex:commentExtensible w16cex:durableId="298EF4D2" w16cex:dateUtc="2024-03-03T12:08: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2F75A1D9" w16cid:durableId="2992D03F"/>
  <w16cid:commentId w16cid:paraId="4DD066C9" w16cid:durableId="297DD4DA"/>
  <w16cid:commentId w16cid:paraId="03AD8B32" w16cid:durableId="2992D10A"/>
  <w16cid:commentId w16cid:paraId="6577EAC1" w16cid:durableId="2992D310"/>
  <w16cid:commentId w16cid:paraId="0E5ECD38" w16cid:durableId="2992D367"/>
  <w16cid:commentId w16cid:paraId="278C48BF" w16cid:durableId="2992D577"/>
  <w16cid:commentId w16cid:paraId="2AA1470F" w16cid:durableId="2992DCA0"/>
  <w16cid:commentId w16cid:paraId="51441A52" w16cid:durableId="2992D3CB"/>
  <w16cid:commentId w16cid:paraId="1C8CA22A" w16cid:durableId="2992D56A"/>
  <w16cid:commentId w16cid:paraId="1CD72BC6" w16cid:durableId="298EF4D2"/>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9C32" w14:textId="77777777" w:rsidR="00C13B7A" w:rsidRDefault="00C13B7A" w:rsidP="006C02A6">
      <w:pPr>
        <w:spacing w:after="0" w:line="240" w:lineRule="auto"/>
      </w:pPr>
      <w:r>
        <w:separator/>
      </w:r>
    </w:p>
  </w:endnote>
  <w:endnote w:type="continuationSeparator" w:id="0">
    <w:p w14:paraId="583AC88C" w14:textId="77777777" w:rsidR="00C13B7A" w:rsidRDefault="00C13B7A"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58CF" w14:textId="77777777" w:rsidR="00C13B7A" w:rsidRDefault="00C13B7A" w:rsidP="006C02A6">
      <w:pPr>
        <w:spacing w:after="0" w:line="240" w:lineRule="auto"/>
      </w:pPr>
      <w:r>
        <w:separator/>
      </w:r>
    </w:p>
  </w:footnote>
  <w:footnote w:type="continuationSeparator" w:id="0">
    <w:p w14:paraId="6C8F9B07" w14:textId="77777777" w:rsidR="00C13B7A" w:rsidRDefault="00C13B7A"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1BA"/>
    <w:rsid w:val="00290D8F"/>
    <w:rsid w:val="0029309D"/>
    <w:rsid w:val="00294BCF"/>
    <w:rsid w:val="00294DDC"/>
    <w:rsid w:val="002966F0"/>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58F5"/>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762"/>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08B1"/>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08C2"/>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D9D"/>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07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568"/>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AE8"/>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279"/>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86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0987"/>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0DDE"/>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3B7A"/>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1A7F"/>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1707"/>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5090</Words>
  <Characters>31356</Characters>
  <Application>Microsoft Office Word</Application>
  <DocSecurity>0</DocSecurity>
  <Lines>454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26</cp:revision>
  <dcterms:created xsi:type="dcterms:W3CDTF">2024-03-06T13:53:00Z</dcterms:created>
  <dcterms:modified xsi:type="dcterms:W3CDTF">2024-03-25T12:42:00Z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