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w:t>
      </w:r>
      <w:proofErr w:type="spellStart"/>
      <w:r w:rsidR="00140BBD" w:rsidRPr="00140BBD">
        <w:rPr>
          <w:rFonts w:ascii="Times New Roman" w:hAnsi="Times New Roman" w:cs="Times New Roman"/>
          <w:sz w:val="24"/>
          <w:szCs w:val="24"/>
        </w:rPr>
        <w:t>Stress</w:t>
      </w:r>
      <w:proofErr w:type="spellEnd"/>
      <w:r w:rsidR="00140BBD" w:rsidRPr="00140BBD">
        <w:rPr>
          <w:rFonts w:ascii="Times New Roman" w:hAnsi="Times New Roman" w:cs="Times New Roman"/>
          <w:sz w:val="24"/>
          <w:szCs w:val="24"/>
        </w:rPr>
        <w:t xml:space="preserve">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607C70E"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Default="0099584B"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HR as a</w:t>
      </w:r>
      <w:r w:rsidR="004A3C56">
        <w:rPr>
          <w:rFonts w:ascii="Times New Roman" w:hAnsi="Times New Roman" w:cs="Times New Roman"/>
          <w:sz w:val="24"/>
          <w:szCs w:val="24"/>
          <w:lang w:val="en-US"/>
        </w:rPr>
        <w:t xml:space="preserve"> </w:t>
      </w:r>
      <w:r w:rsidR="00246542">
        <w:rPr>
          <w:rFonts w:ascii="Times New Roman" w:hAnsi="Times New Roman" w:cs="Times New Roman"/>
          <w:sz w:val="24"/>
          <w:szCs w:val="24"/>
          <w:lang w:val="en-US"/>
        </w:rPr>
        <w:t xml:space="preserve">Vital </w:t>
      </w:r>
      <w:r>
        <w:rPr>
          <w:rFonts w:ascii="Times New Roman" w:hAnsi="Times New Roman" w:cs="Times New Roman"/>
          <w:sz w:val="24"/>
          <w:szCs w:val="24"/>
          <w:lang w:val="en-US"/>
        </w:rPr>
        <w:t xml:space="preserve">Parameter </w:t>
      </w:r>
      <w:r w:rsidR="00F71296">
        <w:rPr>
          <w:rFonts w:ascii="Times New Roman" w:hAnsi="Times New Roman" w:cs="Times New Roman"/>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111449">
        <w:rPr>
          <w:rFonts w:ascii="Times New Roman" w:hAnsi="Times New Roman" w:cs="Times New Roman"/>
          <w:sz w:val="24"/>
          <w:szCs w:val="24"/>
          <w:highlight w:val="yellow"/>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111449">
        <w:rPr>
          <w:rFonts w:ascii="Times New Roman" w:hAnsi="Times New Roman" w:cs="Times New Roman"/>
          <w:sz w:val="24"/>
          <w:szCs w:val="24"/>
          <w:highlight w:val="yellow"/>
          <w:lang w:val="en-US"/>
        </w:rPr>
        <w:t>. At the same time,</w:t>
      </w:r>
      <w:r w:rsidRPr="00111449">
        <w:rPr>
          <w:rFonts w:ascii="Times New Roman" w:hAnsi="Times New Roman" w:cs="Times New Roman"/>
          <w:sz w:val="24"/>
          <w:szCs w:val="24"/>
          <w:highlight w:val="yellow"/>
          <w:lang w:val="en-US"/>
        </w:rPr>
        <w:t xml:space="preserve"> stimulation of the cardiovascular tissue during stress causes an increased </w:t>
      </w:r>
      <w:r w:rsidR="0076550E" w:rsidRPr="00111449">
        <w:rPr>
          <w:rFonts w:ascii="Times New Roman" w:hAnsi="Times New Roman" w:cs="Times New Roman"/>
          <w:sz w:val="24"/>
          <w:szCs w:val="24"/>
          <w:highlight w:val="yellow"/>
          <w:lang w:val="en-US"/>
        </w:rPr>
        <w:t>HR</w:t>
      </w:r>
      <w:r w:rsidRPr="00111449">
        <w:rPr>
          <w:rFonts w:ascii="Times New Roman" w:hAnsi="Times New Roman" w:cs="Times New Roman"/>
          <w:sz w:val="24"/>
          <w:szCs w:val="24"/>
          <w:highlight w:val="yellow"/>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3F6B37" w:rsidRDefault="00FF14E7" w:rsidP="00FF14E7">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02DB12D5"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r w:rsidR="00326CB3" w:rsidRPr="00326CB3">
        <w:rPr>
          <w:rFonts w:ascii="Times New Roman" w:hAnsi="Times New Roman" w:cs="Times New Roman"/>
          <w:sz w:val="24"/>
          <w:szCs w:val="24"/>
          <w:lang w:val="en-US"/>
        </w:rPr>
        <w:t xml:space="preserve">Due to the complexity, we have focused on selected aspects </w:t>
      </w:r>
      <w:r w:rsidR="005F5221">
        <w:rPr>
          <w:rFonts w:ascii="Times New Roman" w:hAnsi="Times New Roman" w:cs="Times New Roman"/>
          <w:sz w:val="24"/>
          <w:szCs w:val="24"/>
          <w:lang w:val="en-US"/>
        </w:rPr>
        <w:t>(</w:t>
      </w:r>
      <w:r w:rsidR="00957AA1">
        <w:rPr>
          <w:rFonts w:ascii="Times New Roman" w:hAnsi="Times New Roman" w:cs="Times New Roman"/>
          <w:sz w:val="24"/>
          <w:szCs w:val="24"/>
          <w:lang w:val="en-US"/>
        </w:rPr>
        <w:t>boxes</w:t>
      </w:r>
      <w:r w:rsidR="005F5221">
        <w:rPr>
          <w:rFonts w:ascii="Times New Roman" w:hAnsi="Times New Roman" w:cs="Times New Roman"/>
          <w:sz w:val="24"/>
          <w:szCs w:val="24"/>
          <w:lang w:val="en-US"/>
        </w:rPr>
        <w:t xml:space="preserve"> 1-6)</w:t>
      </w:r>
      <w:r w:rsidR="00326CB3" w:rsidRPr="00326CB3">
        <w:rPr>
          <w:rFonts w:ascii="Times New Roman" w:hAnsi="Times New Roman" w:cs="Times New Roman"/>
          <w:sz w:val="24"/>
          <w:szCs w:val="24"/>
          <w:lang w:val="en-US"/>
        </w:rPr>
        <w:t xml:space="preserve"> adapted to our research questions</w:t>
      </w:r>
      <w:r w:rsidR="00990D6F">
        <w:rPr>
          <w:rFonts w:ascii="Times New Roman" w:hAnsi="Times New Roman" w:cs="Times New Roman"/>
          <w:sz w:val="24"/>
          <w:szCs w:val="24"/>
          <w:lang w:val="en-US"/>
        </w:rPr>
        <w:t xml:space="preserve">, </w:t>
      </w:r>
      <w:r w:rsidR="00990D6F" w:rsidRPr="00522251">
        <w:rPr>
          <w:rFonts w:ascii="Times New Roman" w:hAnsi="Times New Roman" w:cs="Times New Roman"/>
          <w:sz w:val="24"/>
          <w:szCs w:val="24"/>
          <w:lang w:val="en-US"/>
        </w:rPr>
        <w:t>as shown in Figure 1</w:t>
      </w:r>
      <w:r w:rsidR="00326CB3">
        <w:rPr>
          <w:rFonts w:ascii="Times New Roman" w:hAnsi="Times New Roman" w:cs="Times New Roman"/>
          <w:sz w:val="24"/>
          <w:szCs w:val="24"/>
          <w:lang w:val="en-US"/>
        </w:rPr>
        <w:t>.</w:t>
      </w:r>
    </w:p>
    <w:p w14:paraId="2AAB1D78" w14:textId="5406ECD8" w:rsidR="00C87058" w:rsidRDefault="009018E9" w:rsidP="00FF14E7">
      <w:pPr>
        <w:spacing w:line="360" w:lineRule="auto"/>
        <w:rPr>
          <w:rFonts w:ascii="Times New Roman" w:hAnsi="Times New Roman" w:cs="Times New Roman"/>
          <w:sz w:val="24"/>
          <w:szCs w:val="24"/>
          <w:lang w:val="en-US"/>
        </w:rPr>
      </w:pPr>
      <w:r w:rsidRPr="001670D4">
        <w:rPr>
          <w:rFonts w:ascii="Times New Roman" w:hAnsi="Times New Roman" w:cs="Times New Roman"/>
          <w:sz w:val="24"/>
          <w:szCs w:val="24"/>
          <w:highlight w:val="yellow"/>
          <w:lang w:val="en-US"/>
        </w:rPr>
        <w:t>XXXXXXXXXXXXXXX</w:t>
      </w:r>
    </w:p>
    <w:p w14:paraId="2F2905D1" w14:textId="25A61F32" w:rsidR="00DA19C1" w:rsidRDefault="007636EB"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A4090F">
        <w:rPr>
          <w:rFonts w:ascii="Times New Roman" w:hAnsi="Times New Roman" w:cs="Times New Roman"/>
          <w:sz w:val="24"/>
          <w:szCs w:val="24"/>
          <w:highlight w:val="yellow"/>
          <w:lang w:val="en-US"/>
        </w:rPr>
        <w:t xml:space="preserve">such as teaching experience, </w:t>
      </w:r>
      <w:r w:rsidR="00E22812" w:rsidRPr="00A4090F">
        <w:rPr>
          <w:rFonts w:ascii="Times New Roman" w:hAnsi="Times New Roman" w:cs="Times New Roman"/>
          <w:sz w:val="24"/>
          <w:szCs w:val="24"/>
          <w:highlight w:val="yellow"/>
          <w:lang w:val="en-US"/>
        </w:rPr>
        <w:t xml:space="preserve">the </w:t>
      </w:r>
      <w:r w:rsidR="00FD40EC" w:rsidRPr="00A4090F">
        <w:rPr>
          <w:rFonts w:ascii="Times New Roman" w:hAnsi="Times New Roman" w:cs="Times New Roman"/>
          <w:sz w:val="24"/>
          <w:szCs w:val="24"/>
          <w:highlight w:val="yellow"/>
          <w:lang w:val="en-US"/>
        </w:rPr>
        <w:t xml:space="preserve">subjective </w:t>
      </w:r>
      <w:r w:rsidR="000C7846" w:rsidRPr="00A4090F">
        <w:rPr>
          <w:rFonts w:ascii="Times New Roman" w:hAnsi="Times New Roman" w:cs="Times New Roman"/>
          <w:sz w:val="24"/>
          <w:szCs w:val="24"/>
          <w:highlight w:val="yellow"/>
          <w:lang w:val="en-US"/>
        </w:rPr>
        <w:t xml:space="preserve">perception of </w:t>
      </w:r>
      <w:r w:rsidR="00D11AF9" w:rsidRPr="00A4090F">
        <w:rPr>
          <w:rFonts w:ascii="Times New Roman" w:hAnsi="Times New Roman" w:cs="Times New Roman"/>
          <w:sz w:val="24"/>
          <w:szCs w:val="24"/>
          <w:highlight w:val="yellow"/>
          <w:lang w:val="en-US"/>
        </w:rPr>
        <w:t xml:space="preserve">classroom </w:t>
      </w:r>
      <w:r w:rsidR="00760EE5" w:rsidRPr="00A4090F">
        <w:rPr>
          <w:rFonts w:ascii="Times New Roman" w:hAnsi="Times New Roman" w:cs="Times New Roman"/>
          <w:sz w:val="24"/>
          <w:szCs w:val="24"/>
          <w:highlight w:val="yellow"/>
          <w:lang w:val="en-US"/>
        </w:rPr>
        <w:t>disruptions</w:t>
      </w:r>
      <w:r w:rsidR="000C7846" w:rsidRPr="00A4090F">
        <w:rPr>
          <w:rFonts w:ascii="Times New Roman" w:hAnsi="Times New Roman" w:cs="Times New Roman"/>
          <w:sz w:val="24"/>
          <w:szCs w:val="24"/>
          <w:highlight w:val="yellow"/>
          <w:lang w:val="en-US"/>
        </w:rPr>
        <w:t xml:space="preserve">, </w:t>
      </w:r>
      <w:r w:rsidR="00FD40EC" w:rsidRPr="00A4090F">
        <w:rPr>
          <w:rFonts w:ascii="Times New Roman" w:hAnsi="Times New Roman" w:cs="Times New Roman"/>
          <w:sz w:val="24"/>
          <w:szCs w:val="24"/>
          <w:highlight w:val="yellow"/>
          <w:lang w:val="en-US"/>
        </w:rPr>
        <w:t xml:space="preserve">and a perception of confidence in dealing with </w:t>
      </w:r>
      <w:r w:rsidR="00D11AF9" w:rsidRPr="00A4090F">
        <w:rPr>
          <w:rFonts w:ascii="Times New Roman" w:hAnsi="Times New Roman" w:cs="Times New Roman"/>
          <w:sz w:val="24"/>
          <w:szCs w:val="24"/>
          <w:highlight w:val="yellow"/>
          <w:lang w:val="en-US"/>
        </w:rPr>
        <w:t>events</w:t>
      </w:r>
      <w:r w:rsidR="00FD40EC" w:rsidRPr="00A4090F">
        <w:rPr>
          <w:rFonts w:ascii="Times New Roman" w:hAnsi="Times New Roman" w:cs="Times New Roman"/>
          <w:sz w:val="24"/>
          <w:szCs w:val="24"/>
          <w:highlight w:val="yellow"/>
          <w:lang w:val="en-US"/>
        </w:rPr>
        <w:t>,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p>
    <w:p w14:paraId="22C1D5E8" w14:textId="5E1A3D15" w:rsidR="00E531CC"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lastRenderedPageBreak/>
        <w:t xml:space="preserve">For our research goals, we are particularly interested in the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as a physiological component</w:t>
      </w:r>
      <w:r w:rsidR="003115F6">
        <w:rPr>
          <w:rFonts w:ascii="Times New Roman" w:hAnsi="Times New Roman" w:cs="Times New Roman"/>
          <w:sz w:val="24"/>
          <w:szCs w:val="24"/>
          <w:lang w:val="en-US"/>
        </w:rPr>
        <w:t xml:space="preserve"> (box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FF6CF2">
        <w:rPr>
          <w:rFonts w:ascii="Times New Roman" w:hAnsi="Times New Roman" w:cs="Times New Roman"/>
          <w:sz w:val="24"/>
          <w:szCs w:val="24"/>
          <w:lang w:val="en-US"/>
        </w:rPr>
        <w:t xml:space="preserve">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1A4FEB78" w:rsidR="00B24EE3" w:rsidRDefault="00B24EE3"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HR </w:t>
      </w:r>
      <w:r w:rsidR="00E5755B">
        <w:rPr>
          <w:rFonts w:ascii="Times New Roman" w:hAnsi="Times New Roman" w:cs="Times New Roman"/>
          <w:sz w:val="24"/>
          <w:szCs w:val="24"/>
          <w:lang w:val="en-US"/>
        </w:rPr>
        <w:t>in Teaching-Learning Contexts</w:t>
      </w:r>
    </w:p>
    <w:p w14:paraId="3DE6FBAA" w14:textId="05430B87"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the </w:t>
      </w:r>
      <w:r w:rsidR="00336914">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assessment of 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sidRPr="00866A55">
        <w:rPr>
          <w:rFonts w:ascii="Times New Roman" w:hAnsi="Times New Roman" w:cs="Times New Roman"/>
          <w:sz w:val="24"/>
          <w:szCs w:val="24"/>
          <w:lang w:val="en-US"/>
        </w:rPr>
        <w:t>is recommended</w:t>
      </w:r>
      <w:r w:rsidR="00866A55">
        <w:rPr>
          <w:rFonts w:ascii="Times New Roman" w:hAnsi="Times New Roman" w:cs="Times New Roman"/>
          <w:sz w:val="24"/>
          <w:szCs w:val="24"/>
          <w:lang w:val="en-US"/>
        </w:rPr>
        <w:t xml:space="preserve"> [@</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386BEB" w:rsidRPr="001C0471">
        <w:rPr>
          <w:rFonts w:ascii="Times New Roman" w:hAnsi="Times New Roman" w:cs="Times New Roman"/>
          <w:sz w:val="24"/>
          <w:szCs w:val="24"/>
          <w:lang w:val="en-US"/>
        </w:rPr>
        <w:t xml:space="preserve">In teaching-learning contexts,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386BEB" w:rsidRPr="001C0471">
        <w:rPr>
          <w:rFonts w:ascii="Times New Roman" w:hAnsi="Times New Roman" w:cs="Times New Roman"/>
          <w:sz w:val="24"/>
          <w:szCs w:val="24"/>
          <w:lang w:val="en-US"/>
        </w:rPr>
        <w:t>physiological measurements provide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r w:rsidR="006623D5">
        <w:rPr>
          <w:rFonts w:ascii="Times New Roman" w:hAnsi="Times New Roman" w:cs="Times New Roman"/>
          <w:sz w:val="24"/>
          <w:szCs w:val="24"/>
          <w:lang w:val="en-US"/>
        </w:rPr>
        <w:t>Thus</w:t>
      </w:r>
      <w:r w:rsidR="005C6B30" w:rsidRPr="005C6B30">
        <w:rPr>
          <w:rFonts w:ascii="Times New Roman" w:hAnsi="Times New Roman" w:cs="Times New Roman"/>
          <w:sz w:val="24"/>
          <w:szCs w:val="24"/>
          <w:lang w:val="en-US"/>
        </w:rPr>
        <w:t xml:space="preserve">, measuring </w:t>
      </w:r>
      <w:r w:rsidR="005C6B30">
        <w:rPr>
          <w:rFonts w:ascii="Times New Roman" w:hAnsi="Times New Roman" w:cs="Times New Roman"/>
          <w:sz w:val="24"/>
          <w:szCs w:val="24"/>
          <w:lang w:val="en-US"/>
        </w:rPr>
        <w:t>HR</w:t>
      </w:r>
      <w:r w:rsidR="005C6B30" w:rsidRPr="005C6B30">
        <w:rPr>
          <w:rFonts w:ascii="Times New Roman" w:hAnsi="Times New Roman" w:cs="Times New Roman"/>
          <w:sz w:val="24"/>
          <w:szCs w:val="24"/>
          <w:lang w:val="en-US"/>
        </w:rPr>
        <w:t xml:space="preserve"> in teaching-learning contexts has enormous potential as it can enable teachers to independently identify stress responses and possible stressors during teaching </w:t>
      </w:r>
      <w:r w:rsidR="005C6B30">
        <w:rPr>
          <w:rFonts w:ascii="Times New Roman" w:hAnsi="Times New Roman" w:cs="Times New Roman"/>
          <w:sz w:val="24"/>
          <w:szCs w:val="24"/>
          <w:lang w:val="en-US"/>
        </w:rPr>
        <w:t>to</w:t>
      </w:r>
      <w:r w:rsidR="005C6B30" w:rsidRPr="005C6B30">
        <w:rPr>
          <w:rFonts w:ascii="Times New Roman" w:hAnsi="Times New Roman" w:cs="Times New Roman"/>
          <w:sz w:val="24"/>
          <w:szCs w:val="24"/>
          <w:lang w:val="en-US"/>
        </w:rPr>
        <w:t xml:space="preserve"> develop coping strategies, such as classroom management skills.</w:t>
      </w:r>
    </w:p>
    <w:p w14:paraId="32031D6A" w14:textId="4677FCF0"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are only a few studies that investigated physiological indicators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E82BC5">
        <w:rPr>
          <w:rFonts w:ascii="Times New Roman" w:hAnsi="Times New Roman" w:cs="Times New Roman"/>
          <w:sz w:val="24"/>
          <w:szCs w:val="24"/>
          <w:lang w:val="en-US"/>
        </w:rPr>
        <w:t>. The</w:t>
      </w:r>
      <w:r w:rsidR="00E82BC5">
        <w:rPr>
          <w:rFonts w:ascii="Times New Roman" w:hAnsi="Times New Roman" w:cs="Times New Roman"/>
          <w:sz w:val="24"/>
          <w:szCs w:val="24"/>
          <w:lang w:val="en-US"/>
        </w:rPr>
        <w:t xml:space="preserv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w:t>
      </w:r>
      <w:r w:rsidR="00E82BC5" w:rsidRPr="00360890">
        <w:rPr>
          <w:rFonts w:ascii="Times New Roman" w:hAnsi="Times New Roman" w:cs="Times New Roman"/>
          <w:sz w:val="24"/>
          <w:szCs w:val="24"/>
          <w:lang w:val="en-US"/>
        </w:rPr>
        <w:lastRenderedPageBreak/>
        <w:t xml:space="preserve">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them to 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1F0DEBAE"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the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w:t>
      </w:r>
      <w:r w:rsidRPr="002D6FBF">
        <w:rPr>
          <w:rFonts w:ascii="Times New Roman" w:hAnsi="Times New Roman" w:cs="Times New Roman"/>
          <w:sz w:val="24"/>
          <w:szCs w:val="24"/>
          <w:lang w:val="en-US"/>
        </w:rPr>
        <w:t xml:space="preserve"> </w:t>
      </w:r>
      <w:r w:rsidRPr="002D6FBF">
        <w:rPr>
          <w:rFonts w:ascii="Times New Roman" w:hAnsi="Times New Roman" w:cs="Times New Roman"/>
          <w:sz w:val="24"/>
          <w:szCs w:val="24"/>
          <w:lang w:val="en-US"/>
        </w:rPr>
        <w:t>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Pr>
          <w:rFonts w:ascii="Times New Roman" w:hAnsi="Times New Roman" w:cs="Times New Roman"/>
          <w:sz w:val="24"/>
          <w:szCs w:val="24"/>
          <w:lang w:val="en-US"/>
        </w:rPr>
        <w:t xml:space="preserve">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were able to prove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010175C2"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w:t>
      </w:r>
      <w:r w:rsidR="002D0B82">
        <w:rPr>
          <w:rFonts w:ascii="Times New Roman" w:hAnsi="Times New Roman" w:cs="Times New Roman"/>
          <w:sz w:val="24"/>
          <w:szCs w:val="24"/>
          <w:lang w:val="en-US"/>
        </w:rPr>
        <w:t>@Darnell2019</w:t>
      </w:r>
      <w:r w:rsidR="002D0B82">
        <w:rPr>
          <w:rFonts w:ascii="Times New Roman" w:hAnsi="Times New Roman" w:cs="Times New Roman"/>
          <w:sz w:val="24"/>
          <w:szCs w:val="24"/>
          <w:lang w:val="en-US"/>
        </w:rPr>
        <w:t xml:space="preserve">; </w:t>
      </w:r>
      <w:r w:rsidR="002D0B82">
        <w:rPr>
          <w:rFonts w:ascii="Times New Roman" w:hAnsi="Times New Roman" w:cs="Times New Roman"/>
          <w:sz w:val="24"/>
          <w:szCs w:val="24"/>
          <w:lang w:val="en-US"/>
        </w:rPr>
        <w:t>@chalmers2021</w:t>
      </w:r>
      <w:r w:rsidR="002D0B82">
        <w:rPr>
          <w:rFonts w:ascii="Times New Roman" w:hAnsi="Times New Roman" w:cs="Times New Roman"/>
          <w:sz w:val="24"/>
          <w:szCs w:val="24"/>
          <w:lang w:val="en-US"/>
        </w:rPr>
        <w:t>]</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 xml:space="preserve">However, it is very important to note that these studies did not measure teachers', but college students'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5633ED55"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aim was to find out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w:t>
      </w:r>
      <w:r w:rsidR="00A7455E" w:rsidRPr="00D0459A">
        <w:rPr>
          <w:rFonts w:ascii="Times New Roman" w:hAnsi="Times New Roman" w:cs="Times New Roman"/>
          <w:sz w:val="24"/>
          <w:szCs w:val="24"/>
          <w:lang w:val="en-US"/>
        </w:rPr>
        <w:lastRenderedPageBreak/>
        <w:t>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43F4DC82" w14:textId="7836BD0F" w:rsidR="00987FCD" w:rsidRDefault="009B0BF7" w:rsidP="007F750F">
      <w:pPr>
        <w:spacing w:line="360" w:lineRule="auto"/>
        <w:rPr>
          <w:rFonts w:ascii="Times New Roman" w:hAnsi="Times New Roman" w:cs="Times New Roman"/>
          <w:sz w:val="24"/>
          <w:szCs w:val="24"/>
          <w:lang w:val="en-US"/>
        </w:rPr>
      </w:pPr>
      <w:r w:rsidRPr="009B0BF7">
        <w:rPr>
          <w:rFonts w:ascii="Times New Roman" w:hAnsi="Times New Roman" w:cs="Times New Roman"/>
          <w:sz w:val="24"/>
          <w:szCs w:val="24"/>
          <w:lang w:val="en-US"/>
        </w:rPr>
        <w:t xml:space="preserve">Thus, </w:t>
      </w:r>
      <w:r w:rsidR="00A07A66" w:rsidRPr="00A07A66">
        <w:rPr>
          <w:rFonts w:ascii="Times New Roman" w:hAnsi="Times New Roman" w:cs="Times New Roman"/>
          <w:sz w:val="24"/>
          <w:szCs w:val="24"/>
          <w:lang w:val="en-US"/>
        </w:rPr>
        <w:t>the current state of research reveals</w:t>
      </w:r>
      <w:r w:rsidR="00A07A66" w:rsidRPr="00A07A66">
        <w:rPr>
          <w:rFonts w:ascii="Times New Roman" w:hAnsi="Times New Roman" w:cs="Times New Roman"/>
          <w:sz w:val="24"/>
          <w:szCs w:val="24"/>
          <w:lang w:val="en-US"/>
        </w:rPr>
        <w:t xml:space="preserve"> </w:t>
      </w:r>
      <w:r w:rsidRPr="009B0BF7">
        <w:rPr>
          <w:rFonts w:ascii="Times New Roman" w:hAnsi="Times New Roman" w:cs="Times New Roman"/>
          <w:sz w:val="24"/>
          <w:szCs w:val="24"/>
          <w:lang w:val="en-US"/>
        </w:rPr>
        <w:t xml:space="preserve">that there is a clear desideratum for studies that collect </w:t>
      </w:r>
      <w:r w:rsidR="00564892">
        <w:rPr>
          <w:rFonts w:ascii="Times New Roman" w:hAnsi="Times New Roman" w:cs="Times New Roman"/>
          <w:sz w:val="24"/>
          <w:szCs w:val="24"/>
          <w:lang w:val="en-US"/>
        </w:rPr>
        <w:t>HR</w:t>
      </w:r>
      <w:r w:rsidRPr="009B0BF7">
        <w:rPr>
          <w:rFonts w:ascii="Times New Roman" w:hAnsi="Times New Roman" w:cs="Times New Roman"/>
          <w:sz w:val="24"/>
          <w:szCs w:val="24"/>
          <w:lang w:val="en-US"/>
        </w:rPr>
        <w:t xml:space="preserve"> data from teachers in teaching-learning situations using inexpensive and non-intrusive fitness trackers </w:t>
      </w:r>
      <w:r w:rsidR="00CF7930">
        <w:rPr>
          <w:rFonts w:ascii="Times New Roman" w:hAnsi="Times New Roman" w:cs="Times New Roman"/>
          <w:sz w:val="24"/>
          <w:szCs w:val="24"/>
          <w:lang w:val="en-US"/>
        </w:rPr>
        <w:t>with</w:t>
      </w:r>
      <w:r w:rsidRPr="009B0BF7">
        <w:rPr>
          <w:rFonts w:ascii="Times New Roman" w:hAnsi="Times New Roman" w:cs="Times New Roman"/>
          <w:sz w:val="24"/>
          <w:szCs w:val="24"/>
          <w:lang w:val="en-US"/>
        </w:rPr>
        <w:t xml:space="preserve"> </w:t>
      </w:r>
      <w:r w:rsidR="006F3497">
        <w:rPr>
          <w:rFonts w:ascii="Times New Roman" w:hAnsi="Times New Roman" w:cs="Times New Roman"/>
          <w:sz w:val="24"/>
          <w:szCs w:val="24"/>
          <w:lang w:val="en-US"/>
        </w:rPr>
        <w:t xml:space="preserve">a </w:t>
      </w:r>
      <w:r w:rsidR="006F3497" w:rsidRPr="006F3497">
        <w:rPr>
          <w:rFonts w:ascii="Times New Roman" w:hAnsi="Times New Roman" w:cs="Times New Roman"/>
          <w:sz w:val="24"/>
          <w:szCs w:val="24"/>
          <w:lang w:val="en-US"/>
        </w:rPr>
        <w:t>comparatively large sample</w:t>
      </w:r>
      <w:r w:rsidR="006F3497">
        <w:rPr>
          <w:rFonts w:ascii="Times New Roman" w:hAnsi="Times New Roman" w:cs="Times New Roman"/>
          <w:sz w:val="24"/>
          <w:szCs w:val="24"/>
          <w:lang w:val="en-US"/>
        </w:rPr>
        <w:t xml:space="preserve"> size.</w:t>
      </w:r>
    </w:p>
    <w:p w14:paraId="2D3F3ED5" w14:textId="77777777" w:rsidR="0041466B" w:rsidRDefault="0041466B" w:rsidP="00FF14E7">
      <w:pPr>
        <w:spacing w:line="360" w:lineRule="auto"/>
        <w:rPr>
          <w:rFonts w:ascii="Times New Roman" w:hAnsi="Times New Roman" w:cs="Times New Roman"/>
          <w:sz w:val="24"/>
          <w:szCs w:val="24"/>
          <w:lang w:val="en-US"/>
        </w:rPr>
      </w:pPr>
    </w:p>
    <w:p w14:paraId="21219F54" w14:textId="768B7478" w:rsidR="00A7520E" w:rsidRPr="00776D90" w:rsidRDefault="00A752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Management </w:t>
      </w:r>
      <w:r w:rsidR="003B70E9">
        <w:rPr>
          <w:rFonts w:ascii="Times New Roman" w:hAnsi="Times New Roman" w:cs="Times New Roman"/>
          <w:sz w:val="24"/>
          <w:szCs w:val="24"/>
          <w:lang w:val="en-US"/>
        </w:rPr>
        <w:t xml:space="preserve">Skills and Professional Experience </w:t>
      </w:r>
      <w:r>
        <w:rPr>
          <w:rFonts w:ascii="Times New Roman" w:hAnsi="Times New Roman" w:cs="Times New Roman"/>
          <w:sz w:val="24"/>
          <w:szCs w:val="24"/>
          <w:lang w:val="en-US"/>
        </w:rPr>
        <w:t xml:space="preserve">as </w:t>
      </w:r>
      <w:r w:rsidR="00FC0DB7">
        <w:rPr>
          <w:rFonts w:ascii="Times New Roman" w:hAnsi="Times New Roman" w:cs="Times New Roman"/>
          <w:sz w:val="24"/>
          <w:szCs w:val="24"/>
          <w:lang w:val="en-US"/>
        </w:rPr>
        <w:t>Resources</w:t>
      </w:r>
    </w:p>
    <w:p w14:paraId="7158477A" w14:textId="77777777" w:rsidR="003F5187" w:rsidRPr="009C311C" w:rsidRDefault="003F5187"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699A5DFE" w14:textId="77777777" w:rsidR="007F750F" w:rsidRDefault="007F750F" w:rsidP="00B81611">
      <w:pPr>
        <w:spacing w:line="360" w:lineRule="auto"/>
        <w:rPr>
          <w:rFonts w:ascii="Times New Roman" w:hAnsi="Times New Roman" w:cs="Times New Roman"/>
          <w:sz w:val="24"/>
          <w:szCs w:val="24"/>
          <w:lang w:val="en-US"/>
        </w:rPr>
      </w:pPr>
    </w:p>
    <w:p w14:paraId="5016DD7A" w14:textId="77777777" w:rsidR="007F750F" w:rsidRDefault="007F750F"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4"/>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4"/>
      <w:r w:rsidR="00542AAE">
        <w:rPr>
          <w:rStyle w:val="Kommentarzeichen"/>
        </w:rPr>
        <w:commentReference w:id="4"/>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lastRenderedPageBreak/>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1"/>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w:t>
      </w:r>
      <w:r w:rsidR="00C17FB8" w:rsidRPr="00631400">
        <w:rPr>
          <w:rFonts w:ascii="Times New Roman" w:hAnsi="Times New Roman" w:cs="Times New Roman"/>
          <w:sz w:val="24"/>
          <w:szCs w:val="24"/>
          <w:lang w:val="en-US"/>
        </w:rPr>
        <w:lastRenderedPageBreak/>
        <w:t>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5"/>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5"/>
      <w:r w:rsidR="001406E1">
        <w:rPr>
          <w:rStyle w:val="Kommentarzeichen"/>
        </w:rPr>
        <w:commentReference w:id="5"/>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2"/>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w:t>
      </w:r>
      <w:r w:rsidR="00135C01" w:rsidRPr="0055747D">
        <w:rPr>
          <w:rFonts w:ascii="Times New Roman" w:hAnsi="Times New Roman" w:cs="Times New Roman"/>
          <w:sz w:val="24"/>
          <w:szCs w:val="24"/>
          <w:lang w:val="en-US"/>
        </w:rPr>
        <w:lastRenderedPageBreak/>
        <w:t xml:space="preserve">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1-22T17:23:00Z" w:initials="MK">
    <w:p w14:paraId="164C4073" w14:textId="37F9F3F4" w:rsidR="00542AAE" w:rsidRDefault="00542AAE">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 w:id="5"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927B4" w14:textId="77777777" w:rsidR="0023480B" w:rsidRDefault="0023480B" w:rsidP="006C02A6">
      <w:pPr>
        <w:spacing w:after="0" w:line="240" w:lineRule="auto"/>
      </w:pPr>
      <w:r>
        <w:separator/>
      </w:r>
    </w:p>
  </w:endnote>
  <w:endnote w:type="continuationSeparator" w:id="0">
    <w:p w14:paraId="565D91D2" w14:textId="77777777" w:rsidR="0023480B" w:rsidRDefault="0023480B"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EA33" w14:textId="77777777" w:rsidR="0023480B" w:rsidRDefault="0023480B" w:rsidP="006C02A6">
      <w:pPr>
        <w:spacing w:after="0" w:line="240" w:lineRule="auto"/>
      </w:pPr>
      <w:r>
        <w:separator/>
      </w:r>
    </w:p>
  </w:footnote>
  <w:footnote w:type="continuationSeparator" w:id="0">
    <w:p w14:paraId="11FCAA18" w14:textId="77777777" w:rsidR="0023480B" w:rsidRDefault="0023480B" w:rsidP="006C02A6">
      <w:pPr>
        <w:spacing w:after="0" w:line="240" w:lineRule="auto"/>
      </w:pPr>
      <w:r>
        <w:continuationSeparator/>
      </w:r>
    </w:p>
  </w:footnote>
  <w:footnote w:id="1">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2">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516A"/>
    <w:rsid w:val="00006808"/>
    <w:rsid w:val="00007C0F"/>
    <w:rsid w:val="00011A82"/>
    <w:rsid w:val="00014032"/>
    <w:rsid w:val="00014BCE"/>
    <w:rsid w:val="000165CE"/>
    <w:rsid w:val="00020805"/>
    <w:rsid w:val="000211BB"/>
    <w:rsid w:val="0002242D"/>
    <w:rsid w:val="00025278"/>
    <w:rsid w:val="00026841"/>
    <w:rsid w:val="00026EB6"/>
    <w:rsid w:val="00027126"/>
    <w:rsid w:val="00030849"/>
    <w:rsid w:val="00032004"/>
    <w:rsid w:val="00032DBC"/>
    <w:rsid w:val="00033198"/>
    <w:rsid w:val="00035438"/>
    <w:rsid w:val="000354CF"/>
    <w:rsid w:val="00035942"/>
    <w:rsid w:val="00035F3D"/>
    <w:rsid w:val="00036132"/>
    <w:rsid w:val="0003733B"/>
    <w:rsid w:val="00043382"/>
    <w:rsid w:val="00045ED4"/>
    <w:rsid w:val="00046CE4"/>
    <w:rsid w:val="0005512E"/>
    <w:rsid w:val="00055AF7"/>
    <w:rsid w:val="00055D6B"/>
    <w:rsid w:val="00057222"/>
    <w:rsid w:val="00064613"/>
    <w:rsid w:val="000655B8"/>
    <w:rsid w:val="00066BCD"/>
    <w:rsid w:val="00066E40"/>
    <w:rsid w:val="000701B1"/>
    <w:rsid w:val="000734DA"/>
    <w:rsid w:val="00073ADE"/>
    <w:rsid w:val="00073CCC"/>
    <w:rsid w:val="00073FE0"/>
    <w:rsid w:val="0007435C"/>
    <w:rsid w:val="00074EAD"/>
    <w:rsid w:val="00075ED6"/>
    <w:rsid w:val="00076601"/>
    <w:rsid w:val="000772C8"/>
    <w:rsid w:val="00077837"/>
    <w:rsid w:val="00080181"/>
    <w:rsid w:val="00080ED3"/>
    <w:rsid w:val="00081107"/>
    <w:rsid w:val="00082748"/>
    <w:rsid w:val="000852FB"/>
    <w:rsid w:val="0008618B"/>
    <w:rsid w:val="00086748"/>
    <w:rsid w:val="000870EB"/>
    <w:rsid w:val="0009290A"/>
    <w:rsid w:val="00092A3B"/>
    <w:rsid w:val="00093472"/>
    <w:rsid w:val="00094752"/>
    <w:rsid w:val="00094C24"/>
    <w:rsid w:val="00094E6F"/>
    <w:rsid w:val="00096431"/>
    <w:rsid w:val="000974F9"/>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5F77"/>
    <w:rsid w:val="000C6769"/>
    <w:rsid w:val="000C7846"/>
    <w:rsid w:val="000D0474"/>
    <w:rsid w:val="000D1F47"/>
    <w:rsid w:val="000D1FC2"/>
    <w:rsid w:val="000D21B9"/>
    <w:rsid w:val="000D3399"/>
    <w:rsid w:val="000D471F"/>
    <w:rsid w:val="000D4CF5"/>
    <w:rsid w:val="000D564E"/>
    <w:rsid w:val="000D59E3"/>
    <w:rsid w:val="000D5D9C"/>
    <w:rsid w:val="000D7457"/>
    <w:rsid w:val="000E193A"/>
    <w:rsid w:val="000E1E43"/>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1449"/>
    <w:rsid w:val="001124B0"/>
    <w:rsid w:val="0011281D"/>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6C28"/>
    <w:rsid w:val="001572DB"/>
    <w:rsid w:val="00157C63"/>
    <w:rsid w:val="00160146"/>
    <w:rsid w:val="0016044B"/>
    <w:rsid w:val="00160D4E"/>
    <w:rsid w:val="001612B5"/>
    <w:rsid w:val="00163362"/>
    <w:rsid w:val="00163D34"/>
    <w:rsid w:val="00164746"/>
    <w:rsid w:val="00165A12"/>
    <w:rsid w:val="00166C4D"/>
    <w:rsid w:val="001670D4"/>
    <w:rsid w:val="0017307B"/>
    <w:rsid w:val="00175E84"/>
    <w:rsid w:val="00176744"/>
    <w:rsid w:val="001769B8"/>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DEA"/>
    <w:rsid w:val="001A214C"/>
    <w:rsid w:val="001A3502"/>
    <w:rsid w:val="001A46ED"/>
    <w:rsid w:val="001A47C1"/>
    <w:rsid w:val="001A5B63"/>
    <w:rsid w:val="001A61B0"/>
    <w:rsid w:val="001A6675"/>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96B"/>
    <w:rsid w:val="001C0471"/>
    <w:rsid w:val="001C0E77"/>
    <w:rsid w:val="001C225D"/>
    <w:rsid w:val="001C2550"/>
    <w:rsid w:val="001C4AA3"/>
    <w:rsid w:val="001C51E2"/>
    <w:rsid w:val="001C5BB2"/>
    <w:rsid w:val="001C770F"/>
    <w:rsid w:val="001D01C5"/>
    <w:rsid w:val="001D05F5"/>
    <w:rsid w:val="001D1AD8"/>
    <w:rsid w:val="001D1FED"/>
    <w:rsid w:val="001D641B"/>
    <w:rsid w:val="001D6D9D"/>
    <w:rsid w:val="001D7320"/>
    <w:rsid w:val="001E1533"/>
    <w:rsid w:val="001E19D6"/>
    <w:rsid w:val="001E36BA"/>
    <w:rsid w:val="001E72F6"/>
    <w:rsid w:val="001F48F8"/>
    <w:rsid w:val="001F5C7E"/>
    <w:rsid w:val="001F5FF2"/>
    <w:rsid w:val="001F72EA"/>
    <w:rsid w:val="001F76DE"/>
    <w:rsid w:val="001F7E8E"/>
    <w:rsid w:val="00200793"/>
    <w:rsid w:val="00200C58"/>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27ED9"/>
    <w:rsid w:val="00231F5A"/>
    <w:rsid w:val="002321C8"/>
    <w:rsid w:val="002331B2"/>
    <w:rsid w:val="0023480B"/>
    <w:rsid w:val="00234B31"/>
    <w:rsid w:val="00235913"/>
    <w:rsid w:val="00235B3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4094"/>
    <w:rsid w:val="0027712B"/>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A0D44"/>
    <w:rsid w:val="002A2D30"/>
    <w:rsid w:val="002A5414"/>
    <w:rsid w:val="002A544A"/>
    <w:rsid w:val="002A6657"/>
    <w:rsid w:val="002B0ECE"/>
    <w:rsid w:val="002B176F"/>
    <w:rsid w:val="002B3A86"/>
    <w:rsid w:val="002B5B55"/>
    <w:rsid w:val="002B762D"/>
    <w:rsid w:val="002C0023"/>
    <w:rsid w:val="002C26BF"/>
    <w:rsid w:val="002C27B1"/>
    <w:rsid w:val="002C2947"/>
    <w:rsid w:val="002C2C3C"/>
    <w:rsid w:val="002C2DF0"/>
    <w:rsid w:val="002C3458"/>
    <w:rsid w:val="002C38CE"/>
    <w:rsid w:val="002C4262"/>
    <w:rsid w:val="002C4E95"/>
    <w:rsid w:val="002C6C8F"/>
    <w:rsid w:val="002C6F2B"/>
    <w:rsid w:val="002D0369"/>
    <w:rsid w:val="002D07CE"/>
    <w:rsid w:val="002D0B82"/>
    <w:rsid w:val="002D36CB"/>
    <w:rsid w:val="002D5CEF"/>
    <w:rsid w:val="002D6FBF"/>
    <w:rsid w:val="002D71B4"/>
    <w:rsid w:val="002E0A95"/>
    <w:rsid w:val="002E228A"/>
    <w:rsid w:val="002E2E7C"/>
    <w:rsid w:val="002E4238"/>
    <w:rsid w:val="002E4965"/>
    <w:rsid w:val="002E5C7F"/>
    <w:rsid w:val="002E5DE8"/>
    <w:rsid w:val="002E6E35"/>
    <w:rsid w:val="002E6F69"/>
    <w:rsid w:val="002E78C4"/>
    <w:rsid w:val="002F200A"/>
    <w:rsid w:val="002F2300"/>
    <w:rsid w:val="002F47FD"/>
    <w:rsid w:val="00301E62"/>
    <w:rsid w:val="00302EBD"/>
    <w:rsid w:val="00306822"/>
    <w:rsid w:val="00306B31"/>
    <w:rsid w:val="003106BE"/>
    <w:rsid w:val="003115F6"/>
    <w:rsid w:val="00312E53"/>
    <w:rsid w:val="0031404D"/>
    <w:rsid w:val="00315E09"/>
    <w:rsid w:val="00316939"/>
    <w:rsid w:val="00320458"/>
    <w:rsid w:val="0032095E"/>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A03"/>
    <w:rsid w:val="003436B0"/>
    <w:rsid w:val="00343BE4"/>
    <w:rsid w:val="00344851"/>
    <w:rsid w:val="00345EDA"/>
    <w:rsid w:val="0034678A"/>
    <w:rsid w:val="00347EF7"/>
    <w:rsid w:val="00347F21"/>
    <w:rsid w:val="0035007C"/>
    <w:rsid w:val="00350522"/>
    <w:rsid w:val="003519EC"/>
    <w:rsid w:val="00351F67"/>
    <w:rsid w:val="00356D14"/>
    <w:rsid w:val="00360890"/>
    <w:rsid w:val="00360FC6"/>
    <w:rsid w:val="0036126E"/>
    <w:rsid w:val="00363232"/>
    <w:rsid w:val="00364251"/>
    <w:rsid w:val="00364DF5"/>
    <w:rsid w:val="00371456"/>
    <w:rsid w:val="00371843"/>
    <w:rsid w:val="003748DB"/>
    <w:rsid w:val="00374D2A"/>
    <w:rsid w:val="00375632"/>
    <w:rsid w:val="00377BF2"/>
    <w:rsid w:val="003803A2"/>
    <w:rsid w:val="00380BBD"/>
    <w:rsid w:val="00382D4F"/>
    <w:rsid w:val="003841C7"/>
    <w:rsid w:val="00385DC5"/>
    <w:rsid w:val="003864E4"/>
    <w:rsid w:val="00386BEB"/>
    <w:rsid w:val="00386CC7"/>
    <w:rsid w:val="00387466"/>
    <w:rsid w:val="00387A56"/>
    <w:rsid w:val="00391425"/>
    <w:rsid w:val="00393A3B"/>
    <w:rsid w:val="00393CE2"/>
    <w:rsid w:val="00397724"/>
    <w:rsid w:val="00397CAD"/>
    <w:rsid w:val="003A1031"/>
    <w:rsid w:val="003A18B7"/>
    <w:rsid w:val="003A1C01"/>
    <w:rsid w:val="003A25F0"/>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9C5"/>
    <w:rsid w:val="003F0A4A"/>
    <w:rsid w:val="003F0DDF"/>
    <w:rsid w:val="003F18F3"/>
    <w:rsid w:val="003F2D0D"/>
    <w:rsid w:val="003F49C1"/>
    <w:rsid w:val="003F5187"/>
    <w:rsid w:val="003F698B"/>
    <w:rsid w:val="003F6B37"/>
    <w:rsid w:val="003F6E3C"/>
    <w:rsid w:val="0040083E"/>
    <w:rsid w:val="004010A4"/>
    <w:rsid w:val="004010BF"/>
    <w:rsid w:val="00402A0E"/>
    <w:rsid w:val="004035EB"/>
    <w:rsid w:val="00406146"/>
    <w:rsid w:val="00406891"/>
    <w:rsid w:val="0041116A"/>
    <w:rsid w:val="004127CC"/>
    <w:rsid w:val="0041341C"/>
    <w:rsid w:val="0041466B"/>
    <w:rsid w:val="00415E8A"/>
    <w:rsid w:val="0042143A"/>
    <w:rsid w:val="0042301B"/>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571BF"/>
    <w:rsid w:val="00464312"/>
    <w:rsid w:val="00464493"/>
    <w:rsid w:val="004661AE"/>
    <w:rsid w:val="00466A67"/>
    <w:rsid w:val="0046703E"/>
    <w:rsid w:val="0047119F"/>
    <w:rsid w:val="004722D5"/>
    <w:rsid w:val="00472650"/>
    <w:rsid w:val="00472878"/>
    <w:rsid w:val="00474688"/>
    <w:rsid w:val="004746B5"/>
    <w:rsid w:val="0047526C"/>
    <w:rsid w:val="00475630"/>
    <w:rsid w:val="00475C26"/>
    <w:rsid w:val="00477496"/>
    <w:rsid w:val="00480720"/>
    <w:rsid w:val="00481142"/>
    <w:rsid w:val="004827A2"/>
    <w:rsid w:val="004833BD"/>
    <w:rsid w:val="0048426C"/>
    <w:rsid w:val="00484312"/>
    <w:rsid w:val="0048435C"/>
    <w:rsid w:val="00486F7C"/>
    <w:rsid w:val="0049171D"/>
    <w:rsid w:val="00495097"/>
    <w:rsid w:val="0049565A"/>
    <w:rsid w:val="00496464"/>
    <w:rsid w:val="004A19BC"/>
    <w:rsid w:val="004A1C41"/>
    <w:rsid w:val="004A2620"/>
    <w:rsid w:val="004A289E"/>
    <w:rsid w:val="004A3C56"/>
    <w:rsid w:val="004A3FE3"/>
    <w:rsid w:val="004A6639"/>
    <w:rsid w:val="004A794F"/>
    <w:rsid w:val="004B1492"/>
    <w:rsid w:val="004B162C"/>
    <w:rsid w:val="004B20B9"/>
    <w:rsid w:val="004B3833"/>
    <w:rsid w:val="004B4EC2"/>
    <w:rsid w:val="004B65AD"/>
    <w:rsid w:val="004B7806"/>
    <w:rsid w:val="004B7D37"/>
    <w:rsid w:val="004C0662"/>
    <w:rsid w:val="004C15F8"/>
    <w:rsid w:val="004C1B66"/>
    <w:rsid w:val="004C25E5"/>
    <w:rsid w:val="004C3F6E"/>
    <w:rsid w:val="004C506A"/>
    <w:rsid w:val="004C5A1D"/>
    <w:rsid w:val="004C6F00"/>
    <w:rsid w:val="004D06D0"/>
    <w:rsid w:val="004D0D59"/>
    <w:rsid w:val="004D1934"/>
    <w:rsid w:val="004D1C54"/>
    <w:rsid w:val="004D23C4"/>
    <w:rsid w:val="004D4288"/>
    <w:rsid w:val="004D4E27"/>
    <w:rsid w:val="004D55EF"/>
    <w:rsid w:val="004D7890"/>
    <w:rsid w:val="004E0656"/>
    <w:rsid w:val="004E10BF"/>
    <w:rsid w:val="004E32DC"/>
    <w:rsid w:val="004E384D"/>
    <w:rsid w:val="004E50FA"/>
    <w:rsid w:val="004E6A7C"/>
    <w:rsid w:val="004E7FDE"/>
    <w:rsid w:val="004F0114"/>
    <w:rsid w:val="004F1C3D"/>
    <w:rsid w:val="004F2415"/>
    <w:rsid w:val="004F2DEF"/>
    <w:rsid w:val="004F5FD1"/>
    <w:rsid w:val="004F63B2"/>
    <w:rsid w:val="004F6F8A"/>
    <w:rsid w:val="004F7D56"/>
    <w:rsid w:val="0050005C"/>
    <w:rsid w:val="00501351"/>
    <w:rsid w:val="0050140E"/>
    <w:rsid w:val="00501815"/>
    <w:rsid w:val="005025C5"/>
    <w:rsid w:val="005074D0"/>
    <w:rsid w:val="00510AAC"/>
    <w:rsid w:val="0051208E"/>
    <w:rsid w:val="0051246F"/>
    <w:rsid w:val="005132BB"/>
    <w:rsid w:val="00515D1D"/>
    <w:rsid w:val="00516F16"/>
    <w:rsid w:val="00517A47"/>
    <w:rsid w:val="00517BD6"/>
    <w:rsid w:val="00517C71"/>
    <w:rsid w:val="00520574"/>
    <w:rsid w:val="005214F4"/>
    <w:rsid w:val="00522251"/>
    <w:rsid w:val="0052382C"/>
    <w:rsid w:val="00524739"/>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747D"/>
    <w:rsid w:val="00557714"/>
    <w:rsid w:val="00557CB4"/>
    <w:rsid w:val="00562726"/>
    <w:rsid w:val="005629F6"/>
    <w:rsid w:val="00562A5D"/>
    <w:rsid w:val="0056360D"/>
    <w:rsid w:val="00564892"/>
    <w:rsid w:val="005665F0"/>
    <w:rsid w:val="00572659"/>
    <w:rsid w:val="00572DAF"/>
    <w:rsid w:val="00575205"/>
    <w:rsid w:val="0058052D"/>
    <w:rsid w:val="00580CFF"/>
    <w:rsid w:val="005825B0"/>
    <w:rsid w:val="00582F4D"/>
    <w:rsid w:val="0058313A"/>
    <w:rsid w:val="005832F0"/>
    <w:rsid w:val="005840FE"/>
    <w:rsid w:val="00584B04"/>
    <w:rsid w:val="00584B08"/>
    <w:rsid w:val="00587A0F"/>
    <w:rsid w:val="0059024F"/>
    <w:rsid w:val="00592A47"/>
    <w:rsid w:val="00592C13"/>
    <w:rsid w:val="005A13F9"/>
    <w:rsid w:val="005A18BE"/>
    <w:rsid w:val="005A2B42"/>
    <w:rsid w:val="005A443D"/>
    <w:rsid w:val="005A4EED"/>
    <w:rsid w:val="005A6C55"/>
    <w:rsid w:val="005B01DE"/>
    <w:rsid w:val="005B1ACB"/>
    <w:rsid w:val="005B1F35"/>
    <w:rsid w:val="005B2390"/>
    <w:rsid w:val="005B3F0F"/>
    <w:rsid w:val="005B5797"/>
    <w:rsid w:val="005C2496"/>
    <w:rsid w:val="005C3B1B"/>
    <w:rsid w:val="005C4065"/>
    <w:rsid w:val="005C5568"/>
    <w:rsid w:val="005C6B30"/>
    <w:rsid w:val="005D2B37"/>
    <w:rsid w:val="005D581A"/>
    <w:rsid w:val="005D5DE1"/>
    <w:rsid w:val="005D613E"/>
    <w:rsid w:val="005D6C7F"/>
    <w:rsid w:val="005E16F5"/>
    <w:rsid w:val="005E2531"/>
    <w:rsid w:val="005E27D1"/>
    <w:rsid w:val="005E32D7"/>
    <w:rsid w:val="005E32F2"/>
    <w:rsid w:val="005E490D"/>
    <w:rsid w:val="005E6136"/>
    <w:rsid w:val="005E72CE"/>
    <w:rsid w:val="005E778A"/>
    <w:rsid w:val="005F080B"/>
    <w:rsid w:val="005F1904"/>
    <w:rsid w:val="005F1D05"/>
    <w:rsid w:val="005F4823"/>
    <w:rsid w:val="005F5221"/>
    <w:rsid w:val="00600C97"/>
    <w:rsid w:val="00601A5D"/>
    <w:rsid w:val="00602BB4"/>
    <w:rsid w:val="00603B86"/>
    <w:rsid w:val="006041CD"/>
    <w:rsid w:val="0060425A"/>
    <w:rsid w:val="00604C04"/>
    <w:rsid w:val="006060F8"/>
    <w:rsid w:val="00606292"/>
    <w:rsid w:val="00607055"/>
    <w:rsid w:val="00607604"/>
    <w:rsid w:val="00610941"/>
    <w:rsid w:val="00610A57"/>
    <w:rsid w:val="0061140E"/>
    <w:rsid w:val="00613D0C"/>
    <w:rsid w:val="006143A0"/>
    <w:rsid w:val="00616C9C"/>
    <w:rsid w:val="00617777"/>
    <w:rsid w:val="006177E7"/>
    <w:rsid w:val="00617B9B"/>
    <w:rsid w:val="00621B19"/>
    <w:rsid w:val="006235A7"/>
    <w:rsid w:val="0062511F"/>
    <w:rsid w:val="006259D9"/>
    <w:rsid w:val="00625A55"/>
    <w:rsid w:val="00627279"/>
    <w:rsid w:val="00627CFA"/>
    <w:rsid w:val="00630A26"/>
    <w:rsid w:val="00631400"/>
    <w:rsid w:val="006331E1"/>
    <w:rsid w:val="006338C7"/>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38AB"/>
    <w:rsid w:val="00654498"/>
    <w:rsid w:val="00654BA2"/>
    <w:rsid w:val="00654D4D"/>
    <w:rsid w:val="00656310"/>
    <w:rsid w:val="0065685A"/>
    <w:rsid w:val="006573DE"/>
    <w:rsid w:val="00660937"/>
    <w:rsid w:val="00661467"/>
    <w:rsid w:val="006623D5"/>
    <w:rsid w:val="00662750"/>
    <w:rsid w:val="006656A7"/>
    <w:rsid w:val="0066610E"/>
    <w:rsid w:val="00670271"/>
    <w:rsid w:val="0067215B"/>
    <w:rsid w:val="00672D87"/>
    <w:rsid w:val="00673DCB"/>
    <w:rsid w:val="00674400"/>
    <w:rsid w:val="00680788"/>
    <w:rsid w:val="00680A92"/>
    <w:rsid w:val="00683043"/>
    <w:rsid w:val="00683C29"/>
    <w:rsid w:val="006842B4"/>
    <w:rsid w:val="00684925"/>
    <w:rsid w:val="0068537F"/>
    <w:rsid w:val="00685CC6"/>
    <w:rsid w:val="0068621A"/>
    <w:rsid w:val="00692AE7"/>
    <w:rsid w:val="00692E1F"/>
    <w:rsid w:val="006934EE"/>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68D3"/>
    <w:rsid w:val="006C6BF7"/>
    <w:rsid w:val="006C7A7D"/>
    <w:rsid w:val="006C7A8F"/>
    <w:rsid w:val="006D012C"/>
    <w:rsid w:val="006D04B7"/>
    <w:rsid w:val="006D0B6B"/>
    <w:rsid w:val="006D0D6C"/>
    <w:rsid w:val="006D1B40"/>
    <w:rsid w:val="006D5406"/>
    <w:rsid w:val="006D5746"/>
    <w:rsid w:val="006D6991"/>
    <w:rsid w:val="006D6B3B"/>
    <w:rsid w:val="006E056D"/>
    <w:rsid w:val="006E1637"/>
    <w:rsid w:val="006E1718"/>
    <w:rsid w:val="006E2DC0"/>
    <w:rsid w:val="006E3550"/>
    <w:rsid w:val="006E4EC7"/>
    <w:rsid w:val="006E5266"/>
    <w:rsid w:val="006E6EE5"/>
    <w:rsid w:val="006E7622"/>
    <w:rsid w:val="006E7A67"/>
    <w:rsid w:val="006F0F23"/>
    <w:rsid w:val="006F211C"/>
    <w:rsid w:val="006F3497"/>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8CA"/>
    <w:rsid w:val="007169C7"/>
    <w:rsid w:val="00720E29"/>
    <w:rsid w:val="00721F25"/>
    <w:rsid w:val="00722BA0"/>
    <w:rsid w:val="00722DC2"/>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0EE5"/>
    <w:rsid w:val="0076102D"/>
    <w:rsid w:val="00761D32"/>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141B"/>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0742"/>
    <w:rsid w:val="007C1CDF"/>
    <w:rsid w:val="007C20E7"/>
    <w:rsid w:val="007C50D1"/>
    <w:rsid w:val="007C5F7D"/>
    <w:rsid w:val="007D1C3B"/>
    <w:rsid w:val="007D2A82"/>
    <w:rsid w:val="007D3FAF"/>
    <w:rsid w:val="007D7B9C"/>
    <w:rsid w:val="007E2E61"/>
    <w:rsid w:val="007E6C4A"/>
    <w:rsid w:val="007E6F60"/>
    <w:rsid w:val="007F108E"/>
    <w:rsid w:val="007F2CB6"/>
    <w:rsid w:val="007F5911"/>
    <w:rsid w:val="007F613A"/>
    <w:rsid w:val="007F6256"/>
    <w:rsid w:val="007F750F"/>
    <w:rsid w:val="007F76A4"/>
    <w:rsid w:val="007F7A7A"/>
    <w:rsid w:val="00800D37"/>
    <w:rsid w:val="008012E2"/>
    <w:rsid w:val="008030CB"/>
    <w:rsid w:val="008035CC"/>
    <w:rsid w:val="00806FBB"/>
    <w:rsid w:val="00810B0A"/>
    <w:rsid w:val="00812266"/>
    <w:rsid w:val="00814F54"/>
    <w:rsid w:val="008150A0"/>
    <w:rsid w:val="00815F7C"/>
    <w:rsid w:val="008171A1"/>
    <w:rsid w:val="00822F1B"/>
    <w:rsid w:val="00823DD2"/>
    <w:rsid w:val="00824A03"/>
    <w:rsid w:val="00824C53"/>
    <w:rsid w:val="00827931"/>
    <w:rsid w:val="008300AA"/>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3DCA"/>
    <w:rsid w:val="0086470D"/>
    <w:rsid w:val="008648DF"/>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822"/>
    <w:rsid w:val="00886AA7"/>
    <w:rsid w:val="00887B7C"/>
    <w:rsid w:val="008917A4"/>
    <w:rsid w:val="00891C09"/>
    <w:rsid w:val="00893E8C"/>
    <w:rsid w:val="008A3192"/>
    <w:rsid w:val="008A386E"/>
    <w:rsid w:val="008A66D8"/>
    <w:rsid w:val="008A67AF"/>
    <w:rsid w:val="008A6D11"/>
    <w:rsid w:val="008A70BA"/>
    <w:rsid w:val="008A7A08"/>
    <w:rsid w:val="008B2315"/>
    <w:rsid w:val="008B4FA9"/>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1696"/>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60FE"/>
    <w:rsid w:val="009275B5"/>
    <w:rsid w:val="009309D7"/>
    <w:rsid w:val="00931267"/>
    <w:rsid w:val="009326A3"/>
    <w:rsid w:val="00933CA6"/>
    <w:rsid w:val="00935247"/>
    <w:rsid w:val="009362FB"/>
    <w:rsid w:val="00936EAF"/>
    <w:rsid w:val="00936F35"/>
    <w:rsid w:val="009415A8"/>
    <w:rsid w:val="009418D0"/>
    <w:rsid w:val="009438E4"/>
    <w:rsid w:val="009443AF"/>
    <w:rsid w:val="00945C89"/>
    <w:rsid w:val="00946F6D"/>
    <w:rsid w:val="00947622"/>
    <w:rsid w:val="00951567"/>
    <w:rsid w:val="00952962"/>
    <w:rsid w:val="00953FE6"/>
    <w:rsid w:val="00956106"/>
    <w:rsid w:val="0095663A"/>
    <w:rsid w:val="0095756E"/>
    <w:rsid w:val="009579BC"/>
    <w:rsid w:val="00957AA1"/>
    <w:rsid w:val="00957BDA"/>
    <w:rsid w:val="00960B66"/>
    <w:rsid w:val="00961AB0"/>
    <w:rsid w:val="009621EF"/>
    <w:rsid w:val="009639A5"/>
    <w:rsid w:val="00963D95"/>
    <w:rsid w:val="00965546"/>
    <w:rsid w:val="00965EF5"/>
    <w:rsid w:val="00966E7D"/>
    <w:rsid w:val="0096700C"/>
    <w:rsid w:val="00970956"/>
    <w:rsid w:val="00970A38"/>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6555"/>
    <w:rsid w:val="0098775C"/>
    <w:rsid w:val="00987FCD"/>
    <w:rsid w:val="00990D6F"/>
    <w:rsid w:val="00991270"/>
    <w:rsid w:val="0099254B"/>
    <w:rsid w:val="00994A3F"/>
    <w:rsid w:val="0099584B"/>
    <w:rsid w:val="00996758"/>
    <w:rsid w:val="00996A2E"/>
    <w:rsid w:val="009970BA"/>
    <w:rsid w:val="009973DD"/>
    <w:rsid w:val="009978AB"/>
    <w:rsid w:val="009A1ACF"/>
    <w:rsid w:val="009A228F"/>
    <w:rsid w:val="009A3A64"/>
    <w:rsid w:val="009A3B53"/>
    <w:rsid w:val="009A3C32"/>
    <w:rsid w:val="009A4E1A"/>
    <w:rsid w:val="009A6E17"/>
    <w:rsid w:val="009A763B"/>
    <w:rsid w:val="009B02B2"/>
    <w:rsid w:val="009B059A"/>
    <w:rsid w:val="009B095E"/>
    <w:rsid w:val="009B0BF7"/>
    <w:rsid w:val="009B1194"/>
    <w:rsid w:val="009B1E8C"/>
    <w:rsid w:val="009B39D3"/>
    <w:rsid w:val="009B44F6"/>
    <w:rsid w:val="009B4B39"/>
    <w:rsid w:val="009B6863"/>
    <w:rsid w:val="009C007B"/>
    <w:rsid w:val="009C18A0"/>
    <w:rsid w:val="009C2E05"/>
    <w:rsid w:val="009C311C"/>
    <w:rsid w:val="009C3D0B"/>
    <w:rsid w:val="009C5AFC"/>
    <w:rsid w:val="009C6276"/>
    <w:rsid w:val="009D1098"/>
    <w:rsid w:val="009D10D1"/>
    <w:rsid w:val="009D18CC"/>
    <w:rsid w:val="009D3602"/>
    <w:rsid w:val="009D7FCE"/>
    <w:rsid w:val="009E1572"/>
    <w:rsid w:val="009E18ED"/>
    <w:rsid w:val="009E302E"/>
    <w:rsid w:val="009E31AE"/>
    <w:rsid w:val="009E340C"/>
    <w:rsid w:val="009E3907"/>
    <w:rsid w:val="009F0823"/>
    <w:rsid w:val="009F0CA0"/>
    <w:rsid w:val="009F1FE7"/>
    <w:rsid w:val="009F339B"/>
    <w:rsid w:val="009F6BD8"/>
    <w:rsid w:val="00A001B8"/>
    <w:rsid w:val="00A003C8"/>
    <w:rsid w:val="00A00C4C"/>
    <w:rsid w:val="00A019E5"/>
    <w:rsid w:val="00A01ABA"/>
    <w:rsid w:val="00A01F1B"/>
    <w:rsid w:val="00A02938"/>
    <w:rsid w:val="00A039DD"/>
    <w:rsid w:val="00A039DF"/>
    <w:rsid w:val="00A0487C"/>
    <w:rsid w:val="00A04AC8"/>
    <w:rsid w:val="00A06586"/>
    <w:rsid w:val="00A07395"/>
    <w:rsid w:val="00A07A66"/>
    <w:rsid w:val="00A07CCF"/>
    <w:rsid w:val="00A11195"/>
    <w:rsid w:val="00A11454"/>
    <w:rsid w:val="00A1239A"/>
    <w:rsid w:val="00A12BC7"/>
    <w:rsid w:val="00A21587"/>
    <w:rsid w:val="00A21B48"/>
    <w:rsid w:val="00A21B64"/>
    <w:rsid w:val="00A26230"/>
    <w:rsid w:val="00A27BD8"/>
    <w:rsid w:val="00A3216A"/>
    <w:rsid w:val="00A348F9"/>
    <w:rsid w:val="00A356C2"/>
    <w:rsid w:val="00A36556"/>
    <w:rsid w:val="00A36D04"/>
    <w:rsid w:val="00A36FC2"/>
    <w:rsid w:val="00A4090F"/>
    <w:rsid w:val="00A41C0D"/>
    <w:rsid w:val="00A4239A"/>
    <w:rsid w:val="00A429CD"/>
    <w:rsid w:val="00A42E6D"/>
    <w:rsid w:val="00A43302"/>
    <w:rsid w:val="00A43A08"/>
    <w:rsid w:val="00A44369"/>
    <w:rsid w:val="00A44480"/>
    <w:rsid w:val="00A444AE"/>
    <w:rsid w:val="00A457BF"/>
    <w:rsid w:val="00A46601"/>
    <w:rsid w:val="00A512C5"/>
    <w:rsid w:val="00A51D64"/>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455E"/>
    <w:rsid w:val="00A7520E"/>
    <w:rsid w:val="00A75497"/>
    <w:rsid w:val="00A75D03"/>
    <w:rsid w:val="00A76F13"/>
    <w:rsid w:val="00A773EF"/>
    <w:rsid w:val="00A777EA"/>
    <w:rsid w:val="00A80AAB"/>
    <w:rsid w:val="00A80CDF"/>
    <w:rsid w:val="00A80FD1"/>
    <w:rsid w:val="00A816B3"/>
    <w:rsid w:val="00A82513"/>
    <w:rsid w:val="00A83C4D"/>
    <w:rsid w:val="00A851A6"/>
    <w:rsid w:val="00A8638C"/>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11DB"/>
    <w:rsid w:val="00AB2A9B"/>
    <w:rsid w:val="00AB30DD"/>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1C"/>
    <w:rsid w:val="00AF6068"/>
    <w:rsid w:val="00AF6EE2"/>
    <w:rsid w:val="00B01841"/>
    <w:rsid w:val="00B03E43"/>
    <w:rsid w:val="00B06DB1"/>
    <w:rsid w:val="00B06F82"/>
    <w:rsid w:val="00B10E36"/>
    <w:rsid w:val="00B12A75"/>
    <w:rsid w:val="00B13286"/>
    <w:rsid w:val="00B20AD3"/>
    <w:rsid w:val="00B20B41"/>
    <w:rsid w:val="00B22B97"/>
    <w:rsid w:val="00B233A1"/>
    <w:rsid w:val="00B24CF8"/>
    <w:rsid w:val="00B24E51"/>
    <w:rsid w:val="00B24EE3"/>
    <w:rsid w:val="00B25FA6"/>
    <w:rsid w:val="00B27770"/>
    <w:rsid w:val="00B3030B"/>
    <w:rsid w:val="00B332B5"/>
    <w:rsid w:val="00B3420A"/>
    <w:rsid w:val="00B35AC0"/>
    <w:rsid w:val="00B362AC"/>
    <w:rsid w:val="00B36ADB"/>
    <w:rsid w:val="00B3746B"/>
    <w:rsid w:val="00B37DC1"/>
    <w:rsid w:val="00B40438"/>
    <w:rsid w:val="00B40582"/>
    <w:rsid w:val="00B41AD4"/>
    <w:rsid w:val="00B41EB2"/>
    <w:rsid w:val="00B4623A"/>
    <w:rsid w:val="00B463CA"/>
    <w:rsid w:val="00B46525"/>
    <w:rsid w:val="00B4730E"/>
    <w:rsid w:val="00B50E99"/>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43DA"/>
    <w:rsid w:val="00B754E2"/>
    <w:rsid w:val="00B77B01"/>
    <w:rsid w:val="00B80C10"/>
    <w:rsid w:val="00B81611"/>
    <w:rsid w:val="00B8173A"/>
    <w:rsid w:val="00B822B5"/>
    <w:rsid w:val="00B8236A"/>
    <w:rsid w:val="00B824FA"/>
    <w:rsid w:val="00B82975"/>
    <w:rsid w:val="00B83752"/>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88F"/>
    <w:rsid w:val="00C71D23"/>
    <w:rsid w:val="00C71D4D"/>
    <w:rsid w:val="00C72482"/>
    <w:rsid w:val="00C732D8"/>
    <w:rsid w:val="00C7583A"/>
    <w:rsid w:val="00C760DC"/>
    <w:rsid w:val="00C766CE"/>
    <w:rsid w:val="00C822C2"/>
    <w:rsid w:val="00C847D7"/>
    <w:rsid w:val="00C849C9"/>
    <w:rsid w:val="00C84F49"/>
    <w:rsid w:val="00C853F6"/>
    <w:rsid w:val="00C858F7"/>
    <w:rsid w:val="00C87058"/>
    <w:rsid w:val="00C87612"/>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4A90"/>
    <w:rsid w:val="00CB5B5A"/>
    <w:rsid w:val="00CB64DD"/>
    <w:rsid w:val="00CB651B"/>
    <w:rsid w:val="00CB68A3"/>
    <w:rsid w:val="00CB7F2F"/>
    <w:rsid w:val="00CC2087"/>
    <w:rsid w:val="00CC3D7C"/>
    <w:rsid w:val="00CC3F27"/>
    <w:rsid w:val="00CC5AB2"/>
    <w:rsid w:val="00CC5BDB"/>
    <w:rsid w:val="00CC710A"/>
    <w:rsid w:val="00CD27CC"/>
    <w:rsid w:val="00CD3E86"/>
    <w:rsid w:val="00CD5507"/>
    <w:rsid w:val="00CD599B"/>
    <w:rsid w:val="00CE1FCA"/>
    <w:rsid w:val="00CE64CC"/>
    <w:rsid w:val="00CE64FB"/>
    <w:rsid w:val="00CF1022"/>
    <w:rsid w:val="00CF2C7C"/>
    <w:rsid w:val="00CF7930"/>
    <w:rsid w:val="00D00310"/>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22D2"/>
    <w:rsid w:val="00D429BC"/>
    <w:rsid w:val="00D46626"/>
    <w:rsid w:val="00D47CF9"/>
    <w:rsid w:val="00D51210"/>
    <w:rsid w:val="00D51592"/>
    <w:rsid w:val="00D51776"/>
    <w:rsid w:val="00D545AB"/>
    <w:rsid w:val="00D5655E"/>
    <w:rsid w:val="00D57C3C"/>
    <w:rsid w:val="00D6132E"/>
    <w:rsid w:val="00D61C5C"/>
    <w:rsid w:val="00D61DDD"/>
    <w:rsid w:val="00D62AE3"/>
    <w:rsid w:val="00D63646"/>
    <w:rsid w:val="00D6576E"/>
    <w:rsid w:val="00D65850"/>
    <w:rsid w:val="00D66AC4"/>
    <w:rsid w:val="00D66BC1"/>
    <w:rsid w:val="00D6743A"/>
    <w:rsid w:val="00D67A9F"/>
    <w:rsid w:val="00D67C7C"/>
    <w:rsid w:val="00D72273"/>
    <w:rsid w:val="00D84B77"/>
    <w:rsid w:val="00D851B8"/>
    <w:rsid w:val="00D854A3"/>
    <w:rsid w:val="00D85CDF"/>
    <w:rsid w:val="00D861B1"/>
    <w:rsid w:val="00D87AD0"/>
    <w:rsid w:val="00D902F1"/>
    <w:rsid w:val="00D919A2"/>
    <w:rsid w:val="00D92201"/>
    <w:rsid w:val="00D92EAF"/>
    <w:rsid w:val="00D93290"/>
    <w:rsid w:val="00D939CE"/>
    <w:rsid w:val="00DA19C1"/>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11DE"/>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2FA0"/>
    <w:rsid w:val="00E03C5A"/>
    <w:rsid w:val="00E058CF"/>
    <w:rsid w:val="00E06128"/>
    <w:rsid w:val="00E06294"/>
    <w:rsid w:val="00E0630A"/>
    <w:rsid w:val="00E06633"/>
    <w:rsid w:val="00E101FE"/>
    <w:rsid w:val="00E12F4D"/>
    <w:rsid w:val="00E13269"/>
    <w:rsid w:val="00E141E7"/>
    <w:rsid w:val="00E15B10"/>
    <w:rsid w:val="00E16FD4"/>
    <w:rsid w:val="00E17C9E"/>
    <w:rsid w:val="00E224D5"/>
    <w:rsid w:val="00E22812"/>
    <w:rsid w:val="00E22972"/>
    <w:rsid w:val="00E232A4"/>
    <w:rsid w:val="00E24893"/>
    <w:rsid w:val="00E24A66"/>
    <w:rsid w:val="00E26725"/>
    <w:rsid w:val="00E273F7"/>
    <w:rsid w:val="00E30F76"/>
    <w:rsid w:val="00E3707D"/>
    <w:rsid w:val="00E408BE"/>
    <w:rsid w:val="00E4192C"/>
    <w:rsid w:val="00E4339A"/>
    <w:rsid w:val="00E440C2"/>
    <w:rsid w:val="00E463D9"/>
    <w:rsid w:val="00E46AF1"/>
    <w:rsid w:val="00E478BA"/>
    <w:rsid w:val="00E52610"/>
    <w:rsid w:val="00E529DD"/>
    <w:rsid w:val="00E531CC"/>
    <w:rsid w:val="00E540E1"/>
    <w:rsid w:val="00E548C1"/>
    <w:rsid w:val="00E5755B"/>
    <w:rsid w:val="00E5771A"/>
    <w:rsid w:val="00E60192"/>
    <w:rsid w:val="00E606C2"/>
    <w:rsid w:val="00E65643"/>
    <w:rsid w:val="00E7009A"/>
    <w:rsid w:val="00E71C76"/>
    <w:rsid w:val="00E72FF3"/>
    <w:rsid w:val="00E7477A"/>
    <w:rsid w:val="00E75F95"/>
    <w:rsid w:val="00E76833"/>
    <w:rsid w:val="00E7722A"/>
    <w:rsid w:val="00E824E4"/>
    <w:rsid w:val="00E82B9D"/>
    <w:rsid w:val="00E82BC5"/>
    <w:rsid w:val="00E82CA9"/>
    <w:rsid w:val="00E8630C"/>
    <w:rsid w:val="00E903A7"/>
    <w:rsid w:val="00E90961"/>
    <w:rsid w:val="00E9107D"/>
    <w:rsid w:val="00E92B42"/>
    <w:rsid w:val="00E92C16"/>
    <w:rsid w:val="00E934FD"/>
    <w:rsid w:val="00E93DD8"/>
    <w:rsid w:val="00E9560B"/>
    <w:rsid w:val="00E96B7D"/>
    <w:rsid w:val="00E97300"/>
    <w:rsid w:val="00E97A81"/>
    <w:rsid w:val="00EA08F0"/>
    <w:rsid w:val="00EA1350"/>
    <w:rsid w:val="00EA1CAD"/>
    <w:rsid w:val="00EA4AF7"/>
    <w:rsid w:val="00EA4D55"/>
    <w:rsid w:val="00EA5D33"/>
    <w:rsid w:val="00EA62F2"/>
    <w:rsid w:val="00EA7332"/>
    <w:rsid w:val="00EB121E"/>
    <w:rsid w:val="00EB1FED"/>
    <w:rsid w:val="00EB4441"/>
    <w:rsid w:val="00EB5F9D"/>
    <w:rsid w:val="00EB5FB5"/>
    <w:rsid w:val="00EB6100"/>
    <w:rsid w:val="00EC005F"/>
    <w:rsid w:val="00EC11A2"/>
    <w:rsid w:val="00EC18EB"/>
    <w:rsid w:val="00EC1965"/>
    <w:rsid w:val="00EC314C"/>
    <w:rsid w:val="00EC3940"/>
    <w:rsid w:val="00EC3CCA"/>
    <w:rsid w:val="00EC4C48"/>
    <w:rsid w:val="00EC517C"/>
    <w:rsid w:val="00EC5C2D"/>
    <w:rsid w:val="00EC5E76"/>
    <w:rsid w:val="00EC67B6"/>
    <w:rsid w:val="00ED0012"/>
    <w:rsid w:val="00ED11F0"/>
    <w:rsid w:val="00ED2FE1"/>
    <w:rsid w:val="00ED3E88"/>
    <w:rsid w:val="00ED5063"/>
    <w:rsid w:val="00ED517B"/>
    <w:rsid w:val="00ED552F"/>
    <w:rsid w:val="00ED64D3"/>
    <w:rsid w:val="00ED68F8"/>
    <w:rsid w:val="00ED7FCF"/>
    <w:rsid w:val="00EE1BD7"/>
    <w:rsid w:val="00EE2611"/>
    <w:rsid w:val="00EF0BDF"/>
    <w:rsid w:val="00EF17F1"/>
    <w:rsid w:val="00EF21C1"/>
    <w:rsid w:val="00EF2517"/>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3ECC"/>
    <w:rsid w:val="00F142BF"/>
    <w:rsid w:val="00F15BEE"/>
    <w:rsid w:val="00F17511"/>
    <w:rsid w:val="00F23E7F"/>
    <w:rsid w:val="00F242AD"/>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F32"/>
    <w:rsid w:val="00F66834"/>
    <w:rsid w:val="00F67F3B"/>
    <w:rsid w:val="00F67FC8"/>
    <w:rsid w:val="00F7059E"/>
    <w:rsid w:val="00F71296"/>
    <w:rsid w:val="00F739FB"/>
    <w:rsid w:val="00F73C5E"/>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445E"/>
    <w:rsid w:val="00FF4590"/>
    <w:rsid w:val="00FF6CF2"/>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2A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5715</Words>
  <Characters>35554</Characters>
  <Application>Microsoft Office Word</Application>
  <DocSecurity>0</DocSecurity>
  <Lines>530</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67</cp:revision>
  <dcterms:created xsi:type="dcterms:W3CDTF">2024-02-28T12:48:00Z</dcterms:created>
  <dcterms:modified xsi:type="dcterms:W3CDTF">2024-02-28T15:45:00Z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