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r w:rsidR="00082748">
        <w:rPr>
          <w:rFonts w:ascii="Times New Roman" w:hAnsi="Times New Roman" w:cs="Times New Roman"/>
          <w:sz w:val="24"/>
          <w:szCs w:val="24"/>
        </w:rPr>
        <w:t>Lehrer:innen</w:t>
      </w:r>
      <w:proofErr w:type="spell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374F7F0A" w14:textId="23A7F609" w:rsidR="00D85CDF" w:rsidRPr="00D85CDF" w:rsidRDefault="00D85CDF"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56C1C26F" w14:textId="77777777" w:rsidR="00D17666" w:rsidRDefault="00D17666" w:rsidP="00D17666">
      <w:pPr>
        <w:spacing w:line="360" w:lineRule="auto"/>
        <w:rPr>
          <w:rFonts w:ascii="Times New Roman" w:hAnsi="Times New Roman" w:cs="Times New Roman"/>
          <w:sz w:val="24"/>
          <w:szCs w:val="24"/>
        </w:rPr>
      </w:pPr>
    </w:p>
    <w:p w14:paraId="2F451E5E" w14:textId="77777777" w:rsidR="00D17666" w:rsidRDefault="00D17666" w:rsidP="00D17666">
      <w:pPr>
        <w:spacing w:line="360" w:lineRule="auto"/>
        <w:rPr>
          <w:rFonts w:ascii="Times New Roman" w:hAnsi="Times New Roman" w:cs="Times New Roman"/>
          <w:sz w:val="24"/>
          <w:szCs w:val="24"/>
        </w:rPr>
      </w:pP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lastRenderedPageBreak/>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w:t>
      </w:r>
      <w:r w:rsidR="00F479AE">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022EB36D"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2670D7">
        <w:rPr>
          <w:rFonts w:ascii="Times New Roman" w:hAnsi="Times New Roman" w:cs="Times New Roman"/>
          <w:sz w:val="24"/>
          <w:szCs w:val="24"/>
          <w:highlight w:val="yellow"/>
          <w:lang w:val="en-US"/>
        </w:rPr>
        <w:t xml:space="preserve">behavioral or </w:t>
      </w:r>
      <w:r w:rsidR="00672D87" w:rsidRPr="002670D7">
        <w:rPr>
          <w:rFonts w:ascii="Times New Roman" w:hAnsi="Times New Roman" w:cs="Times New Roman"/>
          <w:sz w:val="24"/>
          <w:szCs w:val="24"/>
          <w:highlight w:val="yellow"/>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 xml:space="preserve">, </w:t>
      </w:r>
      <w:r w:rsidR="00C069E4">
        <w:rPr>
          <w:rFonts w:ascii="Times New Roman" w:hAnsi="Times New Roman" w:cs="Times New Roman"/>
          <w:sz w:val="24"/>
          <w:szCs w:val="24"/>
          <w:lang w:val="en-US"/>
        </w:rPr>
        <w:t xml:space="preserve">steps taken, and </w:t>
      </w:r>
      <w:r w:rsidR="00FF759C">
        <w:rPr>
          <w:rFonts w:ascii="Times New Roman" w:hAnsi="Times New Roman" w:cs="Times New Roman"/>
          <w:sz w:val="24"/>
          <w:szCs w:val="24"/>
          <w:lang w:val="en-US"/>
        </w:rPr>
        <w:t>calories burned</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1D7450BD" w14:textId="1739DCED" w:rsidR="00323C7A" w:rsidRDefault="00323C7A" w:rsidP="00323C7A">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 xml:space="preserve">]. </w:t>
      </w:r>
      <w:r w:rsidR="00602BB4">
        <w:rPr>
          <w:rFonts w:ascii="Times New Roman" w:hAnsi="Times New Roman" w:cs="Times New Roman"/>
          <w:sz w:val="24"/>
          <w:szCs w:val="24"/>
          <w:lang w:val="en-US"/>
        </w:rPr>
        <w:t xml:space="preserve">Notably </w:t>
      </w:r>
    </w:p>
    <w:p w14:paraId="6258701A" w14:textId="77777777" w:rsidR="00F50415" w:rsidRDefault="00F50415" w:rsidP="00197F54">
      <w:pPr>
        <w:rPr>
          <w:rFonts w:ascii="Times New Roman" w:hAnsi="Times New Roman" w:cs="Times New Roman"/>
          <w:sz w:val="24"/>
          <w:szCs w:val="24"/>
          <w:lang w:val="en-US"/>
        </w:rPr>
      </w:pPr>
    </w:p>
    <w:p w14:paraId="09558B3D" w14:textId="6B33F649" w:rsidR="00BD66CB" w:rsidRDefault="00280404"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CC6DD4" w14:textId="06EC4E89" w:rsidR="00380BBD" w:rsidRDefault="00380BBD" w:rsidP="00D03B18">
      <w:pPr>
        <w:spacing w:line="360" w:lineRule="auto"/>
        <w:rPr>
          <w:rFonts w:ascii="Times New Roman" w:hAnsi="Times New Roman" w:cs="Times New Roman"/>
          <w:sz w:val="24"/>
          <w:szCs w:val="24"/>
          <w:lang w:val="en-US"/>
        </w:rPr>
      </w:pPr>
      <w:r w:rsidRPr="00380BBD">
        <w:rPr>
          <w:rFonts w:ascii="Times New Roman" w:hAnsi="Times New Roman" w:cs="Times New Roman"/>
          <w:sz w:val="24"/>
          <w:szCs w:val="24"/>
          <w:lang w:val="en-US"/>
        </w:rPr>
        <w:t>While there is research on how wearables can be used in the educational context to support teachers in monitoring student activity in the classroom</w:t>
      </w:r>
      <w:r>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Pr="00380BBD">
        <w:rPr>
          <w:rFonts w:ascii="Times New Roman" w:hAnsi="Times New Roman" w:cs="Times New Roman"/>
          <w:sz w:val="24"/>
          <w:szCs w:val="24"/>
          <w:lang w:val="en-US"/>
        </w:rPr>
        <w:t>, there is a research gap on the use of wrist-worn fitness trackers by teachers.</w:t>
      </w:r>
      <w:r w:rsidRPr="00380BBD">
        <w:rPr>
          <w:rFonts w:ascii="Times New Roman" w:hAnsi="Times New Roman" w:cs="Times New Roman"/>
          <w:sz w:val="24"/>
          <w:szCs w:val="24"/>
          <w:lang w:val="en-US"/>
        </w:rPr>
        <w:t xml:space="preserve"> </w:t>
      </w:r>
    </w:p>
    <w:p w14:paraId="1DF0458F" w14:textId="41A54171"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Physiological measurements such as that of Heart Rate (HR) are becoming increasingly important in research on stress experience. They represent an important </w:t>
      </w:r>
      <w:r w:rsidR="002E5C7F">
        <w:rPr>
          <w:rFonts w:ascii="Times New Roman" w:hAnsi="Times New Roman" w:cs="Times New Roman"/>
          <w:sz w:val="24"/>
          <w:szCs w:val="24"/>
          <w:lang w:val="en-US"/>
        </w:rPr>
        <w:t xml:space="preserve">physical and </w:t>
      </w:r>
      <w:r w:rsidR="002E5C7F">
        <w:rPr>
          <w:rFonts w:ascii="Times New Roman" w:hAnsi="Times New Roman" w:cs="Times New Roman"/>
          <w:sz w:val="24"/>
          <w:szCs w:val="24"/>
          <w:lang w:val="en-US"/>
        </w:rPr>
        <w:lastRenderedPageBreak/>
        <w:t>emotional stress indicator</w:t>
      </w:r>
      <w:r w:rsidRPr="00D03B18">
        <w:rPr>
          <w:rFonts w:ascii="Times New Roman" w:hAnsi="Times New Roman" w:cs="Times New Roman"/>
          <w:sz w:val="24"/>
          <w:szCs w:val="24"/>
          <w:lang w:val="en-US"/>
        </w:rPr>
        <w:t xml:space="preserve">, as </w:t>
      </w:r>
      <w:r>
        <w:rPr>
          <w:rFonts w:ascii="Times New Roman" w:hAnsi="Times New Roman" w:cs="Times New Roman"/>
          <w:sz w:val="24"/>
          <w:szCs w:val="24"/>
          <w:lang w:val="en-US"/>
        </w:rPr>
        <w:t xml:space="preserve">an </w:t>
      </w:r>
      <w:r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[@runge2020]. However, capturing HR in an educational context at scale requires the use of low-cost and non-invasive instruments. Fitness trackers worn on the wrist have the potential to be a promising tool in this context [@ferguson2015]. </w:t>
      </w:r>
    </w:p>
    <w:p w14:paraId="25A94BAD" w14:textId="51893E27"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[@ertzberger2016; @lowe2016].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arousal during teaching remain a desideratum. </w:t>
      </w:r>
    </w:p>
    <w:p w14:paraId="1AFE5113" w14:textId="33DC22B3" w:rsidR="00D03B18" w:rsidRDefault="00D03B18" w:rsidP="00B81611">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This study examined whether HR measures using fitness trackers are suitable for capturing differences </w:t>
      </w:r>
      <w:r w:rsidR="00832D1E">
        <w:rPr>
          <w:rFonts w:ascii="Times New Roman" w:hAnsi="Times New Roman" w:cs="Times New Roman"/>
          <w:sz w:val="24"/>
          <w:szCs w:val="24"/>
          <w:lang w:val="en-US"/>
        </w:rPr>
        <w:t>in</w:t>
      </w:r>
      <w:r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Pr="00D03B18">
        <w:rPr>
          <w:rFonts w:ascii="Times New Roman" w:hAnsi="Times New Roman" w:cs="Times New Roman"/>
          <w:sz w:val="24"/>
          <w:szCs w:val="24"/>
          <w:lang w:val="en-US"/>
        </w:rPr>
        <w:t xml:space="preserve"> and post-teaching phases. Considering the relevance of cognitive appraisal in classroom management, we additionally tested teachers’ self-report data as a predictor for high HR measures in the teaching phase.</w:t>
      </w:r>
    </w:p>
    <w:p w14:paraId="1B401882" w14:textId="3DFD2B4B"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F9158C">
        <w:rPr>
          <w:rFonts w:ascii="Times New Roman" w:hAnsi="Times New Roman" w:cs="Times New Roman"/>
          <w:sz w:val="24"/>
          <w:szCs w:val="24"/>
          <w:lang w:val="en-US"/>
        </w:rPr>
        <w:t xml:space="preserve">Wearable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1730CF0B" w14:textId="37CAD0CF" w:rsidR="002C0023"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are defined as </w:t>
      </w:r>
      <w:r w:rsidR="001C2550" w:rsidRPr="001C2550">
        <w:rPr>
          <w:rFonts w:ascii="Times New Roman" w:hAnsi="Times New Roman" w:cs="Times New Roman"/>
          <w:sz w:val="24"/>
          <w:szCs w:val="24"/>
          <w:lang w:val="en-US"/>
        </w:rPr>
        <w:t>electronic devices that are either directly worn on the body or loosely attached to a person</w:t>
      </w:r>
      <w:r w:rsidR="001C2550" w:rsidRPr="001C2550">
        <w:rPr>
          <w:rFonts w:ascii="Times New Roman" w:hAnsi="Times New Roman" w:cs="Times New Roman"/>
          <w:sz w:val="24"/>
          <w:szCs w:val="24"/>
          <w:lang w:val="en-US"/>
        </w:rPr>
        <w:t xml:space="preserve"> </w:t>
      </w:r>
      <w:r w:rsidR="00A964AF">
        <w:rPr>
          <w:rFonts w:ascii="Times New Roman" w:hAnsi="Times New Roman" w:cs="Times New Roman"/>
          <w:sz w:val="24"/>
          <w:szCs w:val="24"/>
          <w:lang w:val="en-US"/>
        </w:rPr>
        <w:t xml:space="preserve">to </w:t>
      </w:r>
      <w:r w:rsidR="00A964AF" w:rsidRPr="00A964AF">
        <w:rPr>
          <w:rFonts w:ascii="Times New Roman" w:hAnsi="Times New Roman" w:cs="Times New Roman"/>
          <w:sz w:val="24"/>
          <w:szCs w:val="24"/>
          <w:lang w:val="en-US"/>
        </w:rPr>
        <w:t xml:space="preserve">serve as a convenient all-in-one solution for tracking </w:t>
      </w:r>
      <w:r w:rsidR="00722BA0">
        <w:rPr>
          <w:rFonts w:ascii="Times New Roman" w:hAnsi="Times New Roman" w:cs="Times New Roman"/>
          <w:sz w:val="24"/>
          <w:szCs w:val="24"/>
          <w:lang w:val="en-US"/>
        </w:rPr>
        <w:t>individuals'</w:t>
      </w:r>
      <w:r w:rsidR="00A964AF" w:rsidRPr="00A964AF">
        <w:rPr>
          <w:rFonts w:ascii="Times New Roman" w:hAnsi="Times New Roman" w:cs="Times New Roman"/>
          <w:sz w:val="24"/>
          <w:szCs w:val="24"/>
          <w:lang w:val="en-US"/>
        </w:rPr>
        <w:t xml:space="preserve"> </w:t>
      </w:r>
      <w:r w:rsidR="00C475FF">
        <w:rPr>
          <w:rFonts w:ascii="Times New Roman" w:hAnsi="Times New Roman" w:cs="Times New Roman"/>
          <w:sz w:val="24"/>
          <w:szCs w:val="24"/>
          <w:lang w:val="en-US"/>
        </w:rPr>
        <w:t xml:space="preserve">activity and health levels </w:t>
      </w:r>
      <w:r w:rsidR="00A964AF" w:rsidRPr="00A964AF">
        <w:rPr>
          <w:rFonts w:ascii="Times New Roman" w:hAnsi="Times New Roman" w:cs="Times New Roman"/>
          <w:sz w:val="24"/>
          <w:szCs w:val="24"/>
          <w:lang w:val="en-US"/>
        </w:rPr>
        <w:t xml:space="preserve">in their </w:t>
      </w:r>
      <w:r w:rsidR="00C475FF">
        <w:rPr>
          <w:rFonts w:ascii="Times New Roman" w:hAnsi="Times New Roman" w:cs="Times New Roman"/>
          <w:sz w:val="24"/>
          <w:szCs w:val="24"/>
          <w:lang w:val="en-US"/>
        </w:rPr>
        <w:t xml:space="preserve">natural </w:t>
      </w:r>
      <w:r w:rsidR="00A964AF" w:rsidRPr="00A964AF">
        <w:rPr>
          <w:rFonts w:ascii="Times New Roman" w:hAnsi="Times New Roman" w:cs="Times New Roman"/>
          <w:sz w:val="24"/>
          <w:szCs w:val="24"/>
          <w:lang w:val="en-US"/>
        </w:rPr>
        <w:t xml:space="preserve">everyday </w:t>
      </w:r>
      <w:r w:rsidR="00736A6C">
        <w:rPr>
          <w:rFonts w:ascii="Times New Roman" w:hAnsi="Times New Roman" w:cs="Times New Roman"/>
          <w:sz w:val="24"/>
          <w:szCs w:val="24"/>
          <w:lang w:val="en-US"/>
        </w:rPr>
        <w:t>li</w:t>
      </w:r>
      <w:r w:rsidR="00C475FF">
        <w:rPr>
          <w:rFonts w:ascii="Times New Roman" w:hAnsi="Times New Roman" w:cs="Times New Roman"/>
          <w:sz w:val="24"/>
          <w:szCs w:val="24"/>
          <w:lang w:val="en-US"/>
        </w:rPr>
        <w:t>v</w:t>
      </w:r>
      <w:r w:rsidR="00736A6C">
        <w:rPr>
          <w:rFonts w:ascii="Times New Roman" w:hAnsi="Times New Roman" w:cs="Times New Roman"/>
          <w:sz w:val="24"/>
          <w:szCs w:val="24"/>
          <w:lang w:val="en-US"/>
        </w:rPr>
        <w:t>es</w:t>
      </w:r>
      <w:r w:rsidR="00A964AF" w:rsidRPr="00A964AF">
        <w:rPr>
          <w:rFonts w:ascii="Times New Roman" w:hAnsi="Times New Roman" w:cs="Times New Roman"/>
          <w:sz w:val="24"/>
          <w:szCs w:val="24"/>
          <w:lang w:val="en-US"/>
        </w:rPr>
        <w:t xml:space="preserve">, </w:t>
      </w:r>
      <w:r w:rsidR="00782563">
        <w:rPr>
          <w:rFonts w:ascii="Times New Roman" w:hAnsi="Times New Roman" w:cs="Times New Roman"/>
          <w:sz w:val="24"/>
          <w:szCs w:val="24"/>
          <w:lang w:val="en-US"/>
        </w:rPr>
        <w:t>p</w:t>
      </w:r>
      <w:r w:rsidR="00782563" w:rsidRPr="00782563">
        <w:rPr>
          <w:rFonts w:ascii="Times New Roman" w:hAnsi="Times New Roman" w:cs="Times New Roman"/>
          <w:sz w:val="24"/>
          <w:szCs w:val="24"/>
          <w:lang w:val="en-US"/>
        </w:rPr>
        <w:t xml:space="preserve">ossibly providing more profound </w:t>
      </w:r>
      <w:r w:rsidR="0096700C">
        <w:rPr>
          <w:rFonts w:ascii="Times New Roman" w:hAnsi="Times New Roman" w:cs="Times New Roman"/>
          <w:sz w:val="24"/>
          <w:szCs w:val="24"/>
          <w:lang w:val="en-US"/>
        </w:rPr>
        <w:t>insight</w:t>
      </w:r>
      <w:r w:rsidR="004D4288">
        <w:rPr>
          <w:rFonts w:ascii="Times New Roman" w:hAnsi="Times New Roman" w:cs="Times New Roman"/>
          <w:sz w:val="24"/>
          <w:szCs w:val="24"/>
          <w:lang w:val="en-US"/>
        </w:rPr>
        <w:t xml:space="preserve"> </w:t>
      </w:r>
      <w:r w:rsidR="00782563" w:rsidRPr="00782563">
        <w:rPr>
          <w:rFonts w:ascii="Times New Roman" w:hAnsi="Times New Roman" w:cs="Times New Roman"/>
          <w:sz w:val="24"/>
          <w:szCs w:val="24"/>
          <w:lang w:val="en-US"/>
        </w:rPr>
        <w:t>than sporadic clinical observations.</w:t>
      </w:r>
      <w:r w:rsidR="00A964AF" w:rsidRPr="00A964AF">
        <w:rPr>
          <w:rFonts w:ascii="Times New Roman" w:hAnsi="Times New Roman" w:cs="Times New Roman"/>
          <w:sz w:val="24"/>
          <w:szCs w:val="24"/>
          <w:lang w:val="en-US"/>
        </w:rPr>
        <w:t xml:space="preserve"> </w:t>
      </w:r>
      <w:r w:rsidR="0065271D">
        <w:rPr>
          <w:rFonts w:ascii="Times New Roman" w:hAnsi="Times New Roman" w:cs="Times New Roman"/>
          <w:sz w:val="24"/>
          <w:szCs w:val="24"/>
          <w:lang w:val="en-US"/>
        </w:rPr>
        <w:t>[@</w:t>
      </w:r>
      <w:r w:rsidR="00DB407B" w:rsidRPr="00DB407B">
        <w:rPr>
          <w:rFonts w:ascii="Times New Roman" w:hAnsi="Times New Roman" w:cs="Times New Roman"/>
          <w:sz w:val="24"/>
          <w:szCs w:val="24"/>
          <w:lang w:val="en-US"/>
        </w:rPr>
        <w:t>godfrey2018z</w:t>
      </w:r>
      <w:r w:rsidR="00DB407B">
        <w:rPr>
          <w:rFonts w:ascii="Times New Roman" w:hAnsi="Times New Roman" w:cs="Times New Roman"/>
          <w:sz w:val="24"/>
          <w:szCs w:val="24"/>
          <w:lang w:val="en-US"/>
        </w:rPr>
        <w:t>].</w:t>
      </w:r>
      <w:r w:rsidR="00E02565">
        <w:rPr>
          <w:rFonts w:ascii="Times New Roman" w:hAnsi="Times New Roman" w:cs="Times New Roman"/>
          <w:sz w:val="24"/>
          <w:szCs w:val="24"/>
          <w:lang w:val="en-US"/>
        </w:rPr>
        <w:t xml:space="preserve"> </w:t>
      </w:r>
      <w:r w:rsidR="006B1163">
        <w:rPr>
          <w:rFonts w:ascii="Times New Roman" w:hAnsi="Times New Roman" w:cs="Times New Roman"/>
          <w:sz w:val="24"/>
          <w:szCs w:val="24"/>
          <w:lang w:val="en-US"/>
        </w:rPr>
        <w:t>In the last decades, wearable</w:t>
      </w:r>
      <w:r w:rsidR="006B1163" w:rsidRPr="002E5C7F">
        <w:rPr>
          <w:rFonts w:ascii="Times New Roman" w:hAnsi="Times New Roman" w:cs="Times New Roman"/>
          <w:sz w:val="24"/>
          <w:szCs w:val="24"/>
          <w:lang w:val="en-US"/>
        </w:rPr>
        <w:t xml:space="preserve"> technologies such as fitness trackers have become widely </w:t>
      </w:r>
      <w:r w:rsidR="006B1163">
        <w:rPr>
          <w:rFonts w:ascii="Times New Roman" w:hAnsi="Times New Roman" w:cs="Times New Roman"/>
          <w:sz w:val="24"/>
          <w:szCs w:val="24"/>
          <w:lang w:val="en-US"/>
        </w:rPr>
        <w:t xml:space="preserve">popular and </w:t>
      </w:r>
      <w:r w:rsidR="006B1163"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006B1163" w:rsidRPr="002E5C7F">
        <w:rPr>
          <w:rFonts w:ascii="Times New Roman" w:hAnsi="Times New Roman" w:cs="Times New Roman"/>
          <w:sz w:val="24"/>
          <w:szCs w:val="24"/>
          <w:lang w:val="en-US"/>
        </w:rPr>
        <w:t xml:space="preserve">by </w:t>
      </w:r>
      <w:r w:rsidR="006B1163">
        <w:rPr>
          <w:rFonts w:ascii="Times New Roman" w:hAnsi="Times New Roman" w:cs="Times New Roman"/>
          <w:sz w:val="24"/>
          <w:szCs w:val="24"/>
          <w:lang w:val="en-US"/>
        </w:rPr>
        <w:t xml:space="preserve">the population </w:t>
      </w:r>
      <w:r w:rsidR="008A7A08" w:rsidRPr="008A7A08">
        <w:rPr>
          <w:rFonts w:ascii="Times New Roman" w:hAnsi="Times New Roman" w:cs="Times New Roman"/>
          <w:sz w:val="24"/>
          <w:szCs w:val="24"/>
          <w:lang w:val="en-US"/>
        </w:rPr>
        <w:t>in promoting a healthier and more active lifestyle</w:t>
      </w:r>
      <w:r w:rsidR="008A7A08">
        <w:rPr>
          <w:rFonts w:ascii="Times New Roman" w:hAnsi="Times New Roman" w:cs="Times New Roman"/>
          <w:sz w:val="24"/>
          <w:szCs w:val="24"/>
          <w:lang w:val="en-US"/>
        </w:rPr>
        <w:t xml:space="preserve">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006B1163" w:rsidRPr="002E5C7F">
        <w:rPr>
          <w:rFonts w:ascii="Times New Roman" w:hAnsi="Times New Roman" w:cs="Times New Roman"/>
          <w:sz w:val="24"/>
          <w:szCs w:val="24"/>
          <w:lang w:val="en-US"/>
        </w:rPr>
        <w:t>.</w:t>
      </w:r>
      <w:r w:rsidR="006B1163">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106118">
        <w:rPr>
          <w:rFonts w:ascii="Times New Roman" w:hAnsi="Times New Roman" w:cs="Times New Roman"/>
          <w:sz w:val="24"/>
          <w:szCs w:val="24"/>
          <w:lang w:val="en-US"/>
        </w:rPr>
        <w:t xml:space="preserve">heart rate, </w:t>
      </w:r>
      <w:r w:rsidR="009C3D0B">
        <w:rPr>
          <w:rFonts w:ascii="Times New Roman" w:hAnsi="Times New Roman" w:cs="Times New Roman"/>
          <w:sz w:val="24"/>
          <w:szCs w:val="24"/>
          <w:lang w:val="en-US"/>
        </w:rPr>
        <w:t xml:space="preserve">distance,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and calories. This data provides users with valuable insights into their daily activity levels</w:t>
      </w:r>
      <w:r w:rsidR="00860013" w:rsidRPr="00860013">
        <w:rPr>
          <w:rFonts w:ascii="Times New Roman" w:hAnsi="Times New Roman" w:cs="Times New Roman"/>
          <w:sz w:val="24"/>
          <w:szCs w:val="24"/>
          <w:lang w:val="en-US"/>
        </w:rPr>
        <w:t xml:space="preserve">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1068DC" w:rsidRPr="001068DC">
        <w:rPr>
          <w:rFonts w:ascii="Times New Roman" w:hAnsi="Times New Roman" w:cs="Times New Roman"/>
          <w:sz w:val="24"/>
          <w:szCs w:val="24"/>
          <w:lang w:val="en-US"/>
        </w:rPr>
        <w:t xml:space="preserve">, encouraging them to set and achieve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FF445E" w:rsidRPr="00FF445E">
        <w:rPr>
          <w:rFonts w:ascii="Times New Roman" w:hAnsi="Times New Roman" w:cs="Times New Roman"/>
          <w:sz w:val="24"/>
          <w:szCs w:val="24"/>
          <w:lang w:val="en-US"/>
        </w:rPr>
        <w:t xml:space="preserve"> </w:t>
      </w:r>
    </w:p>
    <w:p w14:paraId="2211B2AF" w14:textId="6B1FDF33" w:rsidR="003B6256" w:rsidRDefault="003B6256"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proofErr w:type="spellStart"/>
      <w:r>
        <w:rPr>
          <w:rFonts w:ascii="Times New Roman" w:hAnsi="Times New Roman" w:cs="Times New Roman"/>
          <w:sz w:val="24"/>
          <w:szCs w:val="24"/>
          <w:lang w:val="en-US"/>
        </w:rPr>
        <w:t>siehe</w:t>
      </w:r>
      <w:proofErr w:type="spellEnd"/>
      <w:r>
        <w:rPr>
          <w:rFonts w:ascii="Times New Roman" w:hAnsi="Times New Roman" w:cs="Times New Roman"/>
          <w:sz w:val="24"/>
          <w:szCs w:val="24"/>
          <w:lang w:val="en-US"/>
        </w:rPr>
        <w:t xml:space="preserve"> </w:t>
      </w:r>
      <w:proofErr w:type="spellStart"/>
      <w:r w:rsidR="006E2DC0" w:rsidRPr="006E2DC0">
        <w:rPr>
          <w:rFonts w:ascii="Times New Roman" w:hAnsi="Times New Roman" w:cs="Times New Roman"/>
          <w:sz w:val="24"/>
          <w:szCs w:val="24"/>
          <w:lang w:val="en-US"/>
        </w:rPr>
        <w:t>Niknejad</w:t>
      </w:r>
      <w:proofErr w:type="spellEnd"/>
      <w:r w:rsidR="006E2DC0">
        <w:rPr>
          <w:rFonts w:ascii="Times New Roman" w:hAnsi="Times New Roman" w:cs="Times New Roman"/>
          <w:sz w:val="24"/>
          <w:szCs w:val="24"/>
          <w:lang w:val="en-US"/>
        </w:rPr>
        <w:t xml:space="preserve"> </w:t>
      </w:r>
    </w:p>
    <w:p w14:paraId="1DA95DB9" w14:textId="13D2C088"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w:t>
      </w:r>
      <w:r w:rsidR="00B81611" w:rsidRPr="00751E16">
        <w:rPr>
          <w:rFonts w:ascii="Times New Roman" w:hAnsi="Times New Roman" w:cs="Times New Roman"/>
          <w:sz w:val="24"/>
          <w:szCs w:val="24"/>
          <w:lang w:val="en-US"/>
        </w:rPr>
        <w:lastRenderedPageBreak/>
        <w:t xml:space="preserve">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w:t>
      </w:r>
      <w:r w:rsidRPr="001C0471">
        <w:rPr>
          <w:rFonts w:ascii="Times New Roman" w:hAnsi="Times New Roman" w:cs="Times New Roman"/>
          <w:sz w:val="24"/>
          <w:szCs w:val="24"/>
          <w:lang w:val="en-US"/>
        </w:rPr>
        <w:lastRenderedPageBreak/>
        <w:t>stress-induced HR variation, but they cannot replace an ECG machine when precision is of greatest importance.</w:t>
      </w:r>
    </w:p>
    <w:p w14:paraId="36768EB1"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7D4CF6BC" w14:textId="77777777" w:rsidR="00B81611" w:rsidRDefault="00B81611" w:rsidP="00B81611">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0CA293B8"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5409B26A"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130E6BAB" w14:textId="77777777" w:rsidR="00B81611" w:rsidRPr="001A5B63" w:rsidRDefault="00B81611" w:rsidP="00B81611">
      <w:pPr>
        <w:spacing w:line="360" w:lineRule="auto"/>
        <w:rPr>
          <w:rFonts w:ascii="Times New Roman" w:hAnsi="Times New Roman" w:cs="Times New Roman"/>
          <w:sz w:val="24"/>
          <w:szCs w:val="24"/>
          <w:lang w:val="en-US"/>
        </w:rPr>
      </w:pPr>
      <w:commentRangeStart w:id="0"/>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0"/>
      <w:r>
        <w:rPr>
          <w:rStyle w:val="Kommentarzeichen"/>
        </w:rPr>
        <w:commentReference w:id="0"/>
      </w:r>
    </w:p>
    <w:p w14:paraId="2B454CD3" w14:textId="77777777" w:rsidR="00B81611" w:rsidRDefault="00B81611" w:rsidP="00B81611">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1CA0FBFE" w14:textId="77777777" w:rsidR="00B81611" w:rsidRPr="004D06D0" w:rsidRDefault="00B81611" w:rsidP="00B81611">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66F001BC"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207F678F"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10383C74" w14:textId="77777777" w:rsidR="00A6567B" w:rsidRDefault="00A6567B" w:rsidP="00EB6100">
      <w:pPr>
        <w:spacing w:line="360" w:lineRule="auto"/>
        <w:rPr>
          <w:rFonts w:ascii="Times New Roman" w:hAnsi="Times New Roman" w:cs="Times New Roman"/>
          <w:sz w:val="24"/>
          <w:szCs w:val="24"/>
          <w:lang w:val="en-US"/>
        </w:rPr>
      </w:pPr>
    </w:p>
    <w:p w14:paraId="6B6A8C05" w14:textId="274B563D"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 xml:space="preserve">stress </w:t>
      </w:r>
      <w:r w:rsidR="00EA7332">
        <w:rPr>
          <w:rFonts w:ascii="Times New Roman" w:hAnsi="Times New Roman" w:cs="Times New Roman"/>
          <w:sz w:val="24"/>
          <w:szCs w:val="24"/>
          <w:lang w:val="en-US"/>
        </w:rPr>
        <w:lastRenderedPageBreak/>
        <w:t>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3138CDBD"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w:t>
      </w:r>
      <w:r w:rsidR="00747A71" w:rsidRPr="00747A71">
        <w:rPr>
          <w:rFonts w:ascii="Times New Roman" w:hAnsi="Times New Roman" w:cs="Times New Roman"/>
          <w:sz w:val="24"/>
          <w:szCs w:val="24"/>
          <w:lang w:val="en-US"/>
        </w:rPr>
        <w:lastRenderedPageBreak/>
        <w:t xml:space="preserve">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2"/>
      <w:r w:rsidR="00542AAE">
        <w:rPr>
          <w:rStyle w:val="Kommentarzeichen"/>
        </w:rPr>
        <w:commentReference w:id="2"/>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6E57AF5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w:t>
      </w:r>
      <w:r w:rsidR="00702E9E" w:rsidRPr="00702E9E">
        <w:rPr>
          <w:rFonts w:ascii="Times New Roman" w:hAnsi="Times New Roman" w:cs="Times New Roman"/>
          <w:sz w:val="24"/>
          <w:szCs w:val="24"/>
          <w:lang w:val="en-US"/>
        </w:rPr>
        <w:lastRenderedPageBreak/>
        <w:t>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1-17T16:24:00Z" w:initials="MK">
    <w:p w14:paraId="52B49FC1" w14:textId="77777777" w:rsidR="00B81611" w:rsidRDefault="00B81611" w:rsidP="00B81611">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2"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B49FC1"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B49FC1"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C424" w14:textId="77777777" w:rsidR="00AE6685" w:rsidRDefault="00AE6685" w:rsidP="006C02A6">
      <w:pPr>
        <w:spacing w:after="0" w:line="240" w:lineRule="auto"/>
      </w:pPr>
      <w:r>
        <w:separator/>
      </w:r>
    </w:p>
  </w:endnote>
  <w:endnote w:type="continuationSeparator" w:id="0">
    <w:p w14:paraId="43C0879F" w14:textId="77777777" w:rsidR="00AE6685" w:rsidRDefault="00AE668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B1C1" w14:textId="77777777" w:rsidR="00AE6685" w:rsidRDefault="00AE6685" w:rsidP="006C02A6">
      <w:pPr>
        <w:spacing w:after="0" w:line="240" w:lineRule="auto"/>
      </w:pPr>
      <w:r>
        <w:separator/>
      </w:r>
    </w:p>
  </w:footnote>
  <w:footnote w:type="continuationSeparator" w:id="0">
    <w:p w14:paraId="139A11AD" w14:textId="77777777" w:rsidR="00AE6685" w:rsidRDefault="00AE6685"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6808"/>
    <w:rsid w:val="00007C0F"/>
    <w:rsid w:val="00011A82"/>
    <w:rsid w:val="00020805"/>
    <w:rsid w:val="000211BB"/>
    <w:rsid w:val="00025278"/>
    <w:rsid w:val="00026EB6"/>
    <w:rsid w:val="00032004"/>
    <w:rsid w:val="000354CF"/>
    <w:rsid w:val="00035942"/>
    <w:rsid w:val="00035F3D"/>
    <w:rsid w:val="0003733B"/>
    <w:rsid w:val="00043382"/>
    <w:rsid w:val="00046CE4"/>
    <w:rsid w:val="0005512E"/>
    <w:rsid w:val="00064613"/>
    <w:rsid w:val="000655B8"/>
    <w:rsid w:val="00066BCD"/>
    <w:rsid w:val="000734DA"/>
    <w:rsid w:val="00073ADE"/>
    <w:rsid w:val="00073CCC"/>
    <w:rsid w:val="00073FE0"/>
    <w:rsid w:val="00074EAD"/>
    <w:rsid w:val="00075ED6"/>
    <w:rsid w:val="00076601"/>
    <w:rsid w:val="000772C8"/>
    <w:rsid w:val="00077837"/>
    <w:rsid w:val="00081107"/>
    <w:rsid w:val="00082748"/>
    <w:rsid w:val="000852FB"/>
    <w:rsid w:val="00086748"/>
    <w:rsid w:val="00092A3B"/>
    <w:rsid w:val="00093472"/>
    <w:rsid w:val="00094C24"/>
    <w:rsid w:val="00094E6F"/>
    <w:rsid w:val="00096431"/>
    <w:rsid w:val="000974F9"/>
    <w:rsid w:val="000A0B07"/>
    <w:rsid w:val="000A2B46"/>
    <w:rsid w:val="000A589A"/>
    <w:rsid w:val="000A6F87"/>
    <w:rsid w:val="000A7151"/>
    <w:rsid w:val="000B108A"/>
    <w:rsid w:val="000B10D9"/>
    <w:rsid w:val="000B146D"/>
    <w:rsid w:val="000B16D2"/>
    <w:rsid w:val="000B1CB1"/>
    <w:rsid w:val="000B2243"/>
    <w:rsid w:val="000B23D7"/>
    <w:rsid w:val="000B6BA5"/>
    <w:rsid w:val="000B73F6"/>
    <w:rsid w:val="000B748F"/>
    <w:rsid w:val="000C2DD9"/>
    <w:rsid w:val="000C2ED0"/>
    <w:rsid w:val="000C313E"/>
    <w:rsid w:val="000C6769"/>
    <w:rsid w:val="000D1F47"/>
    <w:rsid w:val="000D1FC2"/>
    <w:rsid w:val="000D21B9"/>
    <w:rsid w:val="000D3399"/>
    <w:rsid w:val="000D471F"/>
    <w:rsid w:val="000D564E"/>
    <w:rsid w:val="000D59E3"/>
    <w:rsid w:val="000D5D9C"/>
    <w:rsid w:val="000D7457"/>
    <w:rsid w:val="000E193A"/>
    <w:rsid w:val="000E3914"/>
    <w:rsid w:val="000E740A"/>
    <w:rsid w:val="000F7DC1"/>
    <w:rsid w:val="001006A4"/>
    <w:rsid w:val="001017CB"/>
    <w:rsid w:val="0010404F"/>
    <w:rsid w:val="00105845"/>
    <w:rsid w:val="00106118"/>
    <w:rsid w:val="001068DC"/>
    <w:rsid w:val="00107EF2"/>
    <w:rsid w:val="0011116A"/>
    <w:rsid w:val="001124B0"/>
    <w:rsid w:val="0011281D"/>
    <w:rsid w:val="00114554"/>
    <w:rsid w:val="001149E8"/>
    <w:rsid w:val="0011586D"/>
    <w:rsid w:val="001162E1"/>
    <w:rsid w:val="00120D0F"/>
    <w:rsid w:val="00121E60"/>
    <w:rsid w:val="00122A0E"/>
    <w:rsid w:val="00125476"/>
    <w:rsid w:val="00125776"/>
    <w:rsid w:val="00125A1F"/>
    <w:rsid w:val="00127B3C"/>
    <w:rsid w:val="0013190A"/>
    <w:rsid w:val="00131DE4"/>
    <w:rsid w:val="00131F9F"/>
    <w:rsid w:val="001348D3"/>
    <w:rsid w:val="00134B7A"/>
    <w:rsid w:val="001354C5"/>
    <w:rsid w:val="00135C01"/>
    <w:rsid w:val="001379A4"/>
    <w:rsid w:val="001406E1"/>
    <w:rsid w:val="00143352"/>
    <w:rsid w:val="00143C65"/>
    <w:rsid w:val="001449FF"/>
    <w:rsid w:val="00144CFA"/>
    <w:rsid w:val="001459C2"/>
    <w:rsid w:val="00145FA4"/>
    <w:rsid w:val="00147DE2"/>
    <w:rsid w:val="0015036B"/>
    <w:rsid w:val="001504B2"/>
    <w:rsid w:val="0015100B"/>
    <w:rsid w:val="00151E83"/>
    <w:rsid w:val="001523FB"/>
    <w:rsid w:val="0015487F"/>
    <w:rsid w:val="001572DB"/>
    <w:rsid w:val="00157C63"/>
    <w:rsid w:val="0016044B"/>
    <w:rsid w:val="001612B5"/>
    <w:rsid w:val="00163362"/>
    <w:rsid w:val="00163D34"/>
    <w:rsid w:val="00164746"/>
    <w:rsid w:val="00165A12"/>
    <w:rsid w:val="00166C4D"/>
    <w:rsid w:val="0017307B"/>
    <w:rsid w:val="00175E84"/>
    <w:rsid w:val="00184DA9"/>
    <w:rsid w:val="0018559F"/>
    <w:rsid w:val="001867EB"/>
    <w:rsid w:val="00191484"/>
    <w:rsid w:val="00194EC6"/>
    <w:rsid w:val="00197C8B"/>
    <w:rsid w:val="00197F54"/>
    <w:rsid w:val="001A1DEA"/>
    <w:rsid w:val="001A214C"/>
    <w:rsid w:val="001A46ED"/>
    <w:rsid w:val="001A5B63"/>
    <w:rsid w:val="001A6CEE"/>
    <w:rsid w:val="001A76ED"/>
    <w:rsid w:val="001A7B8A"/>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D01C5"/>
    <w:rsid w:val="001D05F5"/>
    <w:rsid w:val="001D1AD8"/>
    <w:rsid w:val="001D1FED"/>
    <w:rsid w:val="001D6D9D"/>
    <w:rsid w:val="001D7320"/>
    <w:rsid w:val="001E36BA"/>
    <w:rsid w:val="001E72F6"/>
    <w:rsid w:val="001F48F8"/>
    <w:rsid w:val="001F5C7E"/>
    <w:rsid w:val="001F5FF2"/>
    <w:rsid w:val="001F72EA"/>
    <w:rsid w:val="001F76DE"/>
    <w:rsid w:val="00200793"/>
    <w:rsid w:val="002021CA"/>
    <w:rsid w:val="00202592"/>
    <w:rsid w:val="0020350F"/>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202E"/>
    <w:rsid w:val="00253DEA"/>
    <w:rsid w:val="002572BD"/>
    <w:rsid w:val="00257996"/>
    <w:rsid w:val="00260C50"/>
    <w:rsid w:val="00262465"/>
    <w:rsid w:val="002624C4"/>
    <w:rsid w:val="002656AC"/>
    <w:rsid w:val="002670D7"/>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A0D44"/>
    <w:rsid w:val="002A2D30"/>
    <w:rsid w:val="002A6657"/>
    <w:rsid w:val="002B0ECE"/>
    <w:rsid w:val="002B3A86"/>
    <w:rsid w:val="002B5B55"/>
    <w:rsid w:val="002C0023"/>
    <w:rsid w:val="002C2C3C"/>
    <w:rsid w:val="002C38CE"/>
    <w:rsid w:val="002C6C8F"/>
    <w:rsid w:val="002C6F2B"/>
    <w:rsid w:val="002D0369"/>
    <w:rsid w:val="002D36CB"/>
    <w:rsid w:val="002D5CEF"/>
    <w:rsid w:val="002D71B4"/>
    <w:rsid w:val="002E2E7C"/>
    <w:rsid w:val="002E4965"/>
    <w:rsid w:val="002E5C7F"/>
    <w:rsid w:val="002E5DE8"/>
    <w:rsid w:val="002E6E35"/>
    <w:rsid w:val="002E6F69"/>
    <w:rsid w:val="002E78C4"/>
    <w:rsid w:val="002F2300"/>
    <w:rsid w:val="00301E62"/>
    <w:rsid w:val="00302EBD"/>
    <w:rsid w:val="00306822"/>
    <w:rsid w:val="00306B31"/>
    <w:rsid w:val="00315E09"/>
    <w:rsid w:val="00316939"/>
    <w:rsid w:val="00320458"/>
    <w:rsid w:val="0032095E"/>
    <w:rsid w:val="003238F7"/>
    <w:rsid w:val="00323C7A"/>
    <w:rsid w:val="00323CE9"/>
    <w:rsid w:val="00325DAE"/>
    <w:rsid w:val="0032689B"/>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0FC6"/>
    <w:rsid w:val="0036126E"/>
    <w:rsid w:val="00363232"/>
    <w:rsid w:val="00364DF5"/>
    <w:rsid w:val="00371843"/>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A7F8C"/>
    <w:rsid w:val="003B0317"/>
    <w:rsid w:val="003B162C"/>
    <w:rsid w:val="003B5F06"/>
    <w:rsid w:val="003B6256"/>
    <w:rsid w:val="003B7ECF"/>
    <w:rsid w:val="003C08EF"/>
    <w:rsid w:val="003C103C"/>
    <w:rsid w:val="003C3654"/>
    <w:rsid w:val="003C4B3C"/>
    <w:rsid w:val="003C78AA"/>
    <w:rsid w:val="003D04EB"/>
    <w:rsid w:val="003D10D2"/>
    <w:rsid w:val="003D14AA"/>
    <w:rsid w:val="003D3D10"/>
    <w:rsid w:val="003D4DAE"/>
    <w:rsid w:val="003D5C12"/>
    <w:rsid w:val="003D5F0F"/>
    <w:rsid w:val="003D751F"/>
    <w:rsid w:val="003E102F"/>
    <w:rsid w:val="003E1565"/>
    <w:rsid w:val="003E46C6"/>
    <w:rsid w:val="003E744B"/>
    <w:rsid w:val="003F0A4A"/>
    <w:rsid w:val="003F0DDF"/>
    <w:rsid w:val="003F18F3"/>
    <w:rsid w:val="003F2D0D"/>
    <w:rsid w:val="003F49C1"/>
    <w:rsid w:val="003F698B"/>
    <w:rsid w:val="003F6B37"/>
    <w:rsid w:val="003F6E3C"/>
    <w:rsid w:val="004010A4"/>
    <w:rsid w:val="00402A0E"/>
    <w:rsid w:val="004035EB"/>
    <w:rsid w:val="00406891"/>
    <w:rsid w:val="0041116A"/>
    <w:rsid w:val="00415E8A"/>
    <w:rsid w:val="00425BEE"/>
    <w:rsid w:val="0043036A"/>
    <w:rsid w:val="00433007"/>
    <w:rsid w:val="00433240"/>
    <w:rsid w:val="004365F4"/>
    <w:rsid w:val="004429E8"/>
    <w:rsid w:val="00444972"/>
    <w:rsid w:val="004501F7"/>
    <w:rsid w:val="0045108D"/>
    <w:rsid w:val="004513C2"/>
    <w:rsid w:val="00451FBB"/>
    <w:rsid w:val="00452B9F"/>
    <w:rsid w:val="00453482"/>
    <w:rsid w:val="004552D8"/>
    <w:rsid w:val="00455E0B"/>
    <w:rsid w:val="00464312"/>
    <w:rsid w:val="00464493"/>
    <w:rsid w:val="00466A67"/>
    <w:rsid w:val="0046703E"/>
    <w:rsid w:val="0047119F"/>
    <w:rsid w:val="004722D5"/>
    <w:rsid w:val="00474688"/>
    <w:rsid w:val="004746B5"/>
    <w:rsid w:val="0047526C"/>
    <w:rsid w:val="00475630"/>
    <w:rsid w:val="00475C26"/>
    <w:rsid w:val="00477496"/>
    <w:rsid w:val="004833BD"/>
    <w:rsid w:val="0048426C"/>
    <w:rsid w:val="00484312"/>
    <w:rsid w:val="0048435C"/>
    <w:rsid w:val="0049171D"/>
    <w:rsid w:val="00495097"/>
    <w:rsid w:val="004A19BC"/>
    <w:rsid w:val="004A1C41"/>
    <w:rsid w:val="004A289E"/>
    <w:rsid w:val="004B1492"/>
    <w:rsid w:val="004B162C"/>
    <w:rsid w:val="004B20B9"/>
    <w:rsid w:val="004B3833"/>
    <w:rsid w:val="004B4EC2"/>
    <w:rsid w:val="004B7806"/>
    <w:rsid w:val="004C0662"/>
    <w:rsid w:val="004C15F8"/>
    <w:rsid w:val="004C1B66"/>
    <w:rsid w:val="004C25E5"/>
    <w:rsid w:val="004C6F00"/>
    <w:rsid w:val="004D06D0"/>
    <w:rsid w:val="004D0D59"/>
    <w:rsid w:val="004D1C54"/>
    <w:rsid w:val="004D23C4"/>
    <w:rsid w:val="004D4288"/>
    <w:rsid w:val="004D55EF"/>
    <w:rsid w:val="004D7890"/>
    <w:rsid w:val="004E32DC"/>
    <w:rsid w:val="004E50FA"/>
    <w:rsid w:val="004E6A7C"/>
    <w:rsid w:val="004E7FDE"/>
    <w:rsid w:val="004F0114"/>
    <w:rsid w:val="004F1C3D"/>
    <w:rsid w:val="004F2415"/>
    <w:rsid w:val="004F5FD1"/>
    <w:rsid w:val="004F6F8A"/>
    <w:rsid w:val="0050005C"/>
    <w:rsid w:val="0050140E"/>
    <w:rsid w:val="0051246F"/>
    <w:rsid w:val="005132BB"/>
    <w:rsid w:val="00515D1D"/>
    <w:rsid w:val="00516F16"/>
    <w:rsid w:val="00517A47"/>
    <w:rsid w:val="00517BD6"/>
    <w:rsid w:val="00517C71"/>
    <w:rsid w:val="0052382C"/>
    <w:rsid w:val="00524739"/>
    <w:rsid w:val="00524AA5"/>
    <w:rsid w:val="0052564D"/>
    <w:rsid w:val="005258F2"/>
    <w:rsid w:val="00531813"/>
    <w:rsid w:val="005355C0"/>
    <w:rsid w:val="005357FD"/>
    <w:rsid w:val="00536D09"/>
    <w:rsid w:val="005427B1"/>
    <w:rsid w:val="00542AAE"/>
    <w:rsid w:val="00543AAB"/>
    <w:rsid w:val="00550AE0"/>
    <w:rsid w:val="00551A81"/>
    <w:rsid w:val="00552105"/>
    <w:rsid w:val="00553025"/>
    <w:rsid w:val="00553B84"/>
    <w:rsid w:val="00554A9E"/>
    <w:rsid w:val="0055747D"/>
    <w:rsid w:val="00557714"/>
    <w:rsid w:val="005629F6"/>
    <w:rsid w:val="005665F0"/>
    <w:rsid w:val="00572659"/>
    <w:rsid w:val="0058052D"/>
    <w:rsid w:val="00580CFF"/>
    <w:rsid w:val="005825B0"/>
    <w:rsid w:val="0058313A"/>
    <w:rsid w:val="005832F0"/>
    <w:rsid w:val="005840FE"/>
    <w:rsid w:val="00584B08"/>
    <w:rsid w:val="00587A0F"/>
    <w:rsid w:val="0059024F"/>
    <w:rsid w:val="00592A47"/>
    <w:rsid w:val="005A13F9"/>
    <w:rsid w:val="005A18BE"/>
    <w:rsid w:val="005A6C55"/>
    <w:rsid w:val="005B01DE"/>
    <w:rsid w:val="005B1ACB"/>
    <w:rsid w:val="005B2390"/>
    <w:rsid w:val="005B3F0F"/>
    <w:rsid w:val="005B5797"/>
    <w:rsid w:val="005C2496"/>
    <w:rsid w:val="005C3B1B"/>
    <w:rsid w:val="005C4065"/>
    <w:rsid w:val="005D581A"/>
    <w:rsid w:val="005D6C7F"/>
    <w:rsid w:val="005E16F5"/>
    <w:rsid w:val="005E27D1"/>
    <w:rsid w:val="005E490D"/>
    <w:rsid w:val="005E6136"/>
    <w:rsid w:val="005E72CE"/>
    <w:rsid w:val="005F080B"/>
    <w:rsid w:val="005F1904"/>
    <w:rsid w:val="005F1D05"/>
    <w:rsid w:val="005F4823"/>
    <w:rsid w:val="00600C97"/>
    <w:rsid w:val="00601A5D"/>
    <w:rsid w:val="00602BB4"/>
    <w:rsid w:val="0060425A"/>
    <w:rsid w:val="00604C04"/>
    <w:rsid w:val="006060F8"/>
    <w:rsid w:val="00606292"/>
    <w:rsid w:val="00607055"/>
    <w:rsid w:val="00610941"/>
    <w:rsid w:val="00610A57"/>
    <w:rsid w:val="0061140E"/>
    <w:rsid w:val="006143A0"/>
    <w:rsid w:val="00617B9B"/>
    <w:rsid w:val="006235A7"/>
    <w:rsid w:val="0062511F"/>
    <w:rsid w:val="006259D9"/>
    <w:rsid w:val="00627279"/>
    <w:rsid w:val="00630A26"/>
    <w:rsid w:val="00631400"/>
    <w:rsid w:val="006331E1"/>
    <w:rsid w:val="006407D5"/>
    <w:rsid w:val="00640D50"/>
    <w:rsid w:val="00640E65"/>
    <w:rsid w:val="00642CF6"/>
    <w:rsid w:val="00647126"/>
    <w:rsid w:val="006475D9"/>
    <w:rsid w:val="00651944"/>
    <w:rsid w:val="0065271D"/>
    <w:rsid w:val="00654498"/>
    <w:rsid w:val="00654BA2"/>
    <w:rsid w:val="00654D4D"/>
    <w:rsid w:val="006573DE"/>
    <w:rsid w:val="00660937"/>
    <w:rsid w:val="00662750"/>
    <w:rsid w:val="006656A7"/>
    <w:rsid w:val="00670271"/>
    <w:rsid w:val="0067215B"/>
    <w:rsid w:val="00672D87"/>
    <w:rsid w:val="00674400"/>
    <w:rsid w:val="00680788"/>
    <w:rsid w:val="00683043"/>
    <w:rsid w:val="00684925"/>
    <w:rsid w:val="00685CC6"/>
    <w:rsid w:val="00692AE7"/>
    <w:rsid w:val="006934EE"/>
    <w:rsid w:val="006A25BC"/>
    <w:rsid w:val="006A6584"/>
    <w:rsid w:val="006B1163"/>
    <w:rsid w:val="006B6485"/>
    <w:rsid w:val="006B70A7"/>
    <w:rsid w:val="006C00BB"/>
    <w:rsid w:val="006C02A6"/>
    <w:rsid w:val="006C166C"/>
    <w:rsid w:val="006C2BB1"/>
    <w:rsid w:val="006C4BDC"/>
    <w:rsid w:val="006C7A7D"/>
    <w:rsid w:val="006D012C"/>
    <w:rsid w:val="006D04B7"/>
    <w:rsid w:val="006D0B6B"/>
    <w:rsid w:val="006D1B40"/>
    <w:rsid w:val="006D5406"/>
    <w:rsid w:val="006D5746"/>
    <w:rsid w:val="006D6B3B"/>
    <w:rsid w:val="006E056D"/>
    <w:rsid w:val="006E1718"/>
    <w:rsid w:val="006E2DC0"/>
    <w:rsid w:val="006E3550"/>
    <w:rsid w:val="006E7622"/>
    <w:rsid w:val="006E7A67"/>
    <w:rsid w:val="006F570C"/>
    <w:rsid w:val="006F604A"/>
    <w:rsid w:val="00701016"/>
    <w:rsid w:val="007015F1"/>
    <w:rsid w:val="00702E9E"/>
    <w:rsid w:val="007034E1"/>
    <w:rsid w:val="00704D8E"/>
    <w:rsid w:val="00704DCE"/>
    <w:rsid w:val="00705169"/>
    <w:rsid w:val="007059DA"/>
    <w:rsid w:val="00707D1C"/>
    <w:rsid w:val="00710558"/>
    <w:rsid w:val="00714D3E"/>
    <w:rsid w:val="00715057"/>
    <w:rsid w:val="00715F40"/>
    <w:rsid w:val="00720E29"/>
    <w:rsid w:val="00721F25"/>
    <w:rsid w:val="00722BA0"/>
    <w:rsid w:val="007247B9"/>
    <w:rsid w:val="007251CA"/>
    <w:rsid w:val="00731AD9"/>
    <w:rsid w:val="00733CE9"/>
    <w:rsid w:val="00736A6C"/>
    <w:rsid w:val="00737F34"/>
    <w:rsid w:val="00742D30"/>
    <w:rsid w:val="007440B0"/>
    <w:rsid w:val="00745C94"/>
    <w:rsid w:val="00747A71"/>
    <w:rsid w:val="00751C7A"/>
    <w:rsid w:val="00751E16"/>
    <w:rsid w:val="00752F0F"/>
    <w:rsid w:val="00752F80"/>
    <w:rsid w:val="0075648B"/>
    <w:rsid w:val="00757104"/>
    <w:rsid w:val="007579CD"/>
    <w:rsid w:val="00760723"/>
    <w:rsid w:val="0076102D"/>
    <w:rsid w:val="00761D32"/>
    <w:rsid w:val="0076537D"/>
    <w:rsid w:val="007711DE"/>
    <w:rsid w:val="00771B4B"/>
    <w:rsid w:val="00774EF7"/>
    <w:rsid w:val="00775355"/>
    <w:rsid w:val="007772E6"/>
    <w:rsid w:val="00782563"/>
    <w:rsid w:val="0078560B"/>
    <w:rsid w:val="00792473"/>
    <w:rsid w:val="0079347D"/>
    <w:rsid w:val="007935D4"/>
    <w:rsid w:val="00795E0D"/>
    <w:rsid w:val="007A09EB"/>
    <w:rsid w:val="007A226C"/>
    <w:rsid w:val="007A22EB"/>
    <w:rsid w:val="007A41DF"/>
    <w:rsid w:val="007A5E02"/>
    <w:rsid w:val="007A72F0"/>
    <w:rsid w:val="007A7F91"/>
    <w:rsid w:val="007B048B"/>
    <w:rsid w:val="007B137D"/>
    <w:rsid w:val="007B1648"/>
    <w:rsid w:val="007C50D1"/>
    <w:rsid w:val="007C5F7D"/>
    <w:rsid w:val="007D7B9C"/>
    <w:rsid w:val="007E6C4A"/>
    <w:rsid w:val="007F2CB6"/>
    <w:rsid w:val="007F5911"/>
    <w:rsid w:val="007F613A"/>
    <w:rsid w:val="007F6256"/>
    <w:rsid w:val="007F76A4"/>
    <w:rsid w:val="00800D37"/>
    <w:rsid w:val="008012E2"/>
    <w:rsid w:val="008030CB"/>
    <w:rsid w:val="00806FBB"/>
    <w:rsid w:val="00810B0A"/>
    <w:rsid w:val="00812266"/>
    <w:rsid w:val="00814F54"/>
    <w:rsid w:val="008150A0"/>
    <w:rsid w:val="00815F7C"/>
    <w:rsid w:val="008171A1"/>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51C7"/>
    <w:rsid w:val="00845253"/>
    <w:rsid w:val="008507FD"/>
    <w:rsid w:val="0085111A"/>
    <w:rsid w:val="0085518A"/>
    <w:rsid w:val="00860013"/>
    <w:rsid w:val="0086377A"/>
    <w:rsid w:val="00863D14"/>
    <w:rsid w:val="0086470D"/>
    <w:rsid w:val="008648DF"/>
    <w:rsid w:val="00866254"/>
    <w:rsid w:val="00866ED9"/>
    <w:rsid w:val="0087074C"/>
    <w:rsid w:val="008708D4"/>
    <w:rsid w:val="00871DA5"/>
    <w:rsid w:val="00872687"/>
    <w:rsid w:val="00873830"/>
    <w:rsid w:val="00873FB4"/>
    <w:rsid w:val="00880D09"/>
    <w:rsid w:val="008811AA"/>
    <w:rsid w:val="00882F17"/>
    <w:rsid w:val="008851BD"/>
    <w:rsid w:val="00885DB6"/>
    <w:rsid w:val="008862A5"/>
    <w:rsid w:val="00887B7C"/>
    <w:rsid w:val="008917A4"/>
    <w:rsid w:val="00891C09"/>
    <w:rsid w:val="008A3192"/>
    <w:rsid w:val="008A386E"/>
    <w:rsid w:val="008A66D8"/>
    <w:rsid w:val="008A67AF"/>
    <w:rsid w:val="008A6D11"/>
    <w:rsid w:val="008A70BA"/>
    <w:rsid w:val="008A7A08"/>
    <w:rsid w:val="008C3655"/>
    <w:rsid w:val="008C44E4"/>
    <w:rsid w:val="008C6B35"/>
    <w:rsid w:val="008D2F88"/>
    <w:rsid w:val="008D30F1"/>
    <w:rsid w:val="008D32A8"/>
    <w:rsid w:val="008D38AC"/>
    <w:rsid w:val="008D4FBB"/>
    <w:rsid w:val="008D5F7E"/>
    <w:rsid w:val="008D674B"/>
    <w:rsid w:val="008D6C65"/>
    <w:rsid w:val="008D6FBD"/>
    <w:rsid w:val="008E0051"/>
    <w:rsid w:val="008E25CD"/>
    <w:rsid w:val="008E286F"/>
    <w:rsid w:val="008E3AD3"/>
    <w:rsid w:val="008F238A"/>
    <w:rsid w:val="008F3170"/>
    <w:rsid w:val="008F3C62"/>
    <w:rsid w:val="008F5BF2"/>
    <w:rsid w:val="008F66C8"/>
    <w:rsid w:val="008F7F3D"/>
    <w:rsid w:val="009001D1"/>
    <w:rsid w:val="00902422"/>
    <w:rsid w:val="0090513F"/>
    <w:rsid w:val="00905907"/>
    <w:rsid w:val="009075F7"/>
    <w:rsid w:val="009103FD"/>
    <w:rsid w:val="00911F21"/>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43AF"/>
    <w:rsid w:val="00945C89"/>
    <w:rsid w:val="00951567"/>
    <w:rsid w:val="00953FE6"/>
    <w:rsid w:val="00956106"/>
    <w:rsid w:val="0095756E"/>
    <w:rsid w:val="00957BDA"/>
    <w:rsid w:val="00961AB0"/>
    <w:rsid w:val="009621EF"/>
    <w:rsid w:val="00963D95"/>
    <w:rsid w:val="00965EF5"/>
    <w:rsid w:val="00966E7D"/>
    <w:rsid w:val="0096700C"/>
    <w:rsid w:val="00974589"/>
    <w:rsid w:val="0097473B"/>
    <w:rsid w:val="00974F1A"/>
    <w:rsid w:val="00975664"/>
    <w:rsid w:val="00975AA9"/>
    <w:rsid w:val="0097714B"/>
    <w:rsid w:val="00980587"/>
    <w:rsid w:val="00980C64"/>
    <w:rsid w:val="009832D6"/>
    <w:rsid w:val="00983CC7"/>
    <w:rsid w:val="00986555"/>
    <w:rsid w:val="0098775C"/>
    <w:rsid w:val="00991270"/>
    <w:rsid w:val="0099254B"/>
    <w:rsid w:val="00994A3F"/>
    <w:rsid w:val="00996758"/>
    <w:rsid w:val="00996A2E"/>
    <w:rsid w:val="009970BA"/>
    <w:rsid w:val="009973DD"/>
    <w:rsid w:val="009978AB"/>
    <w:rsid w:val="009A1ACF"/>
    <w:rsid w:val="009A228F"/>
    <w:rsid w:val="009A3B53"/>
    <w:rsid w:val="009A3C32"/>
    <w:rsid w:val="009A4E1A"/>
    <w:rsid w:val="009B059A"/>
    <w:rsid w:val="009B1194"/>
    <w:rsid w:val="009B1E8C"/>
    <w:rsid w:val="009B44F6"/>
    <w:rsid w:val="009B4B39"/>
    <w:rsid w:val="009C007B"/>
    <w:rsid w:val="009C18A0"/>
    <w:rsid w:val="009C3D0B"/>
    <w:rsid w:val="009C5AFC"/>
    <w:rsid w:val="009C6276"/>
    <w:rsid w:val="009D1098"/>
    <w:rsid w:val="009D3602"/>
    <w:rsid w:val="009D7FCE"/>
    <w:rsid w:val="009E1572"/>
    <w:rsid w:val="009E18ED"/>
    <w:rsid w:val="009E302E"/>
    <w:rsid w:val="009F0823"/>
    <w:rsid w:val="009F0CA0"/>
    <w:rsid w:val="009F339B"/>
    <w:rsid w:val="009F6BD8"/>
    <w:rsid w:val="00A001B8"/>
    <w:rsid w:val="00A00C4C"/>
    <w:rsid w:val="00A019E5"/>
    <w:rsid w:val="00A039DD"/>
    <w:rsid w:val="00A0487C"/>
    <w:rsid w:val="00A07395"/>
    <w:rsid w:val="00A07CCF"/>
    <w:rsid w:val="00A11454"/>
    <w:rsid w:val="00A27BD8"/>
    <w:rsid w:val="00A4239A"/>
    <w:rsid w:val="00A42E6D"/>
    <w:rsid w:val="00A43302"/>
    <w:rsid w:val="00A444AE"/>
    <w:rsid w:val="00A457BF"/>
    <w:rsid w:val="00A46601"/>
    <w:rsid w:val="00A512C5"/>
    <w:rsid w:val="00A54F70"/>
    <w:rsid w:val="00A553C1"/>
    <w:rsid w:val="00A60652"/>
    <w:rsid w:val="00A6301E"/>
    <w:rsid w:val="00A63175"/>
    <w:rsid w:val="00A63488"/>
    <w:rsid w:val="00A64D0C"/>
    <w:rsid w:val="00A6567B"/>
    <w:rsid w:val="00A65969"/>
    <w:rsid w:val="00A66DC7"/>
    <w:rsid w:val="00A67195"/>
    <w:rsid w:val="00A67507"/>
    <w:rsid w:val="00A7264F"/>
    <w:rsid w:val="00A75D03"/>
    <w:rsid w:val="00A773EF"/>
    <w:rsid w:val="00A777EA"/>
    <w:rsid w:val="00A80AAB"/>
    <w:rsid w:val="00A80CDF"/>
    <w:rsid w:val="00A82513"/>
    <w:rsid w:val="00A83C4D"/>
    <w:rsid w:val="00A8638C"/>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436D"/>
    <w:rsid w:val="00AC6BD5"/>
    <w:rsid w:val="00AC7A12"/>
    <w:rsid w:val="00AD4A6C"/>
    <w:rsid w:val="00AD5206"/>
    <w:rsid w:val="00AD7D7C"/>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3286"/>
    <w:rsid w:val="00B20AD3"/>
    <w:rsid w:val="00B20B41"/>
    <w:rsid w:val="00B24E51"/>
    <w:rsid w:val="00B25FA6"/>
    <w:rsid w:val="00B3030B"/>
    <w:rsid w:val="00B332B5"/>
    <w:rsid w:val="00B3746B"/>
    <w:rsid w:val="00B37DC1"/>
    <w:rsid w:val="00B40582"/>
    <w:rsid w:val="00B41AD4"/>
    <w:rsid w:val="00B4623A"/>
    <w:rsid w:val="00B463CA"/>
    <w:rsid w:val="00B46525"/>
    <w:rsid w:val="00B527CE"/>
    <w:rsid w:val="00B53D98"/>
    <w:rsid w:val="00B55317"/>
    <w:rsid w:val="00B56BB8"/>
    <w:rsid w:val="00B57472"/>
    <w:rsid w:val="00B611BF"/>
    <w:rsid w:val="00B61C0F"/>
    <w:rsid w:val="00B639CF"/>
    <w:rsid w:val="00B65738"/>
    <w:rsid w:val="00B706E8"/>
    <w:rsid w:val="00B726D2"/>
    <w:rsid w:val="00B73AD1"/>
    <w:rsid w:val="00B754E2"/>
    <w:rsid w:val="00B80C10"/>
    <w:rsid w:val="00B81611"/>
    <w:rsid w:val="00B8173A"/>
    <w:rsid w:val="00B822B5"/>
    <w:rsid w:val="00B8236A"/>
    <w:rsid w:val="00B824FA"/>
    <w:rsid w:val="00B84220"/>
    <w:rsid w:val="00B852E0"/>
    <w:rsid w:val="00B8545F"/>
    <w:rsid w:val="00B86328"/>
    <w:rsid w:val="00B86F5C"/>
    <w:rsid w:val="00B8765D"/>
    <w:rsid w:val="00B87CD9"/>
    <w:rsid w:val="00B91D3C"/>
    <w:rsid w:val="00B93C30"/>
    <w:rsid w:val="00B93F23"/>
    <w:rsid w:val="00B96BA0"/>
    <w:rsid w:val="00BA08CA"/>
    <w:rsid w:val="00BA0C0B"/>
    <w:rsid w:val="00BA104B"/>
    <w:rsid w:val="00BA3116"/>
    <w:rsid w:val="00BA3DAD"/>
    <w:rsid w:val="00BA52E2"/>
    <w:rsid w:val="00BA63B6"/>
    <w:rsid w:val="00BA6647"/>
    <w:rsid w:val="00BA6A92"/>
    <w:rsid w:val="00BB3DB4"/>
    <w:rsid w:val="00BB5C41"/>
    <w:rsid w:val="00BB6D02"/>
    <w:rsid w:val="00BB73E4"/>
    <w:rsid w:val="00BC0502"/>
    <w:rsid w:val="00BC0608"/>
    <w:rsid w:val="00BC06CE"/>
    <w:rsid w:val="00BC73E8"/>
    <w:rsid w:val="00BD1DD8"/>
    <w:rsid w:val="00BD5162"/>
    <w:rsid w:val="00BD6632"/>
    <w:rsid w:val="00BD66CB"/>
    <w:rsid w:val="00BD7EE5"/>
    <w:rsid w:val="00BE5BAE"/>
    <w:rsid w:val="00BE7D9E"/>
    <w:rsid w:val="00BF5571"/>
    <w:rsid w:val="00BF7824"/>
    <w:rsid w:val="00C001B9"/>
    <w:rsid w:val="00C01172"/>
    <w:rsid w:val="00C011D1"/>
    <w:rsid w:val="00C01F6C"/>
    <w:rsid w:val="00C069E4"/>
    <w:rsid w:val="00C1023A"/>
    <w:rsid w:val="00C11EFB"/>
    <w:rsid w:val="00C123BD"/>
    <w:rsid w:val="00C12449"/>
    <w:rsid w:val="00C136BD"/>
    <w:rsid w:val="00C15A37"/>
    <w:rsid w:val="00C15EB8"/>
    <w:rsid w:val="00C160D6"/>
    <w:rsid w:val="00C16451"/>
    <w:rsid w:val="00C170CA"/>
    <w:rsid w:val="00C176E1"/>
    <w:rsid w:val="00C17FB8"/>
    <w:rsid w:val="00C22B33"/>
    <w:rsid w:val="00C23DC7"/>
    <w:rsid w:val="00C25278"/>
    <w:rsid w:val="00C263A1"/>
    <w:rsid w:val="00C274ED"/>
    <w:rsid w:val="00C30882"/>
    <w:rsid w:val="00C30DFB"/>
    <w:rsid w:val="00C30E30"/>
    <w:rsid w:val="00C31FF9"/>
    <w:rsid w:val="00C33770"/>
    <w:rsid w:val="00C3451A"/>
    <w:rsid w:val="00C35354"/>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72D4"/>
    <w:rsid w:val="00C70B26"/>
    <w:rsid w:val="00C71D4D"/>
    <w:rsid w:val="00C72482"/>
    <w:rsid w:val="00C7583A"/>
    <w:rsid w:val="00C760DC"/>
    <w:rsid w:val="00C822C2"/>
    <w:rsid w:val="00C847D7"/>
    <w:rsid w:val="00C849C9"/>
    <w:rsid w:val="00C84F49"/>
    <w:rsid w:val="00C853F6"/>
    <w:rsid w:val="00C858F7"/>
    <w:rsid w:val="00C90463"/>
    <w:rsid w:val="00C91CF8"/>
    <w:rsid w:val="00C94A2C"/>
    <w:rsid w:val="00C94B09"/>
    <w:rsid w:val="00C94E2C"/>
    <w:rsid w:val="00C95156"/>
    <w:rsid w:val="00C953AC"/>
    <w:rsid w:val="00C97F42"/>
    <w:rsid w:val="00CA0FA8"/>
    <w:rsid w:val="00CA225D"/>
    <w:rsid w:val="00CA29FB"/>
    <w:rsid w:val="00CA3F30"/>
    <w:rsid w:val="00CA4D33"/>
    <w:rsid w:val="00CA5A01"/>
    <w:rsid w:val="00CA69A1"/>
    <w:rsid w:val="00CA6D34"/>
    <w:rsid w:val="00CA77C3"/>
    <w:rsid w:val="00CB0D84"/>
    <w:rsid w:val="00CB5B5A"/>
    <w:rsid w:val="00CB64DD"/>
    <w:rsid w:val="00CB651B"/>
    <w:rsid w:val="00CB68A3"/>
    <w:rsid w:val="00CB7F2F"/>
    <w:rsid w:val="00CC2087"/>
    <w:rsid w:val="00CC5AB2"/>
    <w:rsid w:val="00CC5BDB"/>
    <w:rsid w:val="00CD27CC"/>
    <w:rsid w:val="00CD3E86"/>
    <w:rsid w:val="00CD5507"/>
    <w:rsid w:val="00CD599B"/>
    <w:rsid w:val="00CE1FCA"/>
    <w:rsid w:val="00CF1022"/>
    <w:rsid w:val="00CF2C7C"/>
    <w:rsid w:val="00D00310"/>
    <w:rsid w:val="00D03B18"/>
    <w:rsid w:val="00D04570"/>
    <w:rsid w:val="00D0459A"/>
    <w:rsid w:val="00D07628"/>
    <w:rsid w:val="00D07E34"/>
    <w:rsid w:val="00D11D80"/>
    <w:rsid w:val="00D1375B"/>
    <w:rsid w:val="00D162DA"/>
    <w:rsid w:val="00D17666"/>
    <w:rsid w:val="00D1795F"/>
    <w:rsid w:val="00D17A48"/>
    <w:rsid w:val="00D20520"/>
    <w:rsid w:val="00D2177B"/>
    <w:rsid w:val="00D237D9"/>
    <w:rsid w:val="00D23B27"/>
    <w:rsid w:val="00D2785C"/>
    <w:rsid w:val="00D30B46"/>
    <w:rsid w:val="00D31681"/>
    <w:rsid w:val="00D3738C"/>
    <w:rsid w:val="00D4057B"/>
    <w:rsid w:val="00D422D2"/>
    <w:rsid w:val="00D429BC"/>
    <w:rsid w:val="00D46626"/>
    <w:rsid w:val="00D47CF9"/>
    <w:rsid w:val="00D51592"/>
    <w:rsid w:val="00D545AB"/>
    <w:rsid w:val="00D57C3C"/>
    <w:rsid w:val="00D6132E"/>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902F1"/>
    <w:rsid w:val="00D919A2"/>
    <w:rsid w:val="00D939CE"/>
    <w:rsid w:val="00DA2277"/>
    <w:rsid w:val="00DA5996"/>
    <w:rsid w:val="00DA6746"/>
    <w:rsid w:val="00DA6F2F"/>
    <w:rsid w:val="00DA72CF"/>
    <w:rsid w:val="00DA7E2F"/>
    <w:rsid w:val="00DB120C"/>
    <w:rsid w:val="00DB2707"/>
    <w:rsid w:val="00DB2E5D"/>
    <w:rsid w:val="00DB34AD"/>
    <w:rsid w:val="00DB407B"/>
    <w:rsid w:val="00DB568E"/>
    <w:rsid w:val="00DB64D6"/>
    <w:rsid w:val="00DB6707"/>
    <w:rsid w:val="00DB7BAD"/>
    <w:rsid w:val="00DD01EF"/>
    <w:rsid w:val="00DD1345"/>
    <w:rsid w:val="00DE0CF8"/>
    <w:rsid w:val="00DE1896"/>
    <w:rsid w:val="00DE21B1"/>
    <w:rsid w:val="00DE2580"/>
    <w:rsid w:val="00DE2965"/>
    <w:rsid w:val="00DE3138"/>
    <w:rsid w:val="00DE7E33"/>
    <w:rsid w:val="00DF1626"/>
    <w:rsid w:val="00DF4006"/>
    <w:rsid w:val="00DF5482"/>
    <w:rsid w:val="00E01C12"/>
    <w:rsid w:val="00E02565"/>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107D"/>
    <w:rsid w:val="00E92B42"/>
    <w:rsid w:val="00E934FD"/>
    <w:rsid w:val="00E96B7D"/>
    <w:rsid w:val="00E97300"/>
    <w:rsid w:val="00E97A81"/>
    <w:rsid w:val="00EA08F0"/>
    <w:rsid w:val="00EA1350"/>
    <w:rsid w:val="00EA4AF7"/>
    <w:rsid w:val="00EA4D55"/>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3E88"/>
    <w:rsid w:val="00ED5063"/>
    <w:rsid w:val="00ED517B"/>
    <w:rsid w:val="00ED552F"/>
    <w:rsid w:val="00ED64D3"/>
    <w:rsid w:val="00EE1BD7"/>
    <w:rsid w:val="00EF0BDF"/>
    <w:rsid w:val="00EF17F1"/>
    <w:rsid w:val="00EF2517"/>
    <w:rsid w:val="00EF501F"/>
    <w:rsid w:val="00F0056F"/>
    <w:rsid w:val="00F0297A"/>
    <w:rsid w:val="00F04171"/>
    <w:rsid w:val="00F041BE"/>
    <w:rsid w:val="00F046A4"/>
    <w:rsid w:val="00F0495E"/>
    <w:rsid w:val="00F07DE2"/>
    <w:rsid w:val="00F11A7C"/>
    <w:rsid w:val="00F13ECC"/>
    <w:rsid w:val="00F142BF"/>
    <w:rsid w:val="00F15BEE"/>
    <w:rsid w:val="00F23E7F"/>
    <w:rsid w:val="00F311CD"/>
    <w:rsid w:val="00F31811"/>
    <w:rsid w:val="00F31AA6"/>
    <w:rsid w:val="00F31B06"/>
    <w:rsid w:val="00F322BF"/>
    <w:rsid w:val="00F33B69"/>
    <w:rsid w:val="00F356D2"/>
    <w:rsid w:val="00F35E7E"/>
    <w:rsid w:val="00F40A17"/>
    <w:rsid w:val="00F43045"/>
    <w:rsid w:val="00F44F8D"/>
    <w:rsid w:val="00F453D3"/>
    <w:rsid w:val="00F460DC"/>
    <w:rsid w:val="00F479AE"/>
    <w:rsid w:val="00F50415"/>
    <w:rsid w:val="00F52A0E"/>
    <w:rsid w:val="00F5452F"/>
    <w:rsid w:val="00F54DD2"/>
    <w:rsid w:val="00F57BDF"/>
    <w:rsid w:val="00F614FC"/>
    <w:rsid w:val="00F61532"/>
    <w:rsid w:val="00F6213A"/>
    <w:rsid w:val="00F6289B"/>
    <w:rsid w:val="00F67F3B"/>
    <w:rsid w:val="00F67FC8"/>
    <w:rsid w:val="00F739FB"/>
    <w:rsid w:val="00F73C5E"/>
    <w:rsid w:val="00F75477"/>
    <w:rsid w:val="00F80196"/>
    <w:rsid w:val="00F818BE"/>
    <w:rsid w:val="00F85DF3"/>
    <w:rsid w:val="00F86279"/>
    <w:rsid w:val="00F87A5F"/>
    <w:rsid w:val="00F91450"/>
    <w:rsid w:val="00F9158C"/>
    <w:rsid w:val="00F927BA"/>
    <w:rsid w:val="00F9783F"/>
    <w:rsid w:val="00F97C16"/>
    <w:rsid w:val="00FA046A"/>
    <w:rsid w:val="00FA1D5A"/>
    <w:rsid w:val="00FA3263"/>
    <w:rsid w:val="00FA33CE"/>
    <w:rsid w:val="00FA5F34"/>
    <w:rsid w:val="00FA744B"/>
    <w:rsid w:val="00FA7655"/>
    <w:rsid w:val="00FA7F38"/>
    <w:rsid w:val="00FB13A1"/>
    <w:rsid w:val="00FB1510"/>
    <w:rsid w:val="00FB2185"/>
    <w:rsid w:val="00FB4D63"/>
    <w:rsid w:val="00FB5FB8"/>
    <w:rsid w:val="00FC61F7"/>
    <w:rsid w:val="00FD4D0B"/>
    <w:rsid w:val="00FE0DE6"/>
    <w:rsid w:val="00FE28B6"/>
    <w:rsid w:val="00FE2EC3"/>
    <w:rsid w:val="00FE396C"/>
    <w:rsid w:val="00FE3A30"/>
    <w:rsid w:val="00FE436F"/>
    <w:rsid w:val="00FE5B81"/>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4125</Words>
  <Characters>25498</Characters>
  <Application>Microsoft Office Word</Application>
  <DocSecurity>0</DocSecurity>
  <Lines>380</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218</cp:revision>
  <dcterms:created xsi:type="dcterms:W3CDTF">2024-01-30T09:54:00Z</dcterms:created>
  <dcterms:modified xsi:type="dcterms:W3CDTF">2024-02-02T17:50:00Z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