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w:t>
      </w:r>
      <w:proofErr w:type="spellStart"/>
      <w:r w:rsidR="0011281D" w:rsidRPr="0011281D">
        <w:rPr>
          <w:rFonts w:ascii="Times New Roman" w:hAnsi="Times New Roman" w:cs="Times New Roman"/>
          <w:sz w:val="24"/>
          <w:szCs w:val="24"/>
        </w:rPr>
        <w:t>appraisal</w:t>
      </w:r>
      <w:proofErr w:type="spellEnd"/>
      <w:r w:rsidR="0011281D" w:rsidRPr="0011281D">
        <w:rPr>
          <w:rFonts w:ascii="Times New Roman" w:hAnsi="Times New Roman" w:cs="Times New Roman"/>
          <w:sz w:val="24"/>
          <w:szCs w:val="24"/>
        </w:rPr>
        <w:t xml:space="preserve">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w:t>
      </w:r>
      <w:commentRangeStart w:id="1"/>
      <w:r w:rsidR="006407D5" w:rsidRPr="006407D5">
        <w:rPr>
          <w:rFonts w:ascii="Times New Roman" w:hAnsi="Times New Roman" w:cs="Times New Roman"/>
          <w:sz w:val="24"/>
          <w:szCs w:val="24"/>
          <w:lang w:val="en-US"/>
        </w:rPr>
        <w:t xml:space="preserve">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commentRangeEnd w:id="1"/>
      <w:r w:rsidR="008D5F7E">
        <w:rPr>
          <w:rStyle w:val="Kommentarzeichen"/>
        </w:rPr>
        <w:commentReference w:id="1"/>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w:t>
      </w:r>
      <w:commentRangeStart w:id="2"/>
      <w:r w:rsidR="002C6F2B" w:rsidRPr="00C16451">
        <w:rPr>
          <w:rFonts w:ascii="Times New Roman" w:hAnsi="Times New Roman" w:cs="Times New Roman"/>
          <w:sz w:val="24"/>
          <w:szCs w:val="24"/>
          <w:highlight w:val="yellow"/>
          <w:lang w:val="en-US"/>
        </w:rPr>
        <w:t>in addition to motivational and cognitive components</w:t>
      </w:r>
      <w:commentRangeEnd w:id="2"/>
      <w:r w:rsidR="008D5F7E">
        <w:rPr>
          <w:rStyle w:val="Kommentarzeichen"/>
        </w:rPr>
        <w:commentReference w:id="2"/>
      </w:r>
      <w:r w:rsidR="002C6F2B" w:rsidRPr="00C16451">
        <w:rPr>
          <w:rFonts w:ascii="Times New Roman" w:hAnsi="Times New Roman" w:cs="Times New Roman"/>
          <w:sz w:val="24"/>
          <w:szCs w:val="24"/>
          <w:highlight w:val="yellow"/>
          <w:lang w:val="en-US"/>
        </w:rPr>
        <w:t xml:space="preserve">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60AA8E00"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[@stahl2016</w:t>
      </w:r>
      <w:r w:rsidR="00BA6647">
        <w:rPr>
          <w:rFonts w:ascii="Times New Roman" w:hAnsi="Times New Roman" w:cs="Times New Roman"/>
          <w:sz w:val="24"/>
          <w:szCs w:val="24"/>
          <w:lang w:val="en-US"/>
        </w:rPr>
        <w:t>]</w:t>
      </w:r>
      <w:commentRangeStart w:id="3"/>
      <w:commentRangeStart w:id="4"/>
      <w:commentRangeStart w:id="5"/>
      <w:r w:rsidRPr="007B048B">
        <w:rPr>
          <w:rFonts w:ascii="Times New Roman" w:hAnsi="Times New Roman" w:cs="Times New Roman"/>
          <w:sz w:val="24"/>
          <w:szCs w:val="24"/>
          <w:highlight w:val="red"/>
          <w:lang w:val="en-US"/>
        </w:rPr>
        <w:t>,</w:t>
      </w:r>
      <w:r>
        <w:rPr>
          <w:rFonts w:ascii="Times New Roman" w:hAnsi="Times New Roman" w:cs="Times New Roman"/>
          <w:sz w:val="24"/>
          <w:szCs w:val="24"/>
          <w:lang w:val="en-US"/>
        </w:rPr>
        <w:t xml:space="preserve"> </w:t>
      </w:r>
      <w:commentRangeEnd w:id="3"/>
      <w:r w:rsidR="0016044B">
        <w:rPr>
          <w:rStyle w:val="Kommentarzeichen"/>
        </w:rPr>
        <w:commentReference w:id="3"/>
      </w:r>
      <w:commentRangeEnd w:id="4"/>
      <w:r w:rsidR="003350D9">
        <w:rPr>
          <w:rStyle w:val="Kommentarzeichen"/>
        </w:rPr>
        <w:commentReference w:id="4"/>
      </w:r>
      <w:commentRangeEnd w:id="5"/>
      <w:r w:rsidR="00A82513">
        <w:rPr>
          <w:rStyle w:val="Kommentarzeichen"/>
        </w:rPr>
        <w:commentReference w:id="5"/>
      </w:r>
      <w:r>
        <w:rPr>
          <w:rFonts w:ascii="Times New Roman" w:hAnsi="Times New Roman" w:cs="Times New Roman"/>
          <w:sz w:val="24"/>
          <w:szCs w:val="24"/>
          <w:lang w:val="en-US"/>
        </w:rPr>
        <w:t xml:space="preserve">whereas it is </w:t>
      </w:r>
      <w:r w:rsidRPr="00163362">
        <w:rPr>
          <w:rFonts w:ascii="Times New Roman" w:hAnsi="Times New Roman" w:cs="Times New Roman"/>
          <w:sz w:val="24"/>
          <w:szCs w:val="24"/>
          <w:lang w:val="en-US"/>
        </w:rPr>
        <w:t xml:space="preserve">the difference between </w:t>
      </w:r>
      <w:proofErr w:type="spellStart"/>
      <w:proofErr w:type="gram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proofErr w:type="gram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but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23C01C12"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commentRangeStart w:id="6"/>
      <w:r w:rsidR="00402A0E">
        <w:rPr>
          <w:rFonts w:ascii="Times New Roman" w:hAnsi="Times New Roman" w:cs="Times New Roman"/>
          <w:sz w:val="24"/>
          <w:szCs w:val="24"/>
          <w:lang w:val="en-US"/>
        </w:rPr>
        <w:t>[@lonn2014]</w:t>
      </w:r>
      <w:r w:rsidR="005357FD" w:rsidRPr="00A66DC7">
        <w:rPr>
          <w:rFonts w:ascii="Times New Roman" w:hAnsi="Times New Roman" w:cs="Times New Roman"/>
          <w:sz w:val="24"/>
          <w:szCs w:val="24"/>
          <w:lang w:val="en-US"/>
        </w:rPr>
        <w:t xml:space="preserve"> </w:t>
      </w:r>
      <w:commentRangeEnd w:id="6"/>
      <w:r w:rsidR="00CD3E86">
        <w:rPr>
          <w:rStyle w:val="Kommentarzeichen"/>
        </w:rPr>
        <w:commentReference w:id="6"/>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w:t>
      </w:r>
      <w:proofErr w:type="gramStart"/>
      <w:r w:rsidR="00360890" w:rsidRPr="00360890">
        <w:rPr>
          <w:rFonts w:ascii="Times New Roman" w:hAnsi="Times New Roman" w:cs="Times New Roman"/>
          <w:sz w:val="24"/>
          <w:szCs w:val="24"/>
          <w:lang w:val="en-US"/>
        </w:rPr>
        <w:t>in the course of</w:t>
      </w:r>
      <w:proofErr w:type="gramEnd"/>
      <w:r w:rsidR="00360890" w:rsidRPr="00360890">
        <w:rPr>
          <w:rFonts w:ascii="Times New Roman" w:hAnsi="Times New Roman" w:cs="Times New Roman"/>
          <w:sz w:val="24"/>
          <w:szCs w:val="24"/>
          <w:lang w:val="en-US"/>
        </w:rPr>
        <w:t xml:space="preserve">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proofErr w:type="gramStart"/>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-related</w:t>
      </w:r>
      <w:proofErr w:type="gramEnd"/>
      <w:r w:rsidRPr="005C3B1B">
        <w:rPr>
          <w:rFonts w:ascii="Times New Roman" w:hAnsi="Times New Roman" w:cs="Times New Roman"/>
          <w:sz w:val="24"/>
          <w:szCs w:val="24"/>
          <w:lang w:val="en-US"/>
        </w:rPr>
        <w:t xml:space="preserve">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3633307E"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w:t>
      </w:r>
      <w:proofErr w:type="gramStart"/>
      <w:r w:rsidRPr="00D0459A">
        <w:rPr>
          <w:rFonts w:ascii="Times New Roman" w:hAnsi="Times New Roman" w:cs="Times New Roman"/>
          <w:sz w:val="24"/>
          <w:szCs w:val="24"/>
          <w:lang w:val="en-US"/>
        </w:rPr>
        <w:t>stress</w:t>
      </w:r>
      <w:proofErr w:type="gramEnd"/>
      <w:r w:rsidRPr="00D0459A">
        <w:rPr>
          <w:rFonts w:ascii="Times New Roman" w:hAnsi="Times New Roman" w:cs="Times New Roman"/>
          <w:sz w:val="24"/>
          <w:szCs w:val="24"/>
          <w:lang w:val="en-US"/>
        </w:rPr>
        <w:t xml:space="preserve">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w:t>
      </w:r>
      <w:proofErr w:type="gramStart"/>
      <w:r w:rsidR="00751E16" w:rsidRPr="00751E16">
        <w:rPr>
          <w:rFonts w:ascii="Times New Roman" w:hAnsi="Times New Roman" w:cs="Times New Roman"/>
          <w:sz w:val="24"/>
          <w:szCs w:val="24"/>
          <w:lang w:val="en-US"/>
        </w:rPr>
        <w:t>in particular by</w:t>
      </w:r>
      <w:proofErr w:type="gramEnd"/>
      <w:r w:rsidR="00751E16" w:rsidRPr="00751E16">
        <w:rPr>
          <w:rFonts w:ascii="Times New Roman" w:hAnsi="Times New Roman" w:cs="Times New Roman"/>
          <w:sz w:val="24"/>
          <w:szCs w:val="24"/>
          <w:lang w:val="en-US"/>
        </w:rPr>
        <w:t xml:space="preserve">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proofErr w:type="gramStart"/>
      <w:r w:rsidR="00617B9B" w:rsidRPr="00617B9B">
        <w:rPr>
          <w:rFonts w:ascii="Times New Roman" w:hAnsi="Times New Roman" w:cs="Times New Roman"/>
          <w:sz w:val="24"/>
          <w:szCs w:val="24"/>
          <w:lang w:val="en-US"/>
        </w:rPr>
        <w:t>The majority of</w:t>
      </w:r>
      <w:proofErr w:type="gramEnd"/>
      <w:r w:rsidR="00617B9B" w:rsidRPr="00617B9B">
        <w:rPr>
          <w:rFonts w:ascii="Times New Roman" w:hAnsi="Times New Roman" w:cs="Times New Roman"/>
          <w:sz w:val="24"/>
          <w:szCs w:val="24"/>
          <w:lang w:val="en-US"/>
        </w:rPr>
        <w:t xml:space="preserve">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w:t>
      </w:r>
      <w:proofErr w:type="gramStart"/>
      <w:r w:rsidR="00260C50" w:rsidRPr="00260C50">
        <w:rPr>
          <w:rFonts w:ascii="Times New Roman" w:hAnsi="Times New Roman" w:cs="Times New Roman"/>
          <w:sz w:val="24"/>
          <w:szCs w:val="24"/>
          <w:lang w:val="en-US"/>
        </w:rPr>
        <w:t>a large number of</w:t>
      </w:r>
      <w:proofErr w:type="gramEnd"/>
      <w:r w:rsidR="00260C50" w:rsidRPr="00260C50">
        <w:rPr>
          <w:rFonts w:ascii="Times New Roman" w:hAnsi="Times New Roman" w:cs="Times New Roman"/>
          <w:sz w:val="24"/>
          <w:szCs w:val="24"/>
          <w:lang w:val="en-US"/>
        </w:rPr>
        <w:t xml:space="preserve">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w:t>
      </w:r>
      <w:proofErr w:type="gramStart"/>
      <w:r w:rsidR="00EA1350">
        <w:rPr>
          <w:rFonts w:ascii="Times New Roman" w:hAnsi="Times New Roman" w:cs="Times New Roman"/>
          <w:sz w:val="24"/>
          <w:szCs w:val="24"/>
          <w:lang w:val="en-US"/>
        </w:rPr>
        <w:t>range</w:t>
      </w:r>
      <w:proofErr w:type="gramEnd"/>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w:t>
      </w:r>
      <w:proofErr w:type="gramStart"/>
      <w:r w:rsidR="002D36CB" w:rsidRPr="002D36CB">
        <w:rPr>
          <w:rFonts w:ascii="Times New Roman" w:hAnsi="Times New Roman" w:cs="Times New Roman"/>
          <w:sz w:val="24"/>
          <w:szCs w:val="24"/>
          <w:lang w:val="en-US"/>
        </w:rPr>
        <w:t>came to the conclusion</w:t>
      </w:r>
      <w:proofErr w:type="gramEnd"/>
      <w:r w:rsidR="002D36CB" w:rsidRPr="002D36CB">
        <w:rPr>
          <w:rFonts w:ascii="Times New Roman" w:hAnsi="Times New Roman" w:cs="Times New Roman"/>
          <w:sz w:val="24"/>
          <w:szCs w:val="24"/>
          <w:lang w:val="en-US"/>
        </w:rPr>
        <w:t xml:space="preserve">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1ACA0973" w:rsidR="00BA6A92" w:rsidRDefault="007A7F9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the use of personal fitness trackers during various phases of learning and teaching.</w:t>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7"/>
      <w:r w:rsidRPr="00093472">
        <w:rPr>
          <w:rFonts w:ascii="Times New Roman" w:hAnsi="Times New Roman" w:cs="Times New Roman"/>
          <w:sz w:val="24"/>
          <w:szCs w:val="24"/>
          <w:lang w:val="en-US"/>
        </w:rPr>
        <w:lastRenderedPageBreak/>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7"/>
      <w:r w:rsidR="00FF1D84">
        <w:rPr>
          <w:rStyle w:val="Kommentarzeichen"/>
        </w:rPr>
        <w:commentReference w:id="7"/>
      </w:r>
    </w:p>
    <w:p w14:paraId="2F122EBE" w14:textId="4BCF50CA"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5BB48736"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commentRangeStart w:id="8"/>
      <w:r w:rsidRPr="00475630">
        <w:rPr>
          <w:rFonts w:ascii="Times New Roman" w:hAnsi="Times New Roman" w:cs="Times New Roman"/>
          <w:sz w:val="24"/>
          <w:szCs w:val="24"/>
          <w:lang w:val="en-US"/>
        </w:rPr>
        <w:t>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w:t>
      </w:r>
      <w:commentRangeEnd w:id="8"/>
      <w:r w:rsidR="00D46626">
        <w:rPr>
          <w:rStyle w:val="Kommentarzeichen"/>
        </w:rPr>
        <w:commentReference w:id="8"/>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5C78A2D1"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9"/>
      <w:commentRangeStart w:id="10"/>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9"/>
      <w:r w:rsidR="001406E1">
        <w:rPr>
          <w:rStyle w:val="Kommentarzeichen"/>
        </w:rPr>
        <w:commentReference w:id="9"/>
      </w:r>
      <w:commentRangeEnd w:id="10"/>
      <w:r w:rsidR="00996A2E">
        <w:rPr>
          <w:rStyle w:val="Kommentarzeichen"/>
        </w:rPr>
        <w:commentReference w:id="10"/>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Pr="00393CE2">
        <w:rPr>
          <w:rFonts w:ascii="Times New Roman" w:hAnsi="Times New Roman" w:cs="Times New Roman"/>
          <w:sz w:val="24"/>
          <w:szCs w:val="24"/>
          <w:lang w:val="en-US"/>
        </w:rPr>
        <w:t xml:space="preserve">active and passive disruptions </w:t>
      </w:r>
      <w:commentRangeStart w:id="11"/>
      <w:r w:rsidR="00D67C7C" w:rsidRPr="0035007C">
        <w:rPr>
          <w:rFonts w:ascii="Times New Roman" w:hAnsi="Times New Roman" w:cs="Times New Roman"/>
          <w:sz w:val="24"/>
          <w:szCs w:val="24"/>
          <w:lang w:val="en-US"/>
        </w:rPr>
        <w:t>[@stahl2017]</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End w:id="11"/>
      <w:r w:rsidR="008150A0">
        <w:rPr>
          <w:rStyle w:val="Kommentarzeichen"/>
        </w:rPr>
        <w:commentReference w:id="11"/>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FBC4470"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r w:rsidR="00C45401">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w:t>
      </w:r>
    </w:p>
    <w:p w14:paraId="1E4AE32D" w14:textId="603A6765"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w:t>
      </w:r>
      <w:commentRangeStart w:id="12"/>
      <w:r w:rsidR="0061140E">
        <w:rPr>
          <w:rFonts w:ascii="Times New Roman" w:hAnsi="Times New Roman" w:cs="Times New Roman"/>
          <w:sz w:val="24"/>
          <w:szCs w:val="24"/>
          <w:lang w:val="en-US"/>
        </w:rPr>
        <w:t>[@siestru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commentRangeEnd w:id="12"/>
      <w:r w:rsidR="008D2F88">
        <w:rPr>
          <w:rStyle w:val="Kommentarzeichen"/>
        </w:rPr>
        <w:commentReference w:id="12"/>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 xml:space="preserve">behavior in the classroom is fluid (Nolting,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commentRangeStart w:id="13"/>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commentRangeEnd w:id="13"/>
      <w:r w:rsidR="007711DE">
        <w:rPr>
          <w:rStyle w:val="Kommentarzeichen"/>
        </w:rPr>
        <w:commentReference w:id="13"/>
      </w:r>
      <w:r w:rsidR="00135C01" w:rsidRPr="00C760DC">
        <w:rPr>
          <w:rFonts w:ascii="Times New Roman" w:hAnsi="Times New Roman" w:cs="Times New Roman"/>
          <w:sz w:val="24"/>
          <w:szCs w:val="24"/>
          <w:lang w:val="en-US"/>
        </w:rPr>
        <w:t xml:space="preserve">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w:t>
      </w:r>
      <w:r w:rsidR="00135C01" w:rsidRPr="00C760DC">
        <w:rPr>
          <w:rFonts w:ascii="Times New Roman" w:hAnsi="Times New Roman" w:cs="Times New Roman"/>
          <w:sz w:val="24"/>
          <w:szCs w:val="24"/>
          <w:lang w:val="en-US"/>
        </w:rPr>
        <w:lastRenderedPageBreak/>
        <w:t xml:space="preserve">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 xml:space="preserve">person need to be </w:t>
      </w:r>
      <w:proofErr w:type="gramStart"/>
      <w:r w:rsidR="00135C01" w:rsidRPr="0055747D">
        <w:rPr>
          <w:rFonts w:ascii="Times New Roman" w:hAnsi="Times New Roman" w:cs="Times New Roman"/>
          <w:sz w:val="24"/>
          <w:szCs w:val="24"/>
          <w:lang w:val="en-US"/>
        </w:rPr>
        <w:t>taken into account</w:t>
      </w:r>
      <w:proofErr w:type="gramEnd"/>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CF7A970" w:rsidR="009D7FCE" w:rsidRDefault="00415E8A" w:rsidP="00EB6100">
      <w:pPr>
        <w:spacing w:line="360" w:lineRule="auto"/>
        <w:rPr>
          <w:rFonts w:ascii="Times New Roman" w:hAnsi="Times New Roman" w:cs="Times New Roman"/>
          <w:sz w:val="24"/>
          <w:szCs w:val="24"/>
          <w:lang w:val="en-US"/>
        </w:rPr>
      </w:pPr>
      <w:commentRangeStart w:id="14"/>
      <w:r w:rsidRPr="00415E8A">
        <w:rPr>
          <w:rFonts w:ascii="Times New Roman" w:hAnsi="Times New Roman" w:cs="Times New Roman"/>
          <w:sz w:val="24"/>
          <w:szCs w:val="24"/>
          <w:lang w:val="en-US"/>
        </w:rPr>
        <w:t>Students, while equally likely to feel disturbed, are on average less sensitive than teachers</w:t>
      </w:r>
      <w:commentRangeEnd w:id="14"/>
      <w:r w:rsidR="00D46626">
        <w:rPr>
          <w:rStyle w:val="Kommentarzeichen"/>
        </w:rPr>
        <w:commentReference w:id="14"/>
      </w:r>
      <w:r w:rsidR="002624C4">
        <w:rPr>
          <w:rFonts w:ascii="Times New Roman" w:hAnsi="Times New Roman" w:cs="Times New Roman"/>
          <w:sz w:val="24"/>
          <w:szCs w:val="24"/>
          <w:lang w:val="en-US"/>
        </w:rPr>
        <w:t xml:space="preserve"> </w:t>
      </w:r>
      <w:commentRangeStart w:id="15"/>
      <w:r w:rsidR="002624C4">
        <w:rPr>
          <w:rFonts w:ascii="Times New Roman" w:hAnsi="Times New Roman" w:cs="Times New Roman"/>
          <w:sz w:val="24"/>
          <w:szCs w:val="24"/>
          <w:lang w:val="en-US"/>
        </w:rPr>
        <w:t>[</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@mantuoro2018].</w:t>
      </w:r>
      <w:r w:rsidRPr="00415E8A">
        <w:rPr>
          <w:rFonts w:ascii="Times New Roman" w:hAnsi="Times New Roman" w:cs="Times New Roman"/>
          <w:sz w:val="24"/>
          <w:szCs w:val="24"/>
          <w:lang w:val="en-US"/>
        </w:rPr>
        <w:t xml:space="preserve"> </w:t>
      </w:r>
      <w:commentRangeEnd w:id="15"/>
      <w:r w:rsidR="00C45ED5">
        <w:rPr>
          <w:rStyle w:val="Kommentarzeichen"/>
        </w:rPr>
        <w:commentReference w:id="15"/>
      </w:r>
      <w:r w:rsidRPr="00415E8A">
        <w:rPr>
          <w:rFonts w:ascii="Times New Roman" w:hAnsi="Times New Roman" w:cs="Times New Roman"/>
          <w:sz w:val="24"/>
          <w:szCs w:val="24"/>
          <w:lang w:val="en-US"/>
        </w:rPr>
        <w:t>The explanation for this lies in the linkage of actors' perceptual patterns to their roles</w:t>
      </w:r>
      <w:r w:rsidR="001A214C">
        <w:rPr>
          <w:rFonts w:ascii="Times New Roman" w:hAnsi="Times New Roman" w:cs="Times New Roman"/>
          <w:sz w:val="24"/>
          <w:szCs w:val="24"/>
          <w:lang w:val="en-US"/>
        </w:rPr>
        <w:t xml:space="preserve"> </w:t>
      </w:r>
      <w:commentRangeStart w:id="16"/>
      <w:r w:rsidR="001A214C">
        <w:rPr>
          <w:rFonts w:ascii="Times New Roman" w:hAnsi="Times New Roman" w:cs="Times New Roman"/>
          <w:sz w:val="24"/>
          <w:szCs w:val="24"/>
          <w:lang w:val="en-US"/>
        </w:rPr>
        <w:t>[@wettstein2016]</w:t>
      </w:r>
      <w:r w:rsidR="00E03C5A">
        <w:rPr>
          <w:rFonts w:ascii="Times New Roman" w:hAnsi="Times New Roman" w:cs="Times New Roman"/>
          <w:sz w:val="24"/>
          <w:szCs w:val="24"/>
          <w:lang w:val="en-US"/>
        </w:rPr>
        <w:t xml:space="preserve"> </w:t>
      </w:r>
      <w:commentRangeEnd w:id="16"/>
      <w:r w:rsidR="001A214C">
        <w:rPr>
          <w:rStyle w:val="Kommentarzeichen"/>
        </w:rPr>
        <w:commentReference w:id="16"/>
      </w:r>
      <w:r w:rsidR="00E03C5A">
        <w:rPr>
          <w:rFonts w:ascii="Times New Roman" w:hAnsi="Times New Roman" w:cs="Times New Roman"/>
          <w:sz w:val="24"/>
          <w:szCs w:val="24"/>
          <w:lang w:val="en-US"/>
        </w:rPr>
        <w:t xml:space="preserve">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xml:space="preserve">; </w:t>
      </w:r>
      <w:commentRangeStart w:id="17"/>
      <w:r w:rsidR="00715057">
        <w:rPr>
          <w:rFonts w:ascii="Times New Roman" w:hAnsi="Times New Roman" w:cs="Times New Roman"/>
          <w:sz w:val="24"/>
          <w:szCs w:val="24"/>
          <w:lang w:val="en-US"/>
        </w:rPr>
        <w:t>@</w:t>
      </w:r>
      <w:r w:rsidR="00B93F23">
        <w:rPr>
          <w:rFonts w:ascii="Times New Roman" w:hAnsi="Times New Roman" w:cs="Times New Roman"/>
          <w:sz w:val="24"/>
          <w:szCs w:val="24"/>
          <w:lang w:val="en-US"/>
        </w:rPr>
        <w:t>makarova2014]</w:t>
      </w:r>
      <w:r w:rsidRPr="00415E8A">
        <w:rPr>
          <w:rFonts w:ascii="Times New Roman" w:hAnsi="Times New Roman" w:cs="Times New Roman"/>
          <w:sz w:val="24"/>
          <w:szCs w:val="24"/>
          <w:lang w:val="en-US"/>
        </w:rPr>
        <w:t xml:space="preserve"> </w:t>
      </w:r>
      <w:commentRangeEnd w:id="17"/>
      <w:r w:rsidR="00DB2707">
        <w:rPr>
          <w:rStyle w:val="Kommentarzeichen"/>
        </w:rPr>
        <w:commentReference w:id="17"/>
      </w:r>
    </w:p>
    <w:p w14:paraId="6A8B0572" w14:textId="38F109E9"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Personal characteristics on the teacher's side can be a low sense of </w:t>
      </w:r>
      <w:commentRangeStart w:id="18"/>
      <w:r w:rsidRPr="00415E8A">
        <w:rPr>
          <w:rFonts w:ascii="Times New Roman" w:hAnsi="Times New Roman" w:cs="Times New Roman"/>
          <w:sz w:val="24"/>
          <w:szCs w:val="24"/>
          <w:lang w:val="en-US"/>
        </w:rPr>
        <w:t>self-efficacy</w:t>
      </w:r>
      <w:r w:rsidR="00806FBB">
        <w:rPr>
          <w:rFonts w:ascii="Times New Roman" w:hAnsi="Times New Roman" w:cs="Times New Roman"/>
          <w:sz w:val="24"/>
          <w:szCs w:val="24"/>
          <w:lang w:val="en-US"/>
        </w:rPr>
        <w:t xml:space="preserve"> </w:t>
      </w:r>
      <w:commentRangeEnd w:id="18"/>
      <w:r w:rsidR="00D46626">
        <w:rPr>
          <w:rStyle w:val="Kommentarzeichen"/>
        </w:rPr>
        <w:commentReference w:id="18"/>
      </w:r>
      <w:r w:rsidR="00806FBB">
        <w:rPr>
          <w:rFonts w:ascii="Times New Roman" w:hAnsi="Times New Roman" w:cs="Times New Roman"/>
          <w:sz w:val="24"/>
          <w:szCs w:val="24"/>
          <w:lang w:val="en-US"/>
        </w:rPr>
        <w:t xml:space="preserve">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commentRangeStart w:id="19"/>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xml:space="preserve">. </w:t>
      </w:r>
      <w:commentRangeEnd w:id="19"/>
      <w:r w:rsidR="00B86F5C">
        <w:rPr>
          <w:rStyle w:val="Kommentarzeichen"/>
        </w:rPr>
        <w:commentReference w:id="19"/>
      </w:r>
      <w:r w:rsidR="00E463D9">
        <w:rPr>
          <w:rFonts w:ascii="Times New Roman" w:hAnsi="Times New Roman" w:cs="Times New Roman"/>
          <w:sz w:val="24"/>
          <w:szCs w:val="24"/>
          <w:lang w:val="en-US"/>
        </w:rPr>
        <w:t>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pre-</w:t>
      </w:r>
      <w:commentRangeStart w:id="20"/>
      <w:r w:rsidR="0018559F">
        <w:rPr>
          <w:rFonts w:ascii="Times New Roman" w:hAnsi="Times New Roman" w:cs="Times New Roman"/>
          <w:sz w:val="24"/>
          <w:szCs w:val="24"/>
          <w:lang w:val="en-US"/>
        </w:rPr>
        <w:t xml:space="preserv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commentRangeEnd w:id="20"/>
      <w:r w:rsidR="00D84B77">
        <w:rPr>
          <w:rStyle w:val="Kommentarzeichen"/>
        </w:rPr>
        <w:commentReference w:id="20"/>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451DE856"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70BBEF2B" w14:textId="340C67DC" w:rsidR="007E6C4A" w:rsidRPr="007E6C4A" w:rsidRDefault="007E6C4A" w:rsidP="000A2B46">
      <w:pPr>
        <w:spacing w:line="360" w:lineRule="auto"/>
        <w:rPr>
          <w:rFonts w:ascii="Times New Roman" w:hAnsi="Times New Roman" w:cs="Times New Roman"/>
          <w:sz w:val="24"/>
          <w:szCs w:val="24"/>
        </w:rPr>
      </w:pPr>
      <w:r w:rsidRPr="007E6C4A">
        <w:rPr>
          <w:rFonts w:ascii="Times New Roman" w:hAnsi="Times New Roman" w:cs="Times New Roman"/>
          <w:sz w:val="24"/>
          <w:szCs w:val="24"/>
        </w:rPr>
        <w:t xml:space="preserve">Übergang </w:t>
      </w:r>
      <w:r w:rsidRPr="007E6C4A">
        <w:rPr>
          <w:rFonts w:ascii="Times New Roman" w:hAnsi="Times New Roman" w:cs="Times New Roman"/>
          <w:sz w:val="24"/>
          <w:szCs w:val="24"/>
          <w:lang w:val="en-US"/>
        </w:rPr>
        <w:sym w:font="Wingdings" w:char="F0E0"/>
      </w:r>
      <w:r w:rsidRPr="007E6C4A">
        <w:rPr>
          <w:rFonts w:ascii="Times New Roman" w:hAnsi="Times New Roman" w:cs="Times New Roman"/>
          <w:sz w:val="24"/>
          <w:szCs w:val="24"/>
        </w:rPr>
        <w:t xml:space="preserve"> Stress besonders hoch bei</w:t>
      </w:r>
      <w:r>
        <w:rPr>
          <w:rFonts w:ascii="Times New Roman" w:hAnsi="Times New Roman" w:cs="Times New Roman"/>
          <w:sz w:val="24"/>
          <w:szCs w:val="24"/>
        </w:rPr>
        <w:t xml:space="preserve"> </w:t>
      </w:r>
    </w:p>
    <w:p w14:paraId="3571915B" w14:textId="7CC079FB" w:rsidR="00705169" w:rsidRPr="00F80196" w:rsidRDefault="00F80196" w:rsidP="000A2B46">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 </w:t>
      </w:r>
      <w:r w:rsidRPr="00F80196">
        <w:rPr>
          <w:rFonts w:ascii="Times New Roman" w:hAnsi="Times New Roman" w:cs="Times New Roman"/>
          <w:sz w:val="24"/>
          <w:szCs w:val="24"/>
          <w:lang w:val="en-US"/>
        </w:rPr>
        <w:t>particular the</w:t>
      </w:r>
      <w:proofErr w:type="gramEnd"/>
      <w:r w:rsidRPr="00F80196">
        <w:rPr>
          <w:rFonts w:ascii="Times New Roman" w:hAnsi="Times New Roman" w:cs="Times New Roman"/>
          <w:sz w:val="24"/>
          <w:szCs w:val="24"/>
          <w:lang w:val="en-US"/>
        </w:rPr>
        <w:t xml:space="preserve"> first five years, between 40 and 50 percent of beginning teachers change careers for a variety of reasons </w:t>
      </w:r>
      <w:r>
        <w:rPr>
          <w:rFonts w:ascii="Times New Roman" w:hAnsi="Times New Roman" w:cs="Times New Roman"/>
          <w:sz w:val="24"/>
          <w:szCs w:val="24"/>
          <w:lang w:val="en-US"/>
        </w:rPr>
        <w:t>such as</w:t>
      </w:r>
      <w:r w:rsidRPr="00F80196">
        <w:rPr>
          <w:rFonts w:ascii="Times New Roman" w:hAnsi="Times New Roman" w:cs="Times New Roman"/>
          <w:sz w:val="24"/>
          <w:szCs w:val="24"/>
          <w:lang w:val="en-US"/>
        </w:rPr>
        <w:t xml:space="preserve"> disciplinary problems with students</w:t>
      </w:r>
      <w:r>
        <w:rPr>
          <w:rFonts w:ascii="Times New Roman" w:hAnsi="Times New Roman" w:cs="Times New Roman"/>
          <w:sz w:val="24"/>
          <w:szCs w:val="24"/>
          <w:lang w:val="en-US"/>
        </w:rPr>
        <w:t xml:space="preserve"> </w:t>
      </w:r>
      <w:r w:rsidR="006C166C">
        <w:rPr>
          <w:rFonts w:ascii="Times New Roman" w:hAnsi="Times New Roman" w:cs="Times New Roman"/>
          <w:sz w:val="24"/>
          <w:szCs w:val="24"/>
          <w:lang w:val="en-US"/>
        </w:rPr>
        <w:t>[@ingersoll2003]</w:t>
      </w:r>
      <w:r w:rsidR="007E6C4A">
        <w:rPr>
          <w:rFonts w:ascii="Times New Roman" w:hAnsi="Times New Roman" w:cs="Times New Roman"/>
          <w:sz w:val="24"/>
          <w:szCs w:val="24"/>
          <w:lang w:val="en-US"/>
        </w:rPr>
        <w:t xml:space="preserve">.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1655DA9F"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w:t>
      </w:r>
      <w:r w:rsidR="005B3F0F">
        <w:rPr>
          <w:rFonts w:ascii="Times New Roman" w:hAnsi="Times New Roman" w:cs="Times New Roman"/>
          <w:sz w:val="24"/>
          <w:szCs w:val="24"/>
          <w:lang w:val="en-US"/>
        </w:rPr>
        <w:t xml:space="preserve"> @wettstein2021</w:t>
      </w:r>
      <w:r>
        <w:rPr>
          <w:rFonts w:ascii="Times New Roman" w:hAnsi="Times New Roman" w:cs="Times New Roman"/>
          <w:sz w:val="24"/>
          <w:szCs w:val="24"/>
          <w:lang w:val="en-US"/>
        </w:rPr>
        <w:t xml:space="preserve">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xml:space="preserve">” </w:t>
      </w:r>
      <w:commentRangeStart w:id="21"/>
      <w:r w:rsidR="004A19BC">
        <w:rPr>
          <w:rFonts w:ascii="Times New Roman" w:hAnsi="Times New Roman" w:cs="Times New Roman"/>
          <w:sz w:val="24"/>
          <w:szCs w:val="24"/>
          <w:lang w:val="en-US"/>
        </w:rPr>
        <w:t>[p.</w:t>
      </w:r>
      <w:r w:rsidR="00BB5C41">
        <w:rPr>
          <w:rFonts w:ascii="Times New Roman" w:hAnsi="Times New Roman" w:cs="Times New Roman"/>
          <w:sz w:val="24"/>
          <w:szCs w:val="24"/>
          <w:lang w:val="en-US"/>
        </w:rPr>
        <w:t xml:space="preserve">3]. </w:t>
      </w:r>
      <w:commentRangeEnd w:id="21"/>
      <w:r w:rsidR="0085111A">
        <w:rPr>
          <w:rStyle w:val="Kommentarzeichen"/>
        </w:rPr>
        <w:commentReference w:id="21"/>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e Heidemeyer" w:date="2024-01-21T17:01:00Z" w:initials="AH">
    <w:p w14:paraId="76763E63" w14:textId="77777777" w:rsidR="008D5F7E" w:rsidRDefault="008D5F7E" w:rsidP="008D5F7E">
      <w:pPr>
        <w:pStyle w:val="Kommentartext"/>
      </w:pPr>
      <w:r>
        <w:rPr>
          <w:rStyle w:val="Kommentarzeichen"/>
        </w:rPr>
        <w:annotationRef/>
      </w:r>
      <w:r>
        <w:t xml:space="preserve">Vlt eher: how teachers evaluate the demands placed on them depends on the interaction between their characteristics and their perception of the demands? </w:t>
      </w:r>
    </w:p>
  </w:comment>
  <w:comment w:id="2" w:author="Anne Heidemeyer" w:date="2024-01-21T17:03:00Z" w:initials="AH">
    <w:p w14:paraId="0A67E674" w14:textId="77777777" w:rsidR="008D5F7E" w:rsidRDefault="008D5F7E" w:rsidP="008D5F7E">
      <w:pPr>
        <w:pStyle w:val="Kommentartext"/>
      </w:pPr>
      <w:r>
        <w:rPr>
          <w:rStyle w:val="Kommentarzeichen"/>
        </w:rPr>
        <w:annotationRef/>
      </w:r>
      <w:r>
        <w:t>Einschub für besseres Verständnis evtl durch Kommas abgrenzen</w:t>
      </w:r>
    </w:p>
  </w:comment>
  <w:comment w:id="3" w:author="Anne Heidemeyer" w:date="2024-01-21T18:13:00Z" w:initials="AH">
    <w:p w14:paraId="65D99F35" w14:textId="77777777" w:rsidR="0016044B" w:rsidRDefault="0016044B" w:rsidP="0016044B">
      <w:pPr>
        <w:pStyle w:val="Kommentartext"/>
      </w:pPr>
      <w:r>
        <w:rPr>
          <w:rStyle w:val="Kommentarzeichen"/>
        </w:rPr>
        <w:annotationRef/>
      </w:r>
      <w:r>
        <w:t xml:space="preserve">Finde da nur etwas zur Herzrate bei Nagern, aber die Studie ist wohl kaum gemeint </w:t>
      </w:r>
    </w:p>
  </w:comment>
  <w:comment w:id="4" w:author="Anne Heidemeyer" w:date="2024-01-21T19:32:00Z" w:initials="AH">
    <w:p w14:paraId="5760E572" w14:textId="77777777" w:rsidR="003350D9" w:rsidRDefault="003350D9" w:rsidP="003350D9">
      <w:pPr>
        <w:pStyle w:val="Kommentartext"/>
      </w:pPr>
      <w:r>
        <w:rPr>
          <w:rStyle w:val="Kommentarzeichen"/>
        </w:rPr>
        <w:annotationRef/>
      </w:r>
      <w:r>
        <w:t>Habe noch eine Studie von 2016 gefunden, die eventuell die richtige ist :) liegt bei Zotero</w:t>
      </w:r>
    </w:p>
  </w:comment>
  <w:comment w:id="5" w:author="Frederik Preuß" w:date="2024-01-22T10:38:00Z" w:initials="FP">
    <w:p w14:paraId="14A650BC" w14:textId="77777777" w:rsidR="00A82513" w:rsidRDefault="00A82513" w:rsidP="00A82513">
      <w:pPr>
        <w:pStyle w:val="Kommentartext"/>
      </w:pPr>
      <w:r>
        <w:rPr>
          <w:rStyle w:val="Kommentarzeichen"/>
        </w:rPr>
        <w:annotationRef/>
      </w:r>
      <w:r>
        <w:t xml:space="preserve">War mal </w:t>
      </w:r>
      <w:r>
        <w:rPr>
          <w:lang w:val="en-US"/>
        </w:rPr>
        <w:t>(Noble et. al, 2017). Sollte also nochmal verifiziert werden</w:t>
      </w:r>
    </w:p>
  </w:comment>
  <w:comment w:id="6" w:author="Frederik Preuß" w:date="2024-01-21T14:06:00Z" w:initials="FP">
    <w:p w14:paraId="063EFD24" w14:textId="3B45898F" w:rsidR="00CD3E86" w:rsidRDefault="00CD3E86" w:rsidP="00CD3E86">
      <w:pPr>
        <w:pStyle w:val="Kommentartext"/>
      </w:pPr>
      <w:r>
        <w:rPr>
          <w:rStyle w:val="Kommentarzeichen"/>
        </w:rPr>
        <w:annotationRef/>
      </w:r>
      <w:r>
        <w:t xml:space="preserve">War mal </w:t>
      </w:r>
      <w:r>
        <w:rPr>
          <w:lang w:val="en-US"/>
        </w:rPr>
        <w:t>(Custodis et al., 2014). Ich hoffe ich hab das richtige Paper rausgesucht.</w:t>
      </w:r>
    </w:p>
  </w:comment>
  <w:comment w:id="7"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8" w:author="Anne Heidemeyer" w:date="2024-01-21T17:33:00Z" w:initials="AH">
    <w:p w14:paraId="15F5F9B3" w14:textId="77777777" w:rsidR="00D46626" w:rsidRDefault="00D46626" w:rsidP="00D46626">
      <w:pPr>
        <w:pStyle w:val="Kommentartext"/>
      </w:pPr>
      <w:r>
        <w:rPr>
          <w:rStyle w:val="Kommentarzeichen"/>
        </w:rPr>
        <w:annotationRef/>
      </w:r>
      <w:r>
        <w:t>Eindeutiger: with an increasing/a higher number of social contacts,…</w:t>
      </w:r>
    </w:p>
  </w:comment>
  <w:comment w:id="9" w:author="Mandy Klatt" w:date="2024-01-17T18:51:00Z" w:initials="MK">
    <w:p w14:paraId="05ACD1D3" w14:textId="7A5C2C67" w:rsidR="001406E1" w:rsidRDefault="001406E1">
      <w:pPr>
        <w:pStyle w:val="Kommentartext"/>
      </w:pPr>
      <w:r>
        <w:rPr>
          <w:rStyle w:val="Kommentarzeichen"/>
        </w:rPr>
        <w:annotationRef/>
      </w:r>
      <w:r>
        <w:t>Geht das??</w:t>
      </w:r>
    </w:p>
  </w:comment>
  <w:comment w:id="10" w:author="Frederik Preuß" w:date="2024-01-22T10:43:00Z" w:initials="FP">
    <w:p w14:paraId="3B192B98" w14:textId="77777777" w:rsidR="00996A2E" w:rsidRDefault="00996A2E" w:rsidP="00996A2E">
      <w:pPr>
        <w:pStyle w:val="Kommentartext"/>
      </w:pPr>
      <w:r>
        <w:rPr>
          <w:rStyle w:val="Kommentarzeichen"/>
        </w:rPr>
        <w:annotationRef/>
      </w:r>
      <w:r>
        <w:t>Sollte denke ich funktionieren. Falls nicht, findet sich ein work around ☺️</w:t>
      </w:r>
    </w:p>
  </w:comment>
  <w:comment w:id="11" w:author="Frederik Preuß" w:date="2024-01-22T10:49:00Z" w:initials="FP">
    <w:p w14:paraId="44F8EB76" w14:textId="77777777" w:rsidR="008150A0" w:rsidRDefault="008150A0" w:rsidP="008150A0">
      <w:pPr>
        <w:pStyle w:val="Kommentartext"/>
      </w:pPr>
      <w:r>
        <w:rPr>
          <w:rStyle w:val="Kommentarzeichen"/>
        </w:rPr>
        <w:annotationRef/>
      </w:r>
      <w:r>
        <w:t>Auch ehemals noble et al. 2017</w:t>
      </w:r>
    </w:p>
  </w:comment>
  <w:comment w:id="12" w:author="Frederik Preuß" w:date="2024-01-22T10:53:00Z" w:initials="FP">
    <w:p w14:paraId="3BBF93AF" w14:textId="77777777" w:rsidR="008D2F88" w:rsidRDefault="008D2F88" w:rsidP="008D2F88">
      <w:pPr>
        <w:pStyle w:val="Kommentartext"/>
      </w:pPr>
      <w:r>
        <w:rPr>
          <w:rStyle w:val="Kommentarzeichen"/>
        </w:rPr>
        <w:annotationRef/>
      </w:r>
      <w:r>
        <w:t>Sollte auch nochmal verifiziert werden</w:t>
      </w:r>
    </w:p>
  </w:comment>
  <w:comment w:id="13" w:author="Frederik Preuß" w:date="2024-01-22T10:55:00Z" w:initials="FP">
    <w:p w14:paraId="2979DEE9" w14:textId="77777777" w:rsidR="007711DE" w:rsidRDefault="007711DE" w:rsidP="007711DE">
      <w:pPr>
        <w:pStyle w:val="Kommentartext"/>
      </w:pPr>
      <w:r>
        <w:rPr>
          <w:rStyle w:val="Kommentarzeichen"/>
        </w:rPr>
        <w:annotationRef/>
      </w:r>
      <w:r>
        <w:t>Auch bitte nochmal schauen ob das die richtige ist</w:t>
      </w:r>
    </w:p>
  </w:comment>
  <w:comment w:id="14" w:author="Anne Heidemeyer" w:date="2024-01-21T17:36:00Z" w:initials="AH">
    <w:p w14:paraId="3D205957" w14:textId="4B942520" w:rsidR="00D46626" w:rsidRDefault="00D46626" w:rsidP="00D46626">
      <w:pPr>
        <w:pStyle w:val="Kommentartext"/>
      </w:pPr>
      <w:r>
        <w:rPr>
          <w:rStyle w:val="Kommentarzeichen"/>
        </w:rPr>
        <w:annotationRef/>
      </w:r>
      <w:r>
        <w:t>Ich weiß nicht so ganz, wie das gemeint ist :)</w:t>
      </w:r>
    </w:p>
  </w:comment>
  <w:comment w:id="15" w:author="Frederik Preuß" w:date="2024-01-22T11:22:00Z" w:initials="FP">
    <w:p w14:paraId="1EEB0F91" w14:textId="77777777" w:rsidR="00C45ED5" w:rsidRDefault="00C45ED5" w:rsidP="00C45ED5">
      <w:pPr>
        <w:pStyle w:val="Kommentartext"/>
      </w:pPr>
      <w:r>
        <w:rPr>
          <w:rStyle w:val="Kommentarzeichen"/>
        </w:rPr>
        <w:annotationRef/>
      </w:r>
      <w:r>
        <w:t>War mal Mantuaro &amp; Lewis 2015. Von daher bitte auch nochmal prüfen</w:t>
      </w:r>
    </w:p>
  </w:comment>
  <w:comment w:id="16" w:author="Frederik Preuß" w:date="2024-01-22T11:20:00Z" w:initials="FP">
    <w:p w14:paraId="66C95F33" w14:textId="5D1749D1" w:rsidR="001A214C" w:rsidRDefault="001A214C" w:rsidP="001A214C">
      <w:pPr>
        <w:pStyle w:val="Kommentartext"/>
      </w:pPr>
      <w:r>
        <w:rPr>
          <w:rStyle w:val="Kommentarzeichen"/>
        </w:rPr>
        <w:annotationRef/>
      </w:r>
      <w:r>
        <w:t>Bitte auch nochmal verifizieren</w:t>
      </w:r>
    </w:p>
  </w:comment>
  <w:comment w:id="17" w:author="Frederik Preuß" w:date="2024-01-22T11:15:00Z" w:initials="FP">
    <w:p w14:paraId="048F4E48" w14:textId="534670FA" w:rsidR="00DB2707" w:rsidRDefault="00DB2707" w:rsidP="00DB2707">
      <w:pPr>
        <w:pStyle w:val="Kommentartext"/>
      </w:pPr>
      <w:r>
        <w:rPr>
          <w:rStyle w:val="Kommentarzeichen"/>
        </w:rPr>
        <w:annotationRef/>
      </w:r>
      <w:r>
        <w:t>Dazu gibt’s zweit Einträge im bib-File, die beide von 2014 sind. Da müsste geschaut werden, welche die richtige ist und dann die bezeichnung angepasst werden, damit das @... Matcht ☺️</w:t>
      </w:r>
    </w:p>
  </w:comment>
  <w:comment w:id="18" w:author="Anne Heidemeyer" w:date="2024-01-21T17:38:00Z" w:initials="AH">
    <w:p w14:paraId="516658E8" w14:textId="722F3F1F" w:rsidR="00D46626" w:rsidRDefault="00D46626" w:rsidP="00D46626">
      <w:pPr>
        <w:pStyle w:val="Kommentartext"/>
      </w:pPr>
      <w:r>
        <w:rPr>
          <w:rStyle w:val="Kommentarzeichen"/>
        </w:rPr>
        <w:annotationRef/>
      </w:r>
      <w:r>
        <w:t>Dahinter ein Komma</w:t>
      </w:r>
    </w:p>
  </w:comment>
  <w:comment w:id="19" w:author="Anne Heidemeyer" w:date="2024-01-21T17:48:00Z" w:initials="AH">
    <w:p w14:paraId="4DB38871" w14:textId="77777777" w:rsidR="00B86F5C" w:rsidRDefault="00B86F5C" w:rsidP="00B86F5C">
      <w:pPr>
        <w:pStyle w:val="Kommentartext"/>
      </w:pPr>
      <w:r>
        <w:rPr>
          <w:rStyle w:val="Kommentarzeichen"/>
        </w:rPr>
        <w:annotationRef/>
      </w:r>
      <w:r>
        <w:t xml:space="preserve">Geht es um „teaching self-efficacy“ als Konstrukt oder um das Beibringen von self-efficacy? </w:t>
      </w:r>
    </w:p>
    <w:p w14:paraId="64CCBDEF" w14:textId="77777777" w:rsidR="00B86F5C" w:rsidRDefault="00B86F5C" w:rsidP="00B86F5C">
      <w:pPr>
        <w:pStyle w:val="Kommentartext"/>
      </w:pPr>
      <w:r>
        <w:t>Falls es um zweites geht, bezieht sich die Definition gerade auf „teaching self-efficacy in classroom management“ und nicht nur auf „self-efficacy in classroom management“ :)</w:t>
      </w:r>
    </w:p>
  </w:comment>
  <w:comment w:id="20" w:author="Anne Heidemeyer" w:date="2024-01-21T18:02:00Z" w:initials="AH">
    <w:p w14:paraId="5583E477" w14:textId="77777777" w:rsidR="00D84B77" w:rsidRDefault="00D84B77" w:rsidP="00D84B77">
      <w:pPr>
        <w:pStyle w:val="Kommentartext"/>
      </w:pPr>
      <w:r>
        <w:rPr>
          <w:rStyle w:val="Kommentarzeichen"/>
        </w:rPr>
        <w:annotationRef/>
      </w:r>
      <w:r>
        <w:t>Vlt eher: pre-service teachers‘ classroom management self-efficacy (skills) on stress responses?</w:t>
      </w:r>
    </w:p>
  </w:comment>
  <w:comment w:id="21" w:author="Frederik Preuß" w:date="2024-01-22T11:26:00Z" w:initials="FP">
    <w:p w14:paraId="40000F47" w14:textId="77777777" w:rsidR="0085111A" w:rsidRDefault="0085111A" w:rsidP="0085111A">
      <w:pPr>
        <w:pStyle w:val="Kommentartext"/>
      </w:pPr>
      <w:r>
        <w:rPr>
          <w:rStyle w:val="Kommentarzeichen"/>
        </w:rPr>
        <w:annotationRef/>
      </w:r>
      <w:r>
        <w:t>Ich glaube solche Sachen müssten dann händisch in runde Klammern gesetzt werden. Vielleicht lieg ich da aber auch falsch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63E63" w15:done="0"/>
  <w15:commentEx w15:paraId="0A67E674" w15:done="0"/>
  <w15:commentEx w15:paraId="65D99F35" w15:done="0"/>
  <w15:commentEx w15:paraId="5760E572" w15:paraIdParent="65D99F35" w15:done="0"/>
  <w15:commentEx w15:paraId="14A650BC" w15:paraIdParent="65D99F35" w15:done="0"/>
  <w15:commentEx w15:paraId="063EFD24" w15:done="0"/>
  <w15:commentEx w15:paraId="630B8267" w15:done="0"/>
  <w15:commentEx w15:paraId="15F5F9B3" w15:done="0"/>
  <w15:commentEx w15:paraId="05ACD1D3" w15:done="0"/>
  <w15:commentEx w15:paraId="3B192B98" w15:paraIdParent="05ACD1D3" w15:done="0"/>
  <w15:commentEx w15:paraId="44F8EB76" w15:done="0"/>
  <w15:commentEx w15:paraId="3BBF93AF" w15:done="0"/>
  <w15:commentEx w15:paraId="2979DEE9" w15:done="0"/>
  <w15:commentEx w15:paraId="3D205957" w15:done="0"/>
  <w15:commentEx w15:paraId="1EEB0F91" w15:done="0"/>
  <w15:commentEx w15:paraId="66C95F33" w15:done="0"/>
  <w15:commentEx w15:paraId="048F4E48" w15:done="0"/>
  <w15:commentEx w15:paraId="516658E8" w15:done="0"/>
  <w15:commentEx w15:paraId="64CCBDEF" w15:done="0"/>
  <w15:commentEx w15:paraId="5583E477" w15:done="0"/>
  <w15:commentEx w15:paraId="40000F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AF5809" w16cex:dateUtc="2024-01-21T16:01:00Z"/>
  <w16cex:commentExtensible w16cex:durableId="7F97BF71" w16cex:dateUtc="2024-01-21T16:03:00Z"/>
  <w16cex:commentExtensible w16cex:durableId="0C17B481" w16cex:dateUtc="2024-01-21T17:13:00Z"/>
  <w16cex:commentExtensible w16cex:durableId="34F38080" w16cex:dateUtc="2024-01-21T18:32:00Z"/>
  <w16cex:commentExtensible w16cex:durableId="54446C02" w16cex:dateUtc="2024-01-22T09:38:00Z"/>
  <w16cex:commentExtensible w16cex:durableId="17E94628" w16cex:dateUtc="2024-01-21T13:06:00Z"/>
  <w16cex:commentExtensible w16cex:durableId="29527DD1" w16cex:dateUtc="2024-01-17T15:24:00Z"/>
  <w16cex:commentExtensible w16cex:durableId="14E0F6F8" w16cex:dateUtc="2024-01-21T16:33:00Z"/>
  <w16cex:commentExtensible w16cex:durableId="2952A038" w16cex:dateUtc="2024-01-17T17:51:00Z"/>
  <w16cex:commentExtensible w16cex:durableId="207807E9" w16cex:dateUtc="2024-01-22T09:43:00Z"/>
  <w16cex:commentExtensible w16cex:durableId="4E943C0D" w16cex:dateUtc="2024-01-22T09:49:00Z"/>
  <w16cex:commentExtensible w16cex:durableId="520B2F3F" w16cex:dateUtc="2024-01-22T09:53:00Z"/>
  <w16cex:commentExtensible w16cex:durableId="6F8935F2" w16cex:dateUtc="2024-01-22T09:55:00Z"/>
  <w16cex:commentExtensible w16cex:durableId="0E0AD03B" w16cex:dateUtc="2024-01-21T16:36:00Z"/>
  <w16cex:commentExtensible w16cex:durableId="5DB0B79E" w16cex:dateUtc="2024-01-22T10:22:00Z"/>
  <w16cex:commentExtensible w16cex:durableId="75A9E145" w16cex:dateUtc="2024-01-22T10:20:00Z"/>
  <w16cex:commentExtensible w16cex:durableId="34EEAB4B" w16cex:dateUtc="2024-01-22T10:15:00Z"/>
  <w16cex:commentExtensible w16cex:durableId="3D7E4371" w16cex:dateUtc="2024-01-21T16:38:00Z"/>
  <w16cex:commentExtensible w16cex:durableId="46A0606A" w16cex:dateUtc="2024-01-21T16:48:00Z"/>
  <w16cex:commentExtensible w16cex:durableId="4E0A3E45" w16cex:dateUtc="2024-01-21T17:02:00Z"/>
  <w16cex:commentExtensible w16cex:durableId="7C68F212" w16cex:dateUtc="2024-01-22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63E63" w16cid:durableId="30AF5809"/>
  <w16cid:commentId w16cid:paraId="0A67E674" w16cid:durableId="7F97BF71"/>
  <w16cid:commentId w16cid:paraId="65D99F35" w16cid:durableId="0C17B481"/>
  <w16cid:commentId w16cid:paraId="5760E572" w16cid:durableId="34F38080"/>
  <w16cid:commentId w16cid:paraId="14A650BC" w16cid:durableId="54446C02"/>
  <w16cid:commentId w16cid:paraId="063EFD24" w16cid:durableId="17E94628"/>
  <w16cid:commentId w16cid:paraId="630B8267" w16cid:durableId="29527DD1"/>
  <w16cid:commentId w16cid:paraId="15F5F9B3" w16cid:durableId="14E0F6F8"/>
  <w16cid:commentId w16cid:paraId="05ACD1D3" w16cid:durableId="2952A038"/>
  <w16cid:commentId w16cid:paraId="3B192B98" w16cid:durableId="207807E9"/>
  <w16cid:commentId w16cid:paraId="44F8EB76" w16cid:durableId="4E943C0D"/>
  <w16cid:commentId w16cid:paraId="3BBF93AF" w16cid:durableId="520B2F3F"/>
  <w16cid:commentId w16cid:paraId="2979DEE9" w16cid:durableId="6F8935F2"/>
  <w16cid:commentId w16cid:paraId="3D205957" w16cid:durableId="0E0AD03B"/>
  <w16cid:commentId w16cid:paraId="1EEB0F91" w16cid:durableId="5DB0B79E"/>
  <w16cid:commentId w16cid:paraId="66C95F33" w16cid:durableId="75A9E145"/>
  <w16cid:commentId w16cid:paraId="048F4E48" w16cid:durableId="34EEAB4B"/>
  <w16cid:commentId w16cid:paraId="516658E8" w16cid:durableId="3D7E4371"/>
  <w16cid:commentId w16cid:paraId="64CCBDEF" w16cid:durableId="46A0606A"/>
  <w16cid:commentId w16cid:paraId="5583E477" w16cid:durableId="4E0A3E45"/>
  <w16cid:commentId w16cid:paraId="40000F47" w16cid:durableId="7C68F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C1E4" w14:textId="77777777" w:rsidR="00924F13" w:rsidRDefault="00924F13" w:rsidP="006C02A6">
      <w:pPr>
        <w:spacing w:after="0" w:line="240" w:lineRule="auto"/>
      </w:pPr>
      <w:r>
        <w:separator/>
      </w:r>
    </w:p>
  </w:endnote>
  <w:endnote w:type="continuationSeparator" w:id="0">
    <w:p w14:paraId="074CDFDE" w14:textId="77777777" w:rsidR="00924F13" w:rsidRDefault="00924F1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EC4D" w14:textId="77777777" w:rsidR="00924F13" w:rsidRDefault="00924F13" w:rsidP="006C02A6">
      <w:pPr>
        <w:spacing w:after="0" w:line="240" w:lineRule="auto"/>
      </w:pPr>
      <w:r>
        <w:separator/>
      </w:r>
    </w:p>
  </w:footnote>
  <w:footnote w:type="continuationSeparator" w:id="0">
    <w:p w14:paraId="5E0EFCED" w14:textId="77777777" w:rsidR="00924F13" w:rsidRDefault="00924F13"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w:t>
      </w:r>
      <w:proofErr w:type="gramStart"/>
      <w:r w:rsidRPr="00F31B06">
        <w:rPr>
          <w:rFonts w:ascii="Times New Roman" w:hAnsi="Times New Roman" w:cs="Times New Roman"/>
          <w:lang w:val="en-US"/>
        </w:rPr>
        <w:t>in the course of</w:t>
      </w:r>
      <w:proofErr w:type="gramEnd"/>
      <w:r w:rsidRPr="00F31B06">
        <w:rPr>
          <w:rFonts w:ascii="Times New Roman" w:hAnsi="Times New Roman" w:cs="Times New Roman"/>
          <w:lang w:val="en-US"/>
        </w:rPr>
        <w:t xml:space="preserve">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50432853">
    <w:abstractNumId w:val="3"/>
  </w:num>
  <w:num w:numId="2" w16cid:durableId="658844013">
    <w:abstractNumId w:val="2"/>
  </w:num>
  <w:num w:numId="3" w16cid:durableId="311913222">
    <w:abstractNumId w:val="0"/>
  </w:num>
  <w:num w:numId="4" w16cid:durableId="7614128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Heidemeyer">
    <w15:presenceInfo w15:providerId="Windows Live" w15:userId="9ea9cf3db7597377"/>
  </w15:person>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06A4"/>
    <w:rsid w:val="001017CB"/>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044B"/>
    <w:rsid w:val="001612B5"/>
    <w:rsid w:val="00163362"/>
    <w:rsid w:val="00163D34"/>
    <w:rsid w:val="00165A12"/>
    <w:rsid w:val="00184DA9"/>
    <w:rsid w:val="0018559F"/>
    <w:rsid w:val="001867EB"/>
    <w:rsid w:val="00191484"/>
    <w:rsid w:val="00194EC6"/>
    <w:rsid w:val="00197C8B"/>
    <w:rsid w:val="001A1DEA"/>
    <w:rsid w:val="001A214C"/>
    <w:rsid w:val="001A46ED"/>
    <w:rsid w:val="001A5B63"/>
    <w:rsid w:val="001A6CEE"/>
    <w:rsid w:val="001A7B8A"/>
    <w:rsid w:val="001B0C00"/>
    <w:rsid w:val="001B15CF"/>
    <w:rsid w:val="001B3602"/>
    <w:rsid w:val="001B5E30"/>
    <w:rsid w:val="001B610D"/>
    <w:rsid w:val="001B6C3A"/>
    <w:rsid w:val="001C0471"/>
    <w:rsid w:val="001C0E77"/>
    <w:rsid w:val="001C225D"/>
    <w:rsid w:val="001D05F5"/>
    <w:rsid w:val="001D1AD8"/>
    <w:rsid w:val="001D1FED"/>
    <w:rsid w:val="001D7320"/>
    <w:rsid w:val="001E36BA"/>
    <w:rsid w:val="001F48F8"/>
    <w:rsid w:val="001F5FF2"/>
    <w:rsid w:val="001F72EA"/>
    <w:rsid w:val="001F76DE"/>
    <w:rsid w:val="00210492"/>
    <w:rsid w:val="002112E9"/>
    <w:rsid w:val="002125CE"/>
    <w:rsid w:val="00217B12"/>
    <w:rsid w:val="00222660"/>
    <w:rsid w:val="00223133"/>
    <w:rsid w:val="00234B31"/>
    <w:rsid w:val="00235B3D"/>
    <w:rsid w:val="0024027E"/>
    <w:rsid w:val="00240C6D"/>
    <w:rsid w:val="00246B3A"/>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4DF5"/>
    <w:rsid w:val="00375632"/>
    <w:rsid w:val="00377BF2"/>
    <w:rsid w:val="003803A2"/>
    <w:rsid w:val="00382D4F"/>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32BB"/>
    <w:rsid w:val="00516F16"/>
    <w:rsid w:val="00517BD6"/>
    <w:rsid w:val="00524739"/>
    <w:rsid w:val="005258F2"/>
    <w:rsid w:val="00531813"/>
    <w:rsid w:val="005357FD"/>
    <w:rsid w:val="00536D09"/>
    <w:rsid w:val="005427B1"/>
    <w:rsid w:val="00543AAB"/>
    <w:rsid w:val="00550AE0"/>
    <w:rsid w:val="00552105"/>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3F0F"/>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140E"/>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7A7D"/>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057"/>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1DE"/>
    <w:rsid w:val="00771B4B"/>
    <w:rsid w:val="00774EF7"/>
    <w:rsid w:val="00775355"/>
    <w:rsid w:val="007772E6"/>
    <w:rsid w:val="0078560B"/>
    <w:rsid w:val="007935D4"/>
    <w:rsid w:val="00795E0D"/>
    <w:rsid w:val="007A09EB"/>
    <w:rsid w:val="007A226C"/>
    <w:rsid w:val="007A22EB"/>
    <w:rsid w:val="007A7F91"/>
    <w:rsid w:val="007B048B"/>
    <w:rsid w:val="007B1648"/>
    <w:rsid w:val="007C5F7D"/>
    <w:rsid w:val="007D7B9C"/>
    <w:rsid w:val="007E6C4A"/>
    <w:rsid w:val="007F2CB6"/>
    <w:rsid w:val="007F5911"/>
    <w:rsid w:val="007F613A"/>
    <w:rsid w:val="007F76A4"/>
    <w:rsid w:val="008012E2"/>
    <w:rsid w:val="008030CB"/>
    <w:rsid w:val="00806FBB"/>
    <w:rsid w:val="00810B0A"/>
    <w:rsid w:val="00812266"/>
    <w:rsid w:val="00814F54"/>
    <w:rsid w:val="008150A0"/>
    <w:rsid w:val="00815F7C"/>
    <w:rsid w:val="008171A1"/>
    <w:rsid w:val="00827931"/>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2F88"/>
    <w:rsid w:val="008D30F1"/>
    <w:rsid w:val="008D32A8"/>
    <w:rsid w:val="008D4FBB"/>
    <w:rsid w:val="008D5F7E"/>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23BC"/>
    <w:rsid w:val="00914889"/>
    <w:rsid w:val="00917D98"/>
    <w:rsid w:val="0092057D"/>
    <w:rsid w:val="00923305"/>
    <w:rsid w:val="00924F13"/>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8775C"/>
    <w:rsid w:val="0099254B"/>
    <w:rsid w:val="00996A2E"/>
    <w:rsid w:val="009970BA"/>
    <w:rsid w:val="009973DD"/>
    <w:rsid w:val="009A1ACF"/>
    <w:rsid w:val="009A3B53"/>
    <w:rsid w:val="009A3C32"/>
    <w:rsid w:val="009B059A"/>
    <w:rsid w:val="009B44F6"/>
    <w:rsid w:val="009C007B"/>
    <w:rsid w:val="009C18A0"/>
    <w:rsid w:val="009C5AFC"/>
    <w:rsid w:val="009D1098"/>
    <w:rsid w:val="009D7FCE"/>
    <w:rsid w:val="009E18ED"/>
    <w:rsid w:val="009F339B"/>
    <w:rsid w:val="009F6BD8"/>
    <w:rsid w:val="00A001B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3E43"/>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754E2"/>
    <w:rsid w:val="00B822B5"/>
    <w:rsid w:val="00B84220"/>
    <w:rsid w:val="00B852E0"/>
    <w:rsid w:val="00B8545F"/>
    <w:rsid w:val="00B86328"/>
    <w:rsid w:val="00B86F5C"/>
    <w:rsid w:val="00B87CD9"/>
    <w:rsid w:val="00B93C30"/>
    <w:rsid w:val="00B93F23"/>
    <w:rsid w:val="00BA08CA"/>
    <w:rsid w:val="00BA0C0B"/>
    <w:rsid w:val="00BA3116"/>
    <w:rsid w:val="00BA3DAD"/>
    <w:rsid w:val="00BA52E2"/>
    <w:rsid w:val="00BA63B6"/>
    <w:rsid w:val="00BA6647"/>
    <w:rsid w:val="00BA6A92"/>
    <w:rsid w:val="00BB3DB4"/>
    <w:rsid w:val="00BB5C41"/>
    <w:rsid w:val="00BB6D02"/>
    <w:rsid w:val="00BC06CE"/>
    <w:rsid w:val="00BD1DD8"/>
    <w:rsid w:val="00BD5162"/>
    <w:rsid w:val="00BD7EE5"/>
    <w:rsid w:val="00BE5BAE"/>
    <w:rsid w:val="00BE7D9E"/>
    <w:rsid w:val="00BF7824"/>
    <w:rsid w:val="00C001B9"/>
    <w:rsid w:val="00C01172"/>
    <w:rsid w:val="00C011D1"/>
    <w:rsid w:val="00C1023A"/>
    <w:rsid w:val="00C11EFB"/>
    <w:rsid w:val="00C123BD"/>
    <w:rsid w:val="00C136BD"/>
    <w:rsid w:val="00C16451"/>
    <w:rsid w:val="00C170CA"/>
    <w:rsid w:val="00C17FB8"/>
    <w:rsid w:val="00C22B33"/>
    <w:rsid w:val="00C23DC7"/>
    <w:rsid w:val="00C25278"/>
    <w:rsid w:val="00C274ED"/>
    <w:rsid w:val="00C30882"/>
    <w:rsid w:val="00C33770"/>
    <w:rsid w:val="00C35354"/>
    <w:rsid w:val="00C45401"/>
    <w:rsid w:val="00C45C5E"/>
    <w:rsid w:val="00C45ED5"/>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3E86"/>
    <w:rsid w:val="00CD5507"/>
    <w:rsid w:val="00CE1FCA"/>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6AC4"/>
    <w:rsid w:val="00D67A9F"/>
    <w:rsid w:val="00D67C7C"/>
    <w:rsid w:val="00D84B77"/>
    <w:rsid w:val="00D854A3"/>
    <w:rsid w:val="00D902F1"/>
    <w:rsid w:val="00D919A2"/>
    <w:rsid w:val="00D939CE"/>
    <w:rsid w:val="00DA2277"/>
    <w:rsid w:val="00DA72CF"/>
    <w:rsid w:val="00DB120C"/>
    <w:rsid w:val="00DB2707"/>
    <w:rsid w:val="00DB34AD"/>
    <w:rsid w:val="00DB568E"/>
    <w:rsid w:val="00DB6707"/>
    <w:rsid w:val="00DB7BAD"/>
    <w:rsid w:val="00DD01EF"/>
    <w:rsid w:val="00DD1345"/>
    <w:rsid w:val="00DE1896"/>
    <w:rsid w:val="00DE2965"/>
    <w:rsid w:val="00DE7E33"/>
    <w:rsid w:val="00DF1626"/>
    <w:rsid w:val="00DF5482"/>
    <w:rsid w:val="00E01C12"/>
    <w:rsid w:val="00E03C5A"/>
    <w:rsid w:val="00E06128"/>
    <w:rsid w:val="00E06294"/>
    <w:rsid w:val="00E0630A"/>
    <w:rsid w:val="00E101FE"/>
    <w:rsid w:val="00E12F4D"/>
    <w:rsid w:val="00E15B10"/>
    <w:rsid w:val="00E16FD4"/>
    <w:rsid w:val="00E224D5"/>
    <w:rsid w:val="00E22972"/>
    <w:rsid w:val="00E232A4"/>
    <w:rsid w:val="00E24A66"/>
    <w:rsid w:val="00E408BE"/>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42BF"/>
    <w:rsid w:val="00F15BEE"/>
    <w:rsid w:val="00F311CD"/>
    <w:rsid w:val="00F31811"/>
    <w:rsid w:val="00F31AA6"/>
    <w:rsid w:val="00F31B06"/>
    <w:rsid w:val="00F322BF"/>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3227</Words>
  <Characters>20331</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Frederik Preuß</cp:lastModifiedBy>
  <cp:revision>2</cp:revision>
  <dcterms:created xsi:type="dcterms:W3CDTF">2024-01-22T10:29:00Z</dcterms:created>
  <dcterms:modified xsi:type="dcterms:W3CDTF">2024-01-22T10:29:00Z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