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eyes</w:t>
      </w:r>
      <w:r>
        <w:t xml:space="preserve"> </w:t>
      </w:r>
      <w:r>
        <w:t xml:space="preserve">of</w:t>
      </w:r>
      <w:r>
        <w:t xml:space="preserve"> </w:t>
      </w:r>
      <w:r>
        <w:t xml:space="preserve">the</w:t>
      </w:r>
      <w:r>
        <w:t xml:space="preserve"> </w:t>
      </w:r>
      <w:r>
        <w:t xml:space="preserve">teacher</w:t>
      </w:r>
    </w:p>
    <w:p>
      <w:pPr>
        <w:pStyle w:val="Abstract"/>
      </w:pPr>
    </w:p>
    <w:bookmarkStart w:id="20" w:name="introduction"/>
    <w:p>
      <w:pPr>
        <w:pStyle w:val="Heading1"/>
      </w:pPr>
      <w:r>
        <w:rPr>
          <w:rStyle w:val="SectionNumber"/>
        </w:rPr>
        <w:t xml:space="preserve">1</w:t>
      </w:r>
      <w:r>
        <w:tab/>
      </w:r>
      <w:r>
        <w:t xml:space="preserve">Introduction</w:t>
      </w:r>
    </w:p>
    <w:p>
      <w:pPr>
        <w:pStyle w:val="FirstParagraph"/>
      </w:pPr>
      <w:r>
        <w:t xml:space="preserve">Managing classroom disruptions is a crucial aspect of effective classroom management (</w:t>
      </w:r>
      <w:r>
        <w:t xml:space="preserve">Evertson, Weinstein, et al. (2006)</w:t>
      </w:r>
      <w:r>
        <w:t xml:space="preserve">;</w:t>
      </w:r>
      <w:r>
        <w:t xml:space="preserve"> </w:t>
      </w:r>
      <w:r>
        <w:t xml:space="preserve">Kounin (2006)</w:t>
      </w:r>
      <w:r>
        <w:t xml:space="preserve">).</w:t>
      </w:r>
    </w:p>
    <w:p>
      <w:pPr>
        <w:pStyle w:val="BodyText"/>
      </w:pPr>
      <w:r>
        <w:t xml:space="preserve">Accordingly, teachers must be able to quickly notice and appropriately react to significant events in the classroom. This ability is referred to as classroom professional vision (</w:t>
      </w:r>
      <w:r>
        <w:t xml:space="preserve">Goodwin (2015)</w:t>
      </w:r>
      <w:r>
        <w:t xml:space="preserve">;</w:t>
      </w:r>
      <w:r>
        <w:t xml:space="preserve"> </w:t>
      </w:r>
      <w:r>
        <w:t xml:space="preserve">Sherin (2007)</w:t>
      </w:r>
      <w:r>
        <w:t xml:space="preserve">).</w:t>
      </w:r>
    </w:p>
    <w:p>
      <w:pPr>
        <w:pStyle w:val="BodyText"/>
      </w:pPr>
      <w:r>
        <w:t xml:space="preserve">The process of professional vision can be divided into two main aspects: focusing on relevant situations for learning and teaching (</w:t>
      </w:r>
      <w:r>
        <w:t xml:space="preserve">“</w:t>
      </w:r>
      <w:r>
        <w:t xml:space="preserve">noticing</w:t>
      </w:r>
      <w:r>
        <w:t xml:space="preserve">”</w:t>
      </w:r>
      <w:r>
        <w:t xml:space="preserve">) and applying knowledge to draw appropriate conclusions in these situations (</w:t>
      </w:r>
      <w:r>
        <w:t xml:space="preserve">“</w:t>
      </w:r>
      <w:r>
        <w:t xml:space="preserve">knowledge-based reasoning</w:t>
      </w:r>
      <w:r>
        <w:t xml:space="preserve">”</w:t>
      </w:r>
      <w:r>
        <w:t xml:space="preserve">;</w:t>
      </w:r>
      <w:r>
        <w:t xml:space="preserve"> </w:t>
      </w:r>
      <w:r>
        <w:t xml:space="preserve">Seidel and Stürmer (2014)</w:t>
      </w:r>
      <w:r>
        <w:t xml:space="preserve">).</w:t>
      </w:r>
    </w:p>
    <w:p>
      <w:pPr>
        <w:pStyle w:val="BodyText"/>
      </w:pPr>
      <w:r>
        <w:t xml:space="preserve">Therefore, the early visual perception of classroom disruptions is a key component to effectively maximize students’ learning time and minimize classroom interruptions. According to Kounin (2006), these important classroom management strategies are called</w:t>
      </w:r>
      <w:r>
        <w:t xml:space="preserve"> </w:t>
      </w:r>
      <w:r>
        <w:t xml:space="preserve">“</w:t>
      </w:r>
      <w:r>
        <w:t xml:space="preserve">withitness</w:t>
      </w:r>
      <w:r>
        <w:t xml:space="preserve">”</w:t>
      </w:r>
      <w:r>
        <w:t xml:space="preserve"> </w:t>
      </w:r>
      <w:r>
        <w:t xml:space="preserve">and</w:t>
      </w:r>
      <w:r>
        <w:t xml:space="preserve"> </w:t>
      </w:r>
      <w:r>
        <w:t xml:space="preserve">“</w:t>
      </w:r>
      <w:r>
        <w:t xml:space="preserve">overlapping</w:t>
      </w:r>
      <w:r>
        <w:t xml:space="preserve">”</w:t>
      </w:r>
      <w:r>
        <w:t xml:space="preserve"> </w:t>
      </w:r>
      <w:r>
        <w:t xml:space="preserve">and can be summarized under the concept of monitoring (</w:t>
      </w:r>
      <w:r>
        <w:t xml:space="preserve">Gold and Holodynski (2017)</w:t>
      </w:r>
      <w:r>
        <w:t xml:space="preserve">).</w:t>
      </w:r>
    </w:p>
    <w:p>
      <w:pPr>
        <w:pStyle w:val="BodyText"/>
      </w:pPr>
      <w:r>
        <w:t xml:space="preserve">Learning to develop such classroom management skills is a demanding and complex task for student teachers (</w:t>
      </w:r>
      <w:r>
        <w:t xml:space="preserve">Wolff et al. (2016)</w:t>
      </w:r>
      <w:r>
        <w:t xml:space="preserve">). Research on teacher expertise showed that expert and novice teachers differ in their ability to perceive classroom events,</w:t>
      </w:r>
      <w:r>
        <w:t xml:space="preserve"> </w:t>
      </w:r>
      <w:r>
        <w:t xml:space="preserve">“</w:t>
      </w:r>
      <w:r>
        <w:t xml:space="preserve">[…] whereas only a few studies have focused on the basal process of noticing, i.e. the recognition of possible disturbing situations</w:t>
      </w:r>
      <w:r>
        <w:t xml:space="preserve">”</w:t>
      </w:r>
      <w:r>
        <w:t xml:space="preserve"> </w:t>
      </w:r>
      <w:r>
        <w:t xml:space="preserve">(</w:t>
      </w:r>
      <w:r>
        <w:t xml:space="preserve">Grub, Biermann, and Brünken (2020)</w:t>
      </w:r>
      <w:r>
        <w:t xml:space="preserve">, p.75). Mobile eye-tracking data can fill this research gap by providing new insights in how expertise differences in teacher´s professional vision manifest in teacher-student interactions (</w:t>
      </w:r>
      <w:r>
        <w:t xml:space="preserve">Lachner, Jarodzka, and Nückles (2016)</w:t>
      </w:r>
      <w:r>
        <w:t xml:space="preserve">; @</w:t>
      </w:r>
      <w:r>
        <w:t xml:space="preserve">Wolff et al. (2016)</w:t>
      </w:r>
      <w:r>
        <w:t xml:space="preserve">).</w:t>
      </w:r>
    </w:p>
    <w:bookmarkEnd w:id="20"/>
    <w:bookmarkStart w:id="21" w:name="research-questions"/>
    <w:p>
      <w:pPr>
        <w:pStyle w:val="Heading1"/>
      </w:pPr>
      <w:r>
        <w:rPr>
          <w:rStyle w:val="SectionNumber"/>
        </w:rPr>
        <w:t xml:space="preserve">2</w:t>
      </w:r>
      <w:r>
        <w:tab/>
      </w:r>
      <w:r>
        <w:t xml:space="preserve">Research Questions</w:t>
      </w:r>
    </w:p>
    <w:p>
      <w:pPr>
        <w:pStyle w:val="FirstParagraph"/>
      </w:pPr>
      <w:r>
        <w:t xml:space="preserve">This study examined how the degree of teaching experience influences (a) the number of fixations on relevant areas (e.g., the student performing the disruption), (b) the fixation duration in relevant areas and (c) the time to first fixation on relevant areas, using mobile eye-tracking data in a controlled, micro-teaching setting. Based on the existing literature, we expect expert teachers to outperform novices by (H1) showing more fixations on relevant areas with (H2) shorter fixation durations and (H3) perceiving classroom disruptions faster (cf.</w:t>
      </w:r>
      <w:r>
        <w:t xml:space="preserve"> </w:t>
      </w:r>
      <w:r>
        <w:t xml:space="preserve">Van den Bogert et al. (2014)</w:t>
      </w:r>
      <w:r>
        <w:t xml:space="preserve">).</w:t>
      </w:r>
    </w:p>
    <w:bookmarkEnd w:id="21"/>
    <w:bookmarkStart w:id="26" w:name="methods"/>
    <w:p>
      <w:pPr>
        <w:pStyle w:val="Heading1"/>
      </w:pPr>
      <w:r>
        <w:rPr>
          <w:rStyle w:val="SectionNumber"/>
        </w:rPr>
        <w:t xml:space="preserve">3</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Heading2"/>
      </w:pPr>
      <w:r>
        <w:rPr>
          <w:rStyle w:val="SectionNumber"/>
        </w:rPr>
        <w:t xml:space="preserve">3.1</w:t>
      </w:r>
      <w:r>
        <w:tab/>
      </w:r>
      <w:r>
        <w:t xml:space="preserve">Participants</w:t>
      </w:r>
    </w:p>
    <w:p>
      <w:pPr>
        <w:pStyle w:val="FirstParagraph"/>
      </w:pPr>
      <w:r>
        <w:t xml:space="preserve">The planned sample consists of</w:t>
      </w:r>
      <w:r>
        <w:t xml:space="preserve"> </w:t>
      </w:r>
      <w:r>
        <w:rPr>
          <w:iCs/>
          <w:i/>
        </w:rPr>
        <w:t xml:space="preserve">n</w:t>
      </w:r>
      <w:r>
        <w:t xml:space="preserve"> </w:t>
      </w:r>
      <w:r>
        <w:t xml:space="preserve">= 40 experts (teacher training completed, active in the teaching profession) and</w:t>
      </w:r>
      <w:r>
        <w:t xml:space="preserve"> </w:t>
      </w:r>
      <w:r>
        <w:rPr>
          <w:iCs/>
          <w:i/>
        </w:rPr>
        <w:t xml:space="preserve">n</w:t>
      </w:r>
      <w:r>
        <w:t xml:space="preserve"> </w:t>
      </w:r>
      <w:r>
        <w:t xml:space="preserve">= 40 novices (student teachers, first internship completed).</w:t>
      </w:r>
    </w:p>
    <w:p>
      <w:pPr>
        <w:pStyle w:val="BodyText"/>
      </w:pPr>
      <w:r>
        <w:t xml:space="preserve">The currently ongoing data collection already yielded data from</w:t>
      </w:r>
      <w:r>
        <w:t xml:space="preserve"> </w:t>
      </w:r>
      <w:r>
        <w:rPr>
          <w:iCs/>
          <w:i/>
        </w:rPr>
        <w:t xml:space="preserve">n</w:t>
      </w:r>
      <w:r>
        <w:t xml:space="preserve"> </w:t>
      </w:r>
      <w:r>
        <w:t xml:space="preserve">= 7 experts and</w:t>
      </w:r>
      <w:r>
        <w:t xml:space="preserve"> </w:t>
      </w:r>
      <w:r>
        <w:rPr>
          <w:iCs/>
          <w:i/>
        </w:rPr>
        <w:t xml:space="preserve">n</w:t>
      </w:r>
      <w:r>
        <w:t xml:space="preserve"> </w:t>
      </w:r>
      <w:r>
        <w:t xml:space="preserve">= 19 novices.</w:t>
      </w:r>
    </w:p>
    <w:p>
      <w:pPr>
        <w:pStyle w:val="BodyText"/>
      </w:pPr>
      <w:r>
        <w:t xml:space="preserve">Participants Teachers were primarily recruited through personal contacts</w:t>
      </w:r>
    </w:p>
    <w:bookmarkEnd w:id="22"/>
    <w:bookmarkStart w:id="23" w:name="material"/>
    <w:p>
      <w:pPr>
        <w:pStyle w:val="Heading2"/>
      </w:pPr>
      <w:r>
        <w:rPr>
          <w:rStyle w:val="SectionNumber"/>
        </w:rPr>
        <w:t xml:space="preserve">3.2</w:t>
      </w:r>
      <w:r>
        <w:tab/>
      </w:r>
      <w:r>
        <w:t xml:space="preserve">Material</w:t>
      </w:r>
    </w:p>
    <w:bookmarkEnd w:id="23"/>
    <w:bookmarkStart w:id="24" w:name="procedure"/>
    <w:p>
      <w:pPr>
        <w:pStyle w:val="Heading2"/>
      </w:pPr>
      <w:r>
        <w:rPr>
          <w:rStyle w:val="SectionNumber"/>
        </w:rPr>
        <w:t xml:space="preserve">3.3</w:t>
      </w:r>
      <w:r>
        <w:tab/>
      </w:r>
      <w:r>
        <w:t xml:space="preserve">Procedure</w:t>
      </w:r>
    </w:p>
    <w:bookmarkEnd w:id="24"/>
    <w:bookmarkStart w:id="25" w:name="data-analysis"/>
    <w:p>
      <w:pPr>
        <w:pStyle w:val="Heading2"/>
      </w:pPr>
      <w:r>
        <w:rPr>
          <w:rStyle w:val="SectionNumber"/>
        </w:rPr>
        <w:t xml:space="preserve">3.4</w:t>
      </w:r>
      <w:r>
        <w:tab/>
      </w:r>
      <w:r>
        <w:t xml:space="preserve">Data analysis</w:t>
      </w:r>
    </w:p>
    <w:p>
      <w:pPr>
        <w:pStyle w:val="FirstParagraph"/>
      </w:pPr>
      <w:r>
        <w:t xml:space="preserve">We used R</w:t>
      </w:r>
      <w:r>
        <w:t xml:space="preserve"> </w:t>
      </w:r>
      <w:r>
        <w:t xml:space="preserve">(Version 4.1.2; R Core Team 2021)</w:t>
      </w:r>
      <w:r>
        <w:t xml:space="preserve"> </w:t>
      </w:r>
      <w:r>
        <w:t xml:space="preserve">and the R-packages</w:t>
      </w:r>
      <w:r>
        <w:t xml:space="preserve"> </w:t>
      </w:r>
      <w:r>
        <w:rPr>
          <w:iCs/>
          <w:i/>
        </w:rPr>
        <w:t xml:space="preserve">ARTofR</w:t>
      </w:r>
      <w:r>
        <w:t xml:space="preserve"> </w:t>
      </w:r>
      <w:r>
        <w:t xml:space="preserve">(Version 0.3.3; Zhang 2021)</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dplyr</w:t>
      </w:r>
      <w:r>
        <w:t xml:space="preserve"> </w:t>
      </w:r>
      <w:r>
        <w:t xml:space="preserve">(Version 1.0.8; Wickham et al. 2022)</w:t>
      </w:r>
      <w:r>
        <w:t xml:space="preserve">,</w:t>
      </w:r>
      <w:r>
        <w:t xml:space="preserve"> </w:t>
      </w:r>
      <w:r>
        <w:rPr>
          <w:iCs/>
          <w:i/>
        </w:rPr>
        <w:t xml:space="preserve">forcats</w:t>
      </w:r>
      <w:r>
        <w:t xml:space="preserve"> </w:t>
      </w:r>
      <w:r>
        <w:t xml:space="preserve">(Version 0.5.1; Wickham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gridExtra</w:t>
      </w:r>
      <w:r>
        <w:t xml:space="preserve"> </w:t>
      </w:r>
      <w:r>
        <w:t xml:space="preserve">(Version 2.3; Auguie 2017)</w:t>
      </w:r>
      <w:r>
        <w:t xml:space="preserve">,</w:t>
      </w:r>
      <w:r>
        <w:t xml:space="preserve"> </w:t>
      </w:r>
      <w:r>
        <w:rPr>
          <w:iCs/>
          <w:i/>
        </w:rPr>
        <w:t xml:space="preserve">lubridate</w:t>
      </w:r>
      <w:r>
        <w:t xml:space="preserve"> </w:t>
      </w:r>
      <w:r>
        <w:t xml:space="preserve">(Version 1.8.0; Grolemund and Wickham 2011)</w:t>
      </w:r>
      <w:r>
        <w:t xml:space="preserve">,</w:t>
      </w:r>
      <w:r>
        <w:t xml:space="preserve"> </w:t>
      </w:r>
      <w:r>
        <w:rPr>
          <w:iCs/>
          <w:i/>
        </w:rPr>
        <w:t xml:space="preserve">needs</w:t>
      </w:r>
      <w:r>
        <w:t xml:space="preserve"> </w:t>
      </w:r>
      <w:r>
        <w:t xml:space="preserve">(Version 0.0.3; Katz 2016)</w:t>
      </w:r>
      <w:r>
        <w:t xml:space="preserve">,</w:t>
      </w:r>
      <w:r>
        <w:t xml:space="preserve"> </w:t>
      </w:r>
      <w:r>
        <w:rPr>
          <w:iCs/>
          <w:i/>
        </w:rPr>
        <w:t xml:space="preserve">papaja</w:t>
      </w:r>
      <w:r>
        <w:t xml:space="preserve"> </w:t>
      </w:r>
      <w:r>
        <w:t xml:space="preserve">(Version 0.1.0.9997; Aust and Barth 2020)</w:t>
      </w:r>
      <w:r>
        <w:t xml:space="preserve">,</w:t>
      </w:r>
      <w:r>
        <w:t xml:space="preserve"> </w:t>
      </w:r>
      <w:r>
        <w:rPr>
          <w:iCs/>
          <w:i/>
        </w:rPr>
        <w:t xml:space="preserve">purrr</w:t>
      </w:r>
      <w:r>
        <w:t xml:space="preserve"> </w:t>
      </w:r>
      <w:r>
        <w:t xml:space="preserve">(Version 0.3.4; Henry and Wickham 2020)</w:t>
      </w:r>
      <w:r>
        <w:t xml:space="preserve">,</w:t>
      </w:r>
      <w:r>
        <w:t xml:space="preserve"> </w:t>
      </w:r>
      <w:r>
        <w:rPr>
          <w:iCs/>
          <w:i/>
        </w:rPr>
        <w:t xml:space="preserve">readr</w:t>
      </w:r>
      <w:r>
        <w:t xml:space="preserve"> </w:t>
      </w:r>
      <w:r>
        <w:t xml:space="preserve">(Version 2.1.1; Wickham, Hester, and Bryan 2021)</w:t>
      </w:r>
      <w:r>
        <w:t xml:space="preserve">,</w:t>
      </w:r>
      <w:r>
        <w:t xml:space="preserve"> </w:t>
      </w:r>
      <w:r>
        <w:rPr>
          <w:iCs/>
          <w:i/>
        </w:rPr>
        <w:t xml:space="preserve">readxl</w:t>
      </w:r>
      <w:r>
        <w:t xml:space="preserve"> </w:t>
      </w:r>
      <w:r>
        <w:t xml:space="preserve">(Version 1.3.1; Wickham and Bryan 2019)</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Müller and Wickham 2021)</w:t>
      </w:r>
      <w:r>
        <w:t xml:space="preserve">,</w:t>
      </w:r>
      <w:r>
        <w:t xml:space="preserve"> </w:t>
      </w:r>
      <w:r>
        <w:rPr>
          <w:iCs/>
          <w:i/>
        </w:rPr>
        <w:t xml:space="preserve">tidyr</w:t>
      </w:r>
      <w:r>
        <w:t xml:space="preserve"> </w:t>
      </w:r>
      <w:r>
        <w:t xml:space="preserve">(Version 1.2.0; Wickham and Girlich 2022)</w:t>
      </w:r>
      <w:r>
        <w:t xml:space="preserve">,</w:t>
      </w:r>
      <w:r>
        <w:t xml:space="preserve"> </w:t>
      </w:r>
      <w:r>
        <w:rPr>
          <w:iCs/>
          <w:i/>
        </w:rPr>
        <w:t xml:space="preserve">tidyverse</w:t>
      </w:r>
      <w:r>
        <w:t xml:space="preserve"> </w:t>
      </w:r>
      <w:r>
        <w:t xml:space="preserve">(Version 1.3.1; Wickham et al. 2019)</w:t>
      </w:r>
      <w:r>
        <w:t xml:space="preserve">,</w:t>
      </w:r>
      <w:r>
        <w:t xml:space="preserve"> </w:t>
      </w:r>
      <w:r>
        <w:rPr>
          <w:iCs/>
          <w:i/>
        </w:rPr>
        <w:t xml:space="preserve">tinylabels</w:t>
      </w:r>
      <w:r>
        <w:t xml:space="preserve"> </w:t>
      </w:r>
      <w:r>
        <w:t xml:space="preserve">(Version 0.2.3; Barth 2022)</w:t>
      </w:r>
      <w:r>
        <w:t xml:space="preserve">,</w:t>
      </w:r>
      <w:r>
        <w:t xml:space="preserve"> </w:t>
      </w:r>
      <w:r>
        <w:rPr>
          <w:iCs/>
          <w:i/>
        </w:rPr>
        <w:t xml:space="preserve">viridis</w:t>
      </w:r>
      <w:r>
        <w:t xml:space="preserve"> </w:t>
      </w:r>
      <w:r>
        <w:t xml:space="preserve">(Version 0.6.2; Garnier et al. 2021a, 2021b)</w:t>
      </w:r>
      <w:r>
        <w:t xml:space="preserve">, and</w:t>
      </w:r>
      <w:r>
        <w:t xml:space="preserve"> </w:t>
      </w:r>
      <w:r>
        <w:rPr>
          <w:iCs/>
          <w:i/>
        </w:rPr>
        <w:t xml:space="preserve">viridisLite</w:t>
      </w:r>
      <w:r>
        <w:t xml:space="preserve"> </w:t>
      </w:r>
      <w:r>
        <w:t xml:space="preserve">(Version 0.4.0; Garnier et al. 2021b)</w:t>
      </w:r>
      <w:r>
        <w:t xml:space="preserve"> </w:t>
      </w:r>
      <w:r>
        <w:t xml:space="preserve">for all our analyses.</w:t>
      </w:r>
    </w:p>
    <w:bookmarkEnd w:id="25"/>
    <w:bookmarkEnd w:id="26"/>
    <w:bookmarkStart w:id="27" w:name="results"/>
    <w:p>
      <w:pPr>
        <w:pStyle w:val="Heading1"/>
      </w:pPr>
      <w:r>
        <w:rPr>
          <w:rStyle w:val="SectionNumber"/>
        </w:rPr>
        <w:t xml:space="preserve">4</w:t>
      </w:r>
      <w:r>
        <w:tab/>
      </w:r>
      <w:r>
        <w:t xml:space="preserve">Results</w:t>
      </w:r>
    </w:p>
    <w:bookmarkEnd w:id="27"/>
    <w:bookmarkStart w:id="28" w:name="discussion"/>
    <w:p>
      <w:pPr>
        <w:pStyle w:val="Heading1"/>
      </w:pPr>
      <w:r>
        <w:rPr>
          <w:rStyle w:val="SectionNumber"/>
        </w:rPr>
        <w:t xml:space="preserve">5</w:t>
      </w:r>
      <w:r>
        <w:tab/>
      </w:r>
      <w:r>
        <w:t xml:space="preserve">Discussion</w:t>
      </w:r>
    </w:p>
    <w:p>
      <w:r>
        <w:br w:type="page"/>
      </w:r>
    </w:p>
    <w:bookmarkEnd w:id="28"/>
    <w:bookmarkStart w:id="79" w:name="references"/>
    <w:p>
      <w:pPr>
        <w:pStyle w:val="Heading1"/>
      </w:pPr>
      <w:r>
        <w:rPr>
          <w:rStyle w:val="SectionNumber"/>
        </w:rPr>
        <w:t xml:space="preserve">6</w:t>
      </w:r>
      <w:r>
        <w:tab/>
      </w:r>
      <w:r>
        <w:t xml:space="preserve">References</w:t>
      </w:r>
    </w:p>
    <w:bookmarkStart w:id="78" w:name="refs"/>
    <w:bookmarkStart w:id="30" w:name="ref-R-gridExtra"/>
    <w:p>
      <w:pPr>
        <w:pStyle w:val="Bibliography"/>
      </w:pPr>
      <w:r>
        <w:t xml:space="preserve">Auguie, Baptiste. 2017.</w:t>
      </w:r>
      <w:r>
        <w:t xml:space="preserve"> </w:t>
      </w:r>
      <w:r>
        <w:rPr>
          <w:iCs/>
          <w:i/>
        </w:rPr>
        <w:t xml:space="preserve">gridExtra: Miscellaneous Functions for "Grid" Graphics</w:t>
      </w:r>
      <w:r>
        <w:t xml:space="preserve">.</w:t>
      </w:r>
      <w:r>
        <w:t xml:space="preserve"> </w:t>
      </w:r>
      <w:hyperlink r:id="rId29">
        <w:r>
          <w:rPr>
            <w:rStyle w:val="Hyperlink"/>
          </w:rPr>
          <w:t xml:space="preserve">https://CRAN.R-project.org/package=gridExtra</w:t>
        </w:r>
      </w:hyperlink>
      <w:r>
        <w:t xml:space="preserve">.</w:t>
      </w:r>
    </w:p>
    <w:bookmarkEnd w:id="30"/>
    <w:bookmarkStart w:id="32" w:name="ref-R-papaja"/>
    <w:p>
      <w:pPr>
        <w:pStyle w:val="Bibliography"/>
      </w:pPr>
      <w:r>
        <w:t xml:space="preserve">Aust, Frederik, and Marius Barth.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31">
        <w:r>
          <w:rPr>
            <w:rStyle w:val="Hyperlink"/>
          </w:rPr>
          <w:t xml:space="preserve">https://github.com/crsh/papaja</w:t>
        </w:r>
      </w:hyperlink>
      <w:r>
        <w:t xml:space="preserve">.</w:t>
      </w:r>
    </w:p>
    <w:bookmarkEnd w:id="32"/>
    <w:bookmarkStart w:id="34" w:name="ref-R-tinylabels"/>
    <w:p>
      <w:pPr>
        <w:pStyle w:val="Bibliography"/>
      </w:pPr>
      <w:r>
        <w:t xml:space="preserve">Barth, Marius. 2022.</w:t>
      </w:r>
      <w:r>
        <w:t xml:space="preserve"> </w:t>
      </w:r>
      <w:r>
        <w:rPr>
          <w:iCs/>
          <w:i/>
        </w:rPr>
        <w:t xml:space="preserve">tinylabels</w:t>
      </w:r>
      <w:r>
        <w:rPr>
          <w:iCs/>
          <w:i/>
        </w:rPr>
        <w:t xml:space="preserve">: Lightweight Variable Labels</w:t>
      </w:r>
      <w:r>
        <w:t xml:space="preserve">.</w:t>
      </w:r>
      <w:r>
        <w:t xml:space="preserve"> </w:t>
      </w:r>
      <w:hyperlink r:id="rId33">
        <w:r>
          <w:rPr>
            <w:rStyle w:val="Hyperlink"/>
          </w:rPr>
          <w:t xml:space="preserve">https://cran.r-project.org/package=tinylabels</w:t>
        </w:r>
      </w:hyperlink>
      <w:r>
        <w:t xml:space="preserve">.</w:t>
      </w:r>
    </w:p>
    <w:bookmarkEnd w:id="34"/>
    <w:bookmarkStart w:id="35" w:name="ref-evertson2006classroom"/>
    <w:p>
      <w:pPr>
        <w:pStyle w:val="Bibliography"/>
      </w:pPr>
      <w:r>
        <w:t xml:space="preserve">Evertson, Carolyn M, Carol S Weinstein, et al. 2006.</w:t>
      </w:r>
      <w:r>
        <w:t xml:space="preserve"> </w:t>
      </w:r>
      <w:r>
        <w:t xml:space="preserve">“Classroom Management as a Field of Inquiry.”</w:t>
      </w:r>
      <w:r>
        <w:t xml:space="preserve"> </w:t>
      </w:r>
      <w:r>
        <w:rPr>
          <w:iCs/>
          <w:i/>
        </w:rPr>
        <w:t xml:space="preserve">Handbook of Classroom Management: Research, Practice, and Contemporary Issues</w:t>
      </w:r>
      <w:r>
        <w:t xml:space="preserve"> </w:t>
      </w:r>
      <w:r>
        <w:t xml:space="preserve">3 (1): 16.</w:t>
      </w:r>
    </w:p>
    <w:bookmarkEnd w:id="35"/>
    <w:bookmarkStart w:id="37" w:name="ref-R-viridis"/>
    <w:p>
      <w:pPr>
        <w:pStyle w:val="Bibliography"/>
      </w:pPr>
      <w:r>
        <w:t xml:space="preserve">Garnier, Simon, Ross, Noam, Rudis, Robert, Camargo, et al. 2021a.</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36">
        <w:r>
          <w:rPr>
            <w:rStyle w:val="Hyperlink"/>
          </w:rPr>
          <w:t xml:space="preserve">https://doi.org/10.5281/zenodo.4679424</w:t>
        </w:r>
      </w:hyperlink>
      <w:r>
        <w:t xml:space="preserve">.</w:t>
      </w:r>
    </w:p>
    <w:bookmarkEnd w:id="37"/>
    <w:bookmarkStart w:id="38" w:name="ref-R-viridisLite"/>
    <w:p>
      <w:pPr>
        <w:pStyle w:val="Bibliography"/>
      </w:pPr>
      <w:r>
        <w:t xml:space="preserve">———, et al. 2021b.</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36">
        <w:r>
          <w:rPr>
            <w:rStyle w:val="Hyperlink"/>
          </w:rPr>
          <w:t xml:space="preserve">https://doi.org/10.5281/zenodo.4679424</w:t>
        </w:r>
      </w:hyperlink>
      <w:r>
        <w:t xml:space="preserve">.</w:t>
      </w:r>
    </w:p>
    <w:bookmarkEnd w:id="38"/>
    <w:bookmarkStart w:id="39" w:name="ref-gold2017using"/>
    <w:p>
      <w:pPr>
        <w:pStyle w:val="Bibliography"/>
      </w:pPr>
      <w:r>
        <w:t xml:space="preserve">Gold, Bernadette, and Manfred Holodynski. 2017.</w:t>
      </w:r>
      <w:r>
        <w:t xml:space="preserve"> </w:t>
      </w:r>
      <w:r>
        <w:t xml:space="preserve">“Using Digital Video to Measure the Professional Vision of Elementary Classroom Management: Test Validation and Methodological Challenges.”</w:t>
      </w:r>
      <w:r>
        <w:t xml:space="preserve"> </w:t>
      </w:r>
      <w:r>
        <w:rPr>
          <w:iCs/>
          <w:i/>
        </w:rPr>
        <w:t xml:space="preserve">Computers &amp; Education</w:t>
      </w:r>
      <w:r>
        <w:t xml:space="preserve"> </w:t>
      </w:r>
      <w:r>
        <w:t xml:space="preserve">107: 13–30.</w:t>
      </w:r>
    </w:p>
    <w:bookmarkEnd w:id="39"/>
    <w:bookmarkStart w:id="40" w:name="ref-goodwin2015professional"/>
    <w:p>
      <w:pPr>
        <w:pStyle w:val="Bibliography"/>
      </w:pPr>
      <w:r>
        <w:t xml:space="preserve">Goodwin, Charles. 2015.</w:t>
      </w:r>
      <w:r>
        <w:t xml:space="preserve"> </w:t>
      </w:r>
      <w:r>
        <w:t xml:space="preserve">“Professional Vision.”</w:t>
      </w:r>
      <w:r>
        <w:t xml:space="preserve"> </w:t>
      </w:r>
      <w:r>
        <w:t xml:space="preserve">In</w:t>
      </w:r>
      <w:r>
        <w:t xml:space="preserve"> </w:t>
      </w:r>
      <w:r>
        <w:rPr>
          <w:iCs/>
          <w:i/>
        </w:rPr>
        <w:t xml:space="preserve">Aufmerksamkeit</w:t>
      </w:r>
      <w:r>
        <w:t xml:space="preserve">, 387–425. Springer.</w:t>
      </w:r>
    </w:p>
    <w:bookmarkEnd w:id="40"/>
    <w:bookmarkStart w:id="42" w:name="ref-R-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rPr>
          <w:iCs/>
          <w:i/>
        </w:rPr>
        <w:t xml:space="preserve">Journal of Statistical Software</w:t>
      </w:r>
      <w:r>
        <w:t xml:space="preserve"> </w:t>
      </w:r>
      <w:r>
        <w:t xml:space="preserve">40 (3): 1–25.</w:t>
      </w:r>
      <w:r>
        <w:t xml:space="preserve"> </w:t>
      </w:r>
      <w:hyperlink r:id="rId41">
        <w:r>
          <w:rPr>
            <w:rStyle w:val="Hyperlink"/>
          </w:rPr>
          <w:t xml:space="preserve">https://www.jstatsoft.org/v40/i03/</w:t>
        </w:r>
      </w:hyperlink>
      <w:r>
        <w:t xml:space="preserve">.</w:t>
      </w:r>
    </w:p>
    <w:bookmarkEnd w:id="42"/>
    <w:bookmarkStart w:id="43" w:name="ref-grub2020process"/>
    <w:p>
      <w:pPr>
        <w:pStyle w:val="Bibliography"/>
      </w:pPr>
      <w:r>
        <w:t xml:space="preserve">Grub, Ann-Sophie, Antje Biermann, and Roland Brünken. 2020.</w:t>
      </w:r>
      <w:r>
        <w:t xml:space="preserve"> </w:t>
      </w:r>
      <w:r>
        <w:t xml:space="preserve">“Process-Based Measurement of Professional Vision of (Prospective) Teachers in the Field of Classroom Management. A Systematic Review.”</w:t>
      </w:r>
      <w:r>
        <w:t xml:space="preserve"> </w:t>
      </w:r>
      <w:r>
        <w:rPr>
          <w:iCs/>
          <w:i/>
        </w:rPr>
        <w:t xml:space="preserve">Journal for Educational Research Online</w:t>
      </w:r>
      <w:r>
        <w:t xml:space="preserve"> </w:t>
      </w:r>
      <w:r>
        <w:t xml:space="preserve">12 (3): 75–102.</w:t>
      </w:r>
    </w:p>
    <w:bookmarkEnd w:id="43"/>
    <w:bookmarkStart w:id="45" w:name="ref-R-purrr"/>
    <w:p>
      <w:pPr>
        <w:pStyle w:val="Bibliography"/>
      </w:pPr>
      <w:r>
        <w:t xml:space="preserve">Henry, Lionel, and Hadley Wickham. 2020.</w:t>
      </w:r>
      <w:r>
        <w:t xml:space="preserve"> </w:t>
      </w:r>
      <w:r>
        <w:rPr>
          <w:iCs/>
          <w:i/>
        </w:rPr>
        <w:t xml:space="preserve">Purrr: Functional Programming Tools</w:t>
      </w:r>
      <w:r>
        <w:t xml:space="preserve">.</w:t>
      </w:r>
      <w:r>
        <w:t xml:space="preserve"> </w:t>
      </w:r>
      <w:hyperlink r:id="rId44">
        <w:r>
          <w:rPr>
            <w:rStyle w:val="Hyperlink"/>
          </w:rPr>
          <w:t xml:space="preserve">https://CRAN.R-project.org/package=purrr</w:t>
        </w:r>
      </w:hyperlink>
      <w:r>
        <w:t xml:space="preserve">.</w:t>
      </w:r>
    </w:p>
    <w:bookmarkEnd w:id="45"/>
    <w:bookmarkStart w:id="47" w:name="ref-R-needs"/>
    <w:p>
      <w:pPr>
        <w:pStyle w:val="Bibliography"/>
      </w:pPr>
      <w:r>
        <w:t xml:space="preserve">Katz, Josh. 2016.</w:t>
      </w:r>
      <w:r>
        <w:t xml:space="preserve"> </w:t>
      </w:r>
      <w:r>
        <w:rPr>
          <w:iCs/>
          <w:i/>
        </w:rPr>
        <w:t xml:space="preserve">Needs: Attaches and Installs Packages</w:t>
      </w:r>
      <w:r>
        <w:t xml:space="preserve">.</w:t>
      </w:r>
      <w:r>
        <w:t xml:space="preserve"> </w:t>
      </w:r>
      <w:hyperlink r:id="rId46">
        <w:r>
          <w:rPr>
            <w:rStyle w:val="Hyperlink"/>
          </w:rPr>
          <w:t xml:space="preserve">https://CRAN.R-project.org/package=needs</w:t>
        </w:r>
      </w:hyperlink>
      <w:r>
        <w:t xml:space="preserve">.</w:t>
      </w:r>
    </w:p>
    <w:bookmarkEnd w:id="47"/>
    <w:bookmarkStart w:id="48" w:name="ref-kounin2006techniken"/>
    <w:p>
      <w:pPr>
        <w:pStyle w:val="Bibliography"/>
      </w:pPr>
      <w:r>
        <w:t xml:space="preserve">Kounin, Jacob S. 2006.</w:t>
      </w:r>
      <w:r>
        <w:t xml:space="preserve"> </w:t>
      </w:r>
      <w:r>
        <w:rPr>
          <w:iCs/>
          <w:i/>
        </w:rPr>
        <w:t xml:space="preserve">Techniken Der Klassenf</w:t>
      </w:r>
      <w:r>
        <w:rPr>
          <w:iCs/>
          <w:i/>
        </w:rPr>
        <w:t xml:space="preserve">ü</w:t>
      </w:r>
      <w:r>
        <w:rPr>
          <w:iCs/>
          <w:i/>
        </w:rPr>
        <w:t xml:space="preserve">hrung</w:t>
      </w:r>
      <w:r>
        <w:t xml:space="preserve">. Waxmann Verlag.</w:t>
      </w:r>
    </w:p>
    <w:bookmarkEnd w:id="48"/>
    <w:bookmarkStart w:id="49" w:name="ref-lachner2016makes"/>
    <w:p>
      <w:pPr>
        <w:pStyle w:val="Bibliography"/>
      </w:pPr>
      <w:r>
        <w:t xml:space="preserve">Lachner, Andreas, Halszka Jarodzka, and Matthias Nückles. 2016.</w:t>
      </w:r>
      <w:r>
        <w:t xml:space="preserve"> </w:t>
      </w:r>
      <w:r>
        <w:t xml:space="preserve">“What Makes an Expert Teacher? Investigating Teachers’ Professional Vision and Discourse Abilities.”</w:t>
      </w:r>
      <w:r>
        <w:t xml:space="preserve"> </w:t>
      </w:r>
      <w:r>
        <w:rPr>
          <w:iCs/>
          <w:i/>
        </w:rPr>
        <w:t xml:space="preserve">Instructional Science</w:t>
      </w:r>
      <w:r>
        <w:t xml:space="preserve"> </w:t>
      </w:r>
      <w:r>
        <w:t xml:space="preserve">44 (3): 197–203.</w:t>
      </w:r>
    </w:p>
    <w:bookmarkEnd w:id="49"/>
    <w:bookmarkStart w:id="51" w:name="ref-R-tibble"/>
    <w:p>
      <w:pPr>
        <w:pStyle w:val="Bibliography"/>
      </w:pPr>
      <w:r>
        <w:t xml:space="preserve">Müller, Kirill, and Hadley Wickham. 2021.</w:t>
      </w:r>
      <w:r>
        <w:t xml:space="preserve"> </w:t>
      </w:r>
      <w:r>
        <w:rPr>
          <w:iCs/>
          <w:i/>
        </w:rPr>
        <w:t xml:space="preserve">Tibble: Simple Data Frames</w:t>
      </w:r>
      <w:r>
        <w:t xml:space="preserve">.</w:t>
      </w:r>
      <w:r>
        <w:t xml:space="preserve"> </w:t>
      </w:r>
      <w:hyperlink r:id="rId50">
        <w:r>
          <w:rPr>
            <w:rStyle w:val="Hyperlink"/>
          </w:rPr>
          <w:t xml:space="preserve">https://CRAN.R-project.org/package=tibble</w:t>
        </w:r>
      </w:hyperlink>
      <w:r>
        <w:t xml:space="preserve">.</w:t>
      </w:r>
    </w:p>
    <w:bookmarkEnd w:id="51"/>
    <w:bookmarkStart w:id="53" w:name="ref-R-bas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52">
        <w:r>
          <w:rPr>
            <w:rStyle w:val="Hyperlink"/>
          </w:rPr>
          <w:t xml:space="preserve">https://www.R-project.org/</w:t>
        </w:r>
      </w:hyperlink>
      <w:r>
        <w:t xml:space="preserve">.</w:t>
      </w:r>
    </w:p>
    <w:bookmarkEnd w:id="53"/>
    <w:bookmarkStart w:id="54" w:name="ref-seidel2014modeling"/>
    <w:p>
      <w:pPr>
        <w:pStyle w:val="Bibliography"/>
      </w:pPr>
      <w:r>
        <w:t xml:space="preserve">Seidel, Tina, and Kathleen Stürmer. 2014.</w:t>
      </w:r>
      <w:r>
        <w:t xml:space="preserve"> </w:t>
      </w:r>
      <w:r>
        <w:t xml:space="preserve">“Modeling and Measuring the Structure of Professional Vision in Preservice Teachers.”</w:t>
      </w:r>
      <w:r>
        <w:t xml:space="preserve"> </w:t>
      </w:r>
      <w:r>
        <w:rPr>
          <w:iCs/>
          <w:i/>
        </w:rPr>
        <w:t xml:space="preserve">American Educational Research Journal</w:t>
      </w:r>
      <w:r>
        <w:t xml:space="preserve"> </w:t>
      </w:r>
      <w:r>
        <w:t xml:space="preserve">51 (4): 739–71.</w:t>
      </w:r>
    </w:p>
    <w:bookmarkEnd w:id="54"/>
    <w:bookmarkStart w:id="55" w:name="ref-sherin2007development"/>
    <w:p>
      <w:pPr>
        <w:pStyle w:val="Bibliography"/>
      </w:pPr>
      <w:r>
        <w:t xml:space="preserve">Sherin, MG. 2007.</w:t>
      </w:r>
      <w:r>
        <w:t xml:space="preserve"> </w:t>
      </w:r>
      <w:r>
        <w:t xml:space="preserve">“The Development of Teachers’ Professional Vision in Video Clubs. Video Research in the Learning Sciences. R. Goldman, r. Pea, b. Barron and SJ Derry.”</w:t>
      </w:r>
      <w:r>
        <w:t xml:space="preserve"> </w:t>
      </w:r>
      <w:r>
        <w:t xml:space="preserve">Mahwah, NJ, Lawrence Erlbaum.</w:t>
      </w:r>
    </w:p>
    <w:bookmarkEnd w:id="55"/>
    <w:bookmarkStart w:id="56" w:name="ref-van2014first"/>
    <w:p>
      <w:pPr>
        <w:pStyle w:val="Bibliography"/>
      </w:pPr>
      <w:r>
        <w:t xml:space="preserve">Van den Bogert, Niek, Jan van Bruggen, Danny Kostons, and Wim Jochems. 2014.</w:t>
      </w:r>
      <w:r>
        <w:t xml:space="preserve"> </w:t>
      </w:r>
      <w:r>
        <w:t xml:space="preserve">“First Steps into Understanding Teachers’ Visual Perception of Classroom Events.”</w:t>
      </w:r>
      <w:r>
        <w:t xml:space="preserve"> </w:t>
      </w:r>
      <w:r>
        <w:rPr>
          <w:iCs/>
          <w:i/>
        </w:rPr>
        <w:t xml:space="preserve">Teaching and Teacher Education</w:t>
      </w:r>
      <w:r>
        <w:t xml:space="preserve"> </w:t>
      </w:r>
      <w:r>
        <w:t xml:space="preserve">37: 208–16.</w:t>
      </w:r>
    </w:p>
    <w:bookmarkEnd w:id="56"/>
    <w:bookmarkStart w:id="58" w:name="ref-R-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57">
        <w:r>
          <w:rPr>
            <w:rStyle w:val="Hyperlink"/>
          </w:rPr>
          <w:t xml:space="preserve">https://ggplot2.tidyverse.org</w:t>
        </w:r>
      </w:hyperlink>
      <w:r>
        <w:t xml:space="preserve">.</w:t>
      </w:r>
    </w:p>
    <w:bookmarkEnd w:id="58"/>
    <w:bookmarkStart w:id="60" w:name="ref-R-stringr"/>
    <w:p>
      <w:pPr>
        <w:pStyle w:val="Bibliography"/>
      </w:pPr>
      <w:r>
        <w:t xml:space="preserve">———. 2019.</w:t>
      </w:r>
      <w:r>
        <w:t xml:space="preserve"> </w:t>
      </w:r>
      <w:r>
        <w:rPr>
          <w:iCs/>
          <w:i/>
        </w:rPr>
        <w:t xml:space="preserve">Stringr: Simple, Consistent Wrappers for Common String Operations</w:t>
      </w:r>
      <w:r>
        <w:t xml:space="preserve">.</w:t>
      </w:r>
      <w:r>
        <w:t xml:space="preserve"> </w:t>
      </w:r>
      <w:hyperlink r:id="rId59">
        <w:r>
          <w:rPr>
            <w:rStyle w:val="Hyperlink"/>
          </w:rPr>
          <w:t xml:space="preserve">https://CRAN.R-project.org/package=stringr</w:t>
        </w:r>
      </w:hyperlink>
      <w:r>
        <w:t xml:space="preserve">.</w:t>
      </w:r>
    </w:p>
    <w:bookmarkEnd w:id="60"/>
    <w:bookmarkStart w:id="62" w:name="ref-R-forcats"/>
    <w:p>
      <w:pPr>
        <w:pStyle w:val="Bibliography"/>
      </w:pPr>
      <w:r>
        <w:t xml:space="preserve">———. 2021.</w:t>
      </w:r>
      <w:r>
        <w:t xml:space="preserve"> </w:t>
      </w:r>
      <w:r>
        <w:rPr>
          <w:iCs/>
          <w:i/>
        </w:rPr>
        <w:t xml:space="preserve">Forcats: Tools for Working with Categorical Variables (Factors)</w:t>
      </w:r>
      <w:r>
        <w:t xml:space="preserve">.</w:t>
      </w:r>
      <w:r>
        <w:t xml:space="preserve"> </w:t>
      </w:r>
      <w:hyperlink r:id="rId61">
        <w:r>
          <w:rPr>
            <w:rStyle w:val="Hyperlink"/>
          </w:rPr>
          <w:t xml:space="preserve">https://CRAN.R-project.org/package=forcats</w:t>
        </w:r>
      </w:hyperlink>
      <w:r>
        <w:t xml:space="preserve">.</w:t>
      </w:r>
    </w:p>
    <w:bookmarkEnd w:id="62"/>
    <w:bookmarkStart w:id="64"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63">
        <w:r>
          <w:rPr>
            <w:rStyle w:val="Hyperlink"/>
          </w:rPr>
          <w:t xml:space="preserve">https://doi.org/10.21105/joss.01686</w:t>
        </w:r>
      </w:hyperlink>
      <w:r>
        <w:t xml:space="preserve">.</w:t>
      </w:r>
    </w:p>
    <w:bookmarkEnd w:id="64"/>
    <w:bookmarkStart w:id="66" w:name="ref-R-readxl"/>
    <w:p>
      <w:pPr>
        <w:pStyle w:val="Bibliography"/>
      </w:pPr>
      <w:r>
        <w:t xml:space="preserve">Wickham, Hadley, and Jennifer Bryan. 2019.</w:t>
      </w:r>
      <w:r>
        <w:t xml:space="preserve"> </w:t>
      </w:r>
      <w:r>
        <w:rPr>
          <w:iCs/>
          <w:i/>
        </w:rPr>
        <w:t xml:space="preserve">Readxl: Read Excel Files</w:t>
      </w:r>
      <w:r>
        <w:t xml:space="preserve">.</w:t>
      </w:r>
      <w:r>
        <w:t xml:space="preserve"> </w:t>
      </w:r>
      <w:hyperlink r:id="rId65">
        <w:r>
          <w:rPr>
            <w:rStyle w:val="Hyperlink"/>
          </w:rPr>
          <w:t xml:space="preserve">https://CRAN.R-project.org/package=readxl</w:t>
        </w:r>
      </w:hyperlink>
      <w:r>
        <w:t xml:space="preserve">.</w:t>
      </w:r>
    </w:p>
    <w:bookmarkEnd w:id="66"/>
    <w:bookmarkStart w:id="68" w:name="ref-R-dplyr"/>
    <w:p>
      <w:pPr>
        <w:pStyle w:val="Bibliography"/>
      </w:pPr>
      <w:r>
        <w:t xml:space="preserve">Wickham, Hadley, Romain François, Lionel Henry, and Kirill Müller. 2022.</w:t>
      </w:r>
      <w:r>
        <w:t xml:space="preserve"> </w:t>
      </w:r>
      <w:r>
        <w:rPr>
          <w:iCs/>
          <w:i/>
        </w:rPr>
        <w:t xml:space="preserve">Dplyr: A Grammar of Data Manipulation</w:t>
      </w:r>
      <w:r>
        <w:t xml:space="preserve">.</w:t>
      </w:r>
      <w:r>
        <w:t xml:space="preserve"> </w:t>
      </w:r>
      <w:hyperlink r:id="rId67">
        <w:r>
          <w:rPr>
            <w:rStyle w:val="Hyperlink"/>
          </w:rPr>
          <w:t xml:space="preserve">https://CRAN.R-project.org/package=dplyr</w:t>
        </w:r>
      </w:hyperlink>
      <w:r>
        <w:t xml:space="preserve">.</w:t>
      </w:r>
    </w:p>
    <w:bookmarkEnd w:id="68"/>
    <w:bookmarkStart w:id="70" w:name="ref-R-tidyr"/>
    <w:p>
      <w:pPr>
        <w:pStyle w:val="Bibliography"/>
      </w:pPr>
      <w:r>
        <w:t xml:space="preserve">Wickham, Hadley, and Maximilian Girlich. 2022.</w:t>
      </w:r>
      <w:r>
        <w:t xml:space="preserve"> </w:t>
      </w:r>
      <w:r>
        <w:rPr>
          <w:iCs/>
          <w:i/>
        </w:rPr>
        <w:t xml:space="preserve">Tidyr: Tidy Messy Data</w:t>
      </w:r>
      <w:r>
        <w:t xml:space="preserve">.</w:t>
      </w:r>
      <w:r>
        <w:t xml:space="preserve"> </w:t>
      </w:r>
      <w:hyperlink r:id="rId69">
        <w:r>
          <w:rPr>
            <w:rStyle w:val="Hyperlink"/>
          </w:rPr>
          <w:t xml:space="preserve">https://CRAN.R-project.org/package=tidyr</w:t>
        </w:r>
      </w:hyperlink>
      <w:r>
        <w:t xml:space="preserve">.</w:t>
      </w:r>
    </w:p>
    <w:bookmarkEnd w:id="70"/>
    <w:bookmarkStart w:id="72" w:name="ref-R-readr"/>
    <w:p>
      <w:pPr>
        <w:pStyle w:val="Bibliography"/>
      </w:pPr>
      <w:r>
        <w:t xml:space="preserve">Wickham, Hadley, Jim Hester, and Jennifer Bryan. 2021.</w:t>
      </w:r>
      <w:r>
        <w:t xml:space="preserve"> </w:t>
      </w:r>
      <w:r>
        <w:rPr>
          <w:iCs/>
          <w:i/>
        </w:rPr>
        <w:t xml:space="preserve">Readr: Read Rectangular Text Data</w:t>
      </w:r>
      <w:r>
        <w:t xml:space="preserve">.</w:t>
      </w:r>
      <w:r>
        <w:t xml:space="preserve"> </w:t>
      </w:r>
      <w:hyperlink r:id="rId71">
        <w:r>
          <w:rPr>
            <w:rStyle w:val="Hyperlink"/>
          </w:rPr>
          <w:t xml:space="preserve">https://CRAN.R-project.org/package=readr</w:t>
        </w:r>
      </w:hyperlink>
      <w:r>
        <w:t xml:space="preserve">.</w:t>
      </w:r>
    </w:p>
    <w:bookmarkEnd w:id="72"/>
    <w:bookmarkStart w:id="74" w:name="ref-R-cowplot"/>
    <w:p>
      <w:pPr>
        <w:pStyle w:val="Bibliography"/>
      </w:pPr>
      <w:r>
        <w:t xml:space="preserve">Wilke, Claus O. 2020.</w:t>
      </w:r>
      <w:r>
        <w:t xml:space="preserve"> </w:t>
      </w:r>
      <w:r>
        <w:rPr>
          <w:iCs/>
          <w:i/>
        </w:rPr>
        <w:t xml:space="preserve">Cowplot: Streamlined Plot Theme and Plot Annotations for ’Ggplot2’</w:t>
      </w:r>
      <w:r>
        <w:t xml:space="preserve">.</w:t>
      </w:r>
      <w:r>
        <w:t xml:space="preserve"> </w:t>
      </w:r>
      <w:hyperlink r:id="rId73">
        <w:r>
          <w:rPr>
            <w:rStyle w:val="Hyperlink"/>
          </w:rPr>
          <w:t xml:space="preserve">https://CRAN.R-project.org/package=cowplot</w:t>
        </w:r>
      </w:hyperlink>
      <w:r>
        <w:t xml:space="preserve">.</w:t>
      </w:r>
    </w:p>
    <w:bookmarkEnd w:id="74"/>
    <w:bookmarkStart w:id="75" w:name="ref-wolff2016teacher"/>
    <w:p>
      <w:pPr>
        <w:pStyle w:val="Bibliography"/>
      </w:pPr>
      <w:r>
        <w:t xml:space="preserve">Wolff, Charlotte E, Halszka Jarodzka, Niek van den Bogert, and Henny Boshuizen. 2016.</w:t>
      </w:r>
      <w:r>
        <w:t xml:space="preserve"> </w:t>
      </w:r>
      <w:r>
        <w:t xml:space="preserve">“Teacher Vision: Expert and Novice Teachers’ Perception of Problematic Classroom Management Scenes.”</w:t>
      </w:r>
      <w:r>
        <w:t xml:space="preserve"> </w:t>
      </w:r>
      <w:r>
        <w:rPr>
          <w:iCs/>
          <w:i/>
        </w:rPr>
        <w:t xml:space="preserve">Instructional Science</w:t>
      </w:r>
      <w:r>
        <w:t xml:space="preserve"> </w:t>
      </w:r>
      <w:r>
        <w:t xml:space="preserve">44 (3): 243–65.</w:t>
      </w:r>
    </w:p>
    <w:bookmarkEnd w:id="75"/>
    <w:bookmarkStart w:id="77" w:name="ref-R-ARTofR"/>
    <w:p>
      <w:pPr>
        <w:pStyle w:val="Bibliography"/>
      </w:pPr>
      <w:r>
        <w:t xml:space="preserve">Zhang, Huanyuan. 2021.</w:t>
      </w:r>
      <w:r>
        <w:t xml:space="preserve"> </w:t>
      </w:r>
      <w:r>
        <w:rPr>
          <w:iCs/>
          <w:i/>
        </w:rPr>
        <w:t xml:space="preserve">ARTofR: Who Ever Care about the [Art of r] Scripts?</w:t>
      </w:r>
      <w:r>
        <w:t xml:space="preserve"> </w:t>
      </w:r>
      <w:hyperlink r:id="rId76">
        <w:r>
          <w:rPr>
            <w:rStyle w:val="Hyperlink"/>
          </w:rPr>
          <w:t xml:space="preserve">https://CRAN.R-project.org/package=ARTofR</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s://CRAN.R-project.org/package=ARTofR" TargetMode="External" /><Relationship Type="http://schemas.openxmlformats.org/officeDocument/2006/relationships/hyperlink" Id="rId73" Target="https://CRAN.R-project.org/package=cowplot" TargetMode="External" /><Relationship Type="http://schemas.openxmlformats.org/officeDocument/2006/relationships/hyperlink" Id="rId67" Target="https://CRAN.R-project.org/package=dplyr" TargetMode="External" /><Relationship Type="http://schemas.openxmlformats.org/officeDocument/2006/relationships/hyperlink" Id="rId61" Target="https://CRAN.R-project.org/package=forcats" TargetMode="External" /><Relationship Type="http://schemas.openxmlformats.org/officeDocument/2006/relationships/hyperlink" Id="rId29" Target="https://CRAN.R-project.org/package=gridExtra" TargetMode="External" /><Relationship Type="http://schemas.openxmlformats.org/officeDocument/2006/relationships/hyperlink" Id="rId46" Target="https://CRAN.R-project.org/package=needs" TargetMode="External" /><Relationship Type="http://schemas.openxmlformats.org/officeDocument/2006/relationships/hyperlink" Id="rId44" Target="https://CRAN.R-project.org/package=purrr" TargetMode="External" /><Relationship Type="http://schemas.openxmlformats.org/officeDocument/2006/relationships/hyperlink" Id="rId71" Target="https://CRAN.R-project.org/package=readr" TargetMode="External" /><Relationship Type="http://schemas.openxmlformats.org/officeDocument/2006/relationships/hyperlink" Id="rId65" Target="https://CRAN.R-project.org/package=readxl" TargetMode="External" /><Relationship Type="http://schemas.openxmlformats.org/officeDocument/2006/relationships/hyperlink" Id="rId59"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69" Target="https://CRAN.R-project.org/package=tidyr" TargetMode="External" /><Relationship Type="http://schemas.openxmlformats.org/officeDocument/2006/relationships/hyperlink" Id="rId33" Target="https://cran.r-project.org/package=tinylabels" TargetMode="External" /><Relationship Type="http://schemas.openxmlformats.org/officeDocument/2006/relationships/hyperlink" Id="rId63" Target="https://doi.org/10.21105/joss.01686" TargetMode="External" /><Relationship Type="http://schemas.openxmlformats.org/officeDocument/2006/relationships/hyperlink" Id="rId36" Target="https://doi.org/10.5281/zenodo.4679424" TargetMode="External" /><Relationship Type="http://schemas.openxmlformats.org/officeDocument/2006/relationships/hyperlink" Id="rId57"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52" Target="https://www.R-project.org/" TargetMode="External" /><Relationship Type="http://schemas.openxmlformats.org/officeDocument/2006/relationships/hyperlink" Id="rId41"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76" Target="https://CRAN.R-project.org/package=ARTofR" TargetMode="External" /><Relationship Type="http://schemas.openxmlformats.org/officeDocument/2006/relationships/hyperlink" Id="rId73" Target="https://CRAN.R-project.org/package=cowplot" TargetMode="External" /><Relationship Type="http://schemas.openxmlformats.org/officeDocument/2006/relationships/hyperlink" Id="rId67" Target="https://CRAN.R-project.org/package=dplyr" TargetMode="External" /><Relationship Type="http://schemas.openxmlformats.org/officeDocument/2006/relationships/hyperlink" Id="rId61" Target="https://CRAN.R-project.org/package=forcats" TargetMode="External" /><Relationship Type="http://schemas.openxmlformats.org/officeDocument/2006/relationships/hyperlink" Id="rId29" Target="https://CRAN.R-project.org/package=gridExtra" TargetMode="External" /><Relationship Type="http://schemas.openxmlformats.org/officeDocument/2006/relationships/hyperlink" Id="rId46" Target="https://CRAN.R-project.org/package=needs" TargetMode="External" /><Relationship Type="http://schemas.openxmlformats.org/officeDocument/2006/relationships/hyperlink" Id="rId44" Target="https://CRAN.R-project.org/package=purrr" TargetMode="External" /><Relationship Type="http://schemas.openxmlformats.org/officeDocument/2006/relationships/hyperlink" Id="rId71" Target="https://CRAN.R-project.org/package=readr" TargetMode="External" /><Relationship Type="http://schemas.openxmlformats.org/officeDocument/2006/relationships/hyperlink" Id="rId65" Target="https://CRAN.R-project.org/package=readxl" TargetMode="External" /><Relationship Type="http://schemas.openxmlformats.org/officeDocument/2006/relationships/hyperlink" Id="rId59"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69" Target="https://CRAN.R-project.org/package=tidyr" TargetMode="External" /><Relationship Type="http://schemas.openxmlformats.org/officeDocument/2006/relationships/hyperlink" Id="rId33" Target="https://cran.r-project.org/package=tinylabels" TargetMode="External" /><Relationship Type="http://schemas.openxmlformats.org/officeDocument/2006/relationships/hyperlink" Id="rId63" Target="https://doi.org/10.21105/joss.01686" TargetMode="External" /><Relationship Type="http://schemas.openxmlformats.org/officeDocument/2006/relationships/hyperlink" Id="rId36" Target="https://doi.org/10.5281/zenodo.4679424" TargetMode="External" /><Relationship Type="http://schemas.openxmlformats.org/officeDocument/2006/relationships/hyperlink" Id="rId57"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52" Target="https://www.R-project.org/" TargetMode="External" /><Relationship Type="http://schemas.openxmlformats.org/officeDocument/2006/relationships/hyperlink" Id="rId41"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
  <cp:keywords/>
  <dcterms:created xsi:type="dcterms:W3CDTF">2022-03-02T12:49:24Z</dcterms:created>
  <dcterms:modified xsi:type="dcterms:W3CDTF">2022-03-02T12:49:24Z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
  </property>
  <property fmtid="{D5CDD505-2E9C-101B-9397-08002B2CF9AE}" pid="4" name="authornote">
    <vt:lpwstr>Ethics Approval: All study procedures were carried out in accordance with the ethical standards of the University’s Institutional Review Board. The authors received a positive vote on the study procedures from the Ethics Committee Board of Leipzig University.Consent to Participate: All participants gave informed consent.</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bookdown::word_document2</vt:lpwstr>
  </property>
  <property fmtid="{D5CDD505-2E9C-101B-9397-08002B2CF9AE}" pid="15" name="shorttitle">
    <vt:lpwstr>Visual attention in teaching and learning processes</vt:lpwstr>
  </property>
  <property fmtid="{D5CDD505-2E9C-101B-9397-08002B2CF9AE}" pid="16" name="tablelist">
    <vt:lpwstr>False</vt:lpwstr>
  </property>
  <property fmtid="{D5CDD505-2E9C-101B-9397-08002B2CF9AE}" pid="17" name="wordcount">
    <vt:lpwstr>XXX</vt:lpwstr>
  </property>
</Properties>
</file>