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```markdown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HANDOVER PLAN</w:t>
      </w:r>
    </w:p>
    <w:p>
      <w:pPr>
        <w:pStyle w:val="BodyText"/>
      </w:pPr>
      <w:r>
        <w:rPr>
          <w:bCs/>
          <w:b/>
        </w:rPr>
        <w:t xml:space="preserve">FOR</w:t>
      </w:r>
    </w:p>
    <w:p>
      <w:pPr>
        <w:pStyle w:val="BodyText"/>
      </w:pPr>
      <w:r>
        <w:rPr>
          <w:bCs/>
          <w:b/>
        </w:rPr>
        <w:t xml:space="preserve">COMBINED SYSTEM DEVELOPMENT SERVICES</w:t>
      </w:r>
    </w:p>
    <w:p>
      <w:pPr>
        <w:pStyle w:val="BodyText"/>
      </w:pPr>
      <w:r>
        <w:rPr>
          <w:bCs/>
          <w:b/>
        </w:rPr>
        <w:t xml:space="preserve">FOR</w:t>
      </w:r>
    </w:p>
    <w:p>
      <w:pPr>
        <w:pStyle w:val="BodyText"/>
      </w:pPr>
      <w:r>
        <w:rPr>
          <w:bCs/>
          <w:b/>
        </w:rPr>
        <w:t xml:space="preserve">LICENSING SELF-CERTIFICATION PORTAL</w:t>
      </w:r>
    </w:p>
    <w:p>
      <w:pPr>
        <w:pStyle w:val="BodyText"/>
      </w:pPr>
      <w:r>
        <w:rPr>
          <w:bCs/>
          <w:b/>
        </w:rPr>
        <w:t xml:space="preserve">FOR</w:t>
      </w:r>
    </w:p>
    <w:p>
      <w:pPr>
        <w:pStyle w:val="BodyText"/>
      </w:pPr>
      <w:r>
        <w:rPr>
          <w:bCs/>
          <w:b/>
        </w:rPr>
        <w:t xml:space="preserve">BUILDINGS DEPARTMENT</w:t>
      </w:r>
    </w:p>
    <w:p>
      <w:pPr>
        <w:pStyle w:val="BodyText"/>
      </w:pPr>
      <w:r>
        <w:rPr>
          <w:bCs/>
          <w:b/>
        </w:rPr>
        <w:t xml:space="preserve">Version: 0.1</w:t>
      </w:r>
    </w:p>
    <w:p>
      <w:pPr>
        <w:pStyle w:val="BodyText"/>
      </w:pPr>
      <w:r>
        <w:rPr>
          <w:bCs/>
          <w:b/>
        </w:rPr>
        <w:t xml:space="preserve">Jan 2025</w:t>
      </w:r>
    </w:p>
    <w:p>
      <w:pPr>
        <w:pStyle w:val="BodyText"/>
      </w:pPr>
      <w:r>
        <w:t xml:space="preserve">? The Government of the Hong Kong Special Administrative Region</w:t>
      </w:r>
    </w:p>
    <w:p>
      <w:pPr>
        <w:pStyle w:val="BodyText"/>
      </w:pPr>
      <w:r>
        <w:t xml:space="preserve">The contents of this document remain the property of, and may not be</w:t>
      </w:r>
      <w:r>
        <w:t xml:space="preserve"> </w:t>
      </w:r>
      <w:r>
        <w:t xml:space="preserve">reproduced in whole or in part without the express permission of the Government of the HKSAR.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Distribution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Copy 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Buildings Department (BD)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 Concept (Hong Kong) Limited (MC)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TABLE OF CONTENTS</w:t>
      </w:r>
    </w:p>
    <w:p>
      <w:pPr>
        <w:pStyle w:val="BodyText"/>
      </w:pPr>
      <w:hyperlink w:anchor="environment-description">
        <w:r>
          <w:rPr>
            <w:rStyle w:val="Hyperlink"/>
          </w:rPr>
          <w:t xml:space="preserve">1. Environment Description</w:t>
        </w:r>
      </w:hyperlink>
    </w:p>
    <w:p>
      <w:pPr>
        <w:numPr>
          <w:ilvl w:val="0"/>
          <w:numId w:val="1001"/>
        </w:numPr>
        <w:pStyle w:val="Compact"/>
      </w:pPr>
      <w:hyperlink w:anchor="production-and-uat-environment">
        <w:r>
          <w:rPr>
            <w:rStyle w:val="Hyperlink"/>
          </w:rPr>
          <w:t xml:space="preserve">1.1. Production and UAT Environment</w:t>
        </w:r>
      </w:hyperlink>
    </w:p>
    <w:p>
      <w:pPr>
        <w:numPr>
          <w:ilvl w:val="0"/>
          <w:numId w:val="1001"/>
        </w:numPr>
        <w:pStyle w:val="Compact"/>
      </w:pPr>
      <w:hyperlink w:anchor="dr-environment">
        <w:r>
          <w:rPr>
            <w:rStyle w:val="Hyperlink"/>
          </w:rPr>
          <w:t xml:space="preserve">1.2. DR Environment</w:t>
        </w:r>
      </w:hyperlink>
      <w:r>
        <w:t xml:space="preserve"> </w:t>
      </w:r>
      <w:hyperlink w:anchor="purpose">
        <w:r>
          <w:rPr>
            <w:rStyle w:val="Hyperlink"/>
          </w:rPr>
          <w:t xml:space="preserve">2. Purpose</w:t>
        </w:r>
      </w:hyperlink>
    </w:p>
    <w:p>
      <w:pPr>
        <w:numPr>
          <w:ilvl w:val="0"/>
          <w:numId w:val="1001"/>
        </w:numPr>
        <w:pStyle w:val="Compact"/>
      </w:pPr>
      <w:hyperlink w:anchor="schedule">
        <w:r>
          <w:rPr>
            <w:rStyle w:val="Hyperlink"/>
          </w:rPr>
          <w:t xml:space="preserve">2.1 Schedule</w:t>
        </w:r>
      </w:hyperlink>
    </w:p>
    <w:p>
      <w:pPr>
        <w:numPr>
          <w:ilvl w:val="0"/>
          <w:numId w:val="1001"/>
        </w:numPr>
        <w:pStyle w:val="Compact"/>
      </w:pPr>
      <w:hyperlink w:anchor="verification">
        <w:r>
          <w:rPr>
            <w:rStyle w:val="Hyperlink"/>
          </w:rPr>
          <w:t xml:space="preserve">2.2 Verification</w:t>
        </w:r>
      </w:hyperlink>
      <w:r>
        <w:t xml:space="preserve"> </w:t>
      </w:r>
      <w:hyperlink w:anchor="documentation">
        <w:r>
          <w:rPr>
            <w:rStyle w:val="Hyperlink"/>
          </w:rPr>
          <w:t xml:space="preserve">3. Documentation</w:t>
        </w:r>
      </w:hyperlink>
      <w:r>
        <w:t xml:space="preserve"> </w:t>
      </w:r>
      <w:hyperlink w:anchor="program-source-code">
        <w:r>
          <w:rPr>
            <w:rStyle w:val="Hyperlink"/>
          </w:rPr>
          <w:t xml:space="preserve">4. Program Source Code</w:t>
        </w:r>
      </w:hyperlink>
      <w:r>
        <w:t xml:space="preserve"> </w:t>
      </w:r>
      <w:hyperlink w:anchor="administration-accounts-checklist">
        <w:r>
          <w:rPr>
            <w:rStyle w:val="Hyperlink"/>
          </w:rPr>
          <w:t xml:space="preserve">5. Administration Accounts Checklist</w:t>
        </w:r>
      </w:hyperlink>
      <w:r>
        <w:t xml:space="preserve"> </w:t>
      </w:r>
      <w:hyperlink w:anchor="backup">
        <w:r>
          <w:rPr>
            <w:rStyle w:val="Hyperlink"/>
          </w:rPr>
          <w:t xml:space="preserve">6. Backup</w:t>
        </w:r>
      </w:hyperlink>
    </w:p>
    <w:p>
      <w:pPr>
        <w:numPr>
          <w:ilvl w:val="0"/>
          <w:numId w:val="1001"/>
        </w:numPr>
        <w:pStyle w:val="Compact"/>
      </w:pPr>
      <w:hyperlink w:anchor="vm-backup">
        <w:r>
          <w:rPr>
            <w:rStyle w:val="Hyperlink"/>
          </w:rPr>
          <w:t xml:space="preserve">6.1 VM Backup</w:t>
        </w:r>
      </w:hyperlink>
    </w:p>
    <w:p>
      <w:pPr>
        <w:numPr>
          <w:ilvl w:val="0"/>
          <w:numId w:val="1001"/>
        </w:numPr>
        <w:pStyle w:val="Compact"/>
      </w:pPr>
      <w:hyperlink w:anchor="database-backup">
        <w:r>
          <w:rPr>
            <w:rStyle w:val="Hyperlink"/>
          </w:rPr>
          <w:t xml:space="preserve">6.2 Database Backup</w:t>
        </w:r>
      </w:hyperlink>
    </w:p>
    <w:p>
      <w:pPr>
        <w:numPr>
          <w:ilvl w:val="0"/>
          <w:numId w:val="1001"/>
        </w:numPr>
        <w:pStyle w:val="Compact"/>
      </w:pPr>
      <w:hyperlink w:anchor="database-backup-strategy">
        <w:r>
          <w:rPr>
            <w:rStyle w:val="Hyperlink"/>
          </w:rPr>
          <w:t xml:space="preserve">6.3 Database Backup Strategy</w:t>
        </w:r>
      </w:hyperlink>
    </w:p>
    <w:p>
      <w:pPr>
        <w:numPr>
          <w:ilvl w:val="1"/>
          <w:numId w:val="1002"/>
        </w:numPr>
        <w:pStyle w:val="Compact"/>
      </w:pPr>
      <w:hyperlink w:anchor="sql-database-backup">
        <w:r>
          <w:rPr>
            <w:rStyle w:val="Hyperlink"/>
          </w:rPr>
          <w:t xml:space="preserve">6.3.1 SQL Database Backup</w:t>
        </w:r>
      </w:hyperlink>
    </w:p>
    <w:p>
      <w:pPr>
        <w:numPr>
          <w:ilvl w:val="1"/>
          <w:numId w:val="1002"/>
        </w:numPr>
        <w:pStyle w:val="Compact"/>
      </w:pPr>
      <w:hyperlink w:anchor="recovery">
        <w:r>
          <w:rPr>
            <w:rStyle w:val="Hyperlink"/>
          </w:rPr>
          <w:t xml:space="preserve">6.3.2 Recovery</w:t>
        </w:r>
      </w:hyperlink>
    </w:p>
    <w:p>
      <w:pPr>
        <w:numPr>
          <w:ilvl w:val="1"/>
          <w:numId w:val="1002"/>
        </w:numPr>
        <w:pStyle w:val="Compact"/>
      </w:pPr>
      <w:hyperlink w:anchor="backup-schedule">
        <w:r>
          <w:rPr>
            <w:rStyle w:val="Hyperlink"/>
          </w:rPr>
          <w:t xml:space="preserve">6.3.3 Backup Schedule</w:t>
        </w:r>
      </w:hyperlink>
      <w:r>
        <w:t xml:space="preserve"> </w:t>
      </w:r>
      <w:hyperlink w:anchor="outstanding-itemsissues">
        <w:r>
          <w:rPr>
            <w:rStyle w:val="Hyperlink"/>
          </w:rPr>
          <w:t xml:space="preserve">7. Outstanding Items/Issues</w:t>
        </w:r>
      </w:hyperlink>
      <w:r>
        <w:t xml:space="preserve"> </w:t>
      </w:r>
      <w:hyperlink w:anchor="licensed-software">
        <w:r>
          <w:rPr>
            <w:rStyle w:val="Hyperlink"/>
          </w:rPr>
          <w:t xml:space="preserve">8. Licensed Software</w:t>
        </w:r>
      </w:hyperlink>
      <w:r>
        <w:t xml:space="preserve"> </w:t>
      </w:r>
      <w:hyperlink w:anchor="security">
        <w:r>
          <w:rPr>
            <w:rStyle w:val="Hyperlink"/>
          </w:rPr>
          <w:t xml:space="preserve">9. Security</w:t>
        </w:r>
      </w:hyperlink>
    </w:p>
    <w:p>
      <w:pPr>
        <w:numPr>
          <w:ilvl w:val="0"/>
          <w:numId w:val="1001"/>
        </w:numPr>
        <w:pStyle w:val="Compact"/>
      </w:pPr>
      <w:hyperlink w:anchor="system-control">
        <w:r>
          <w:rPr>
            <w:rStyle w:val="Hyperlink"/>
          </w:rPr>
          <w:t xml:space="preserve">9.1 System Control</w:t>
        </w:r>
      </w:hyperlink>
    </w:p>
    <w:p>
      <w:pPr>
        <w:numPr>
          <w:ilvl w:val="0"/>
          <w:numId w:val="1001"/>
        </w:numPr>
        <w:pStyle w:val="Compact"/>
      </w:pPr>
      <w:hyperlink w:anchor="data-transmission-security">
        <w:r>
          <w:rPr>
            <w:rStyle w:val="Hyperlink"/>
          </w:rPr>
          <w:t xml:space="preserve">9.2 Data Transmission Security</w:t>
        </w:r>
      </w:hyperlink>
    </w:p>
    <w:p>
      <w:pPr>
        <w:numPr>
          <w:ilvl w:val="0"/>
          <w:numId w:val="1001"/>
        </w:numPr>
        <w:pStyle w:val="Compact"/>
      </w:pPr>
      <w:hyperlink w:anchor="data-storage-and-auditing-security">
        <w:r>
          <w:rPr>
            <w:rStyle w:val="Hyperlink"/>
          </w:rPr>
          <w:t xml:space="preserve">9.3 Data Storage and Auditing Security</w:t>
        </w:r>
      </w:hyperlink>
    </w:p>
    <w:p>
      <w:pPr>
        <w:numPr>
          <w:ilvl w:val="0"/>
          <w:numId w:val="1001"/>
        </w:numPr>
        <w:pStyle w:val="Compact"/>
      </w:pPr>
      <w:hyperlink w:anchor="system-security">
        <w:r>
          <w:rPr>
            <w:rStyle w:val="Hyperlink"/>
          </w:rPr>
          <w:t xml:space="preserve">9.4 System Security</w:t>
        </w:r>
      </w:hyperlink>
    </w:p>
    <w:p>
      <w:pPr>
        <w:numPr>
          <w:ilvl w:val="0"/>
          <w:numId w:val="1001"/>
        </w:numPr>
        <w:pStyle w:val="Compact"/>
      </w:pPr>
      <w:hyperlink w:anchor="physical-security">
        <w:r>
          <w:rPr>
            <w:rStyle w:val="Hyperlink"/>
          </w:rPr>
          <w:t xml:space="preserve">9.5 Physical Security</w:t>
        </w:r>
      </w:hyperlink>
    </w:p>
    <w:p>
      <w:pPr>
        <w:numPr>
          <w:ilvl w:val="0"/>
          <w:numId w:val="1001"/>
        </w:numPr>
        <w:pStyle w:val="Compact"/>
      </w:pPr>
      <w:hyperlink w:anchor="password-and-group-control">
        <w:r>
          <w:rPr>
            <w:rStyle w:val="Hyperlink"/>
          </w:rPr>
          <w:t xml:space="preserve">9.6 Password and Group Control</w:t>
        </w:r>
      </w:hyperlink>
    </w:p>
    <w:p>
      <w:pPr>
        <w:numPr>
          <w:ilvl w:val="0"/>
          <w:numId w:val="1001"/>
        </w:numPr>
        <w:pStyle w:val="Compact"/>
      </w:pPr>
      <w:hyperlink w:anchor="X51231f61d13e098c78085aaed4438a02843607e">
        <w:r>
          <w:rPr>
            <w:rStyle w:val="Hyperlink"/>
          </w:rPr>
          <w:t xml:space="preserve">9.7 Control Procedure of Application User Account and Production Support Account</w:t>
        </w:r>
      </w:hyperlink>
    </w:p>
    <w:p>
      <w:pPr>
        <w:numPr>
          <w:ilvl w:val="0"/>
          <w:numId w:val="1001"/>
        </w:numPr>
        <w:pStyle w:val="Compact"/>
      </w:pPr>
      <w:hyperlink w:anchor="change-control">
        <w:r>
          <w:rPr>
            <w:rStyle w:val="Hyperlink"/>
          </w:rPr>
          <w:t xml:space="preserve">9.8 Change Control</w:t>
        </w:r>
      </w:hyperlink>
    </w:p>
    <w:p>
      <w:pPr>
        <w:numPr>
          <w:ilvl w:val="0"/>
          <w:numId w:val="1001"/>
        </w:numPr>
        <w:pStyle w:val="Compact"/>
      </w:pPr>
      <w:hyperlink w:anchor="disaster-recovery">
        <w:r>
          <w:rPr>
            <w:rStyle w:val="Hyperlink"/>
          </w:rPr>
          <w:t xml:space="preserve">9.9 Disaster Recovery</w:t>
        </w:r>
      </w:hyperlink>
      <w:r>
        <w:t xml:space="preserve"> </w:t>
      </w:r>
      <w:hyperlink w:anchor="log-management">
        <w:r>
          <w:rPr>
            <w:rStyle w:val="Hyperlink"/>
          </w:rPr>
          <w:t xml:space="preserve">10. Log Management</w:t>
        </w:r>
      </w:hyperlink>
      <w:r>
        <w:t xml:space="preserve"> </w:t>
      </w:r>
      <w:hyperlink w:anchor="equipment-configuration">
        <w:r>
          <w:rPr>
            <w:rStyle w:val="Hyperlink"/>
          </w:rPr>
          <w:t xml:space="preserve">11. Equipment Configuration</w:t>
        </w:r>
      </w:hyperlink>
    </w:p>
    <w:p>
      <w:pPr>
        <w:numPr>
          <w:ilvl w:val="0"/>
          <w:numId w:val="1001"/>
        </w:numPr>
        <w:pStyle w:val="Compact"/>
      </w:pPr>
      <w:hyperlink w:anchor="computer-hardware">
        <w:r>
          <w:rPr>
            <w:rStyle w:val="Hyperlink"/>
          </w:rPr>
          <w:t xml:space="preserve">11.1 Computer Hardware</w:t>
        </w:r>
      </w:hyperlink>
    </w:p>
    <w:p>
      <w:pPr>
        <w:numPr>
          <w:ilvl w:val="1"/>
          <w:numId w:val="1003"/>
        </w:numPr>
        <w:pStyle w:val="Compact"/>
      </w:pPr>
      <w:hyperlink w:anchor="hardware-components-1">
        <w:r>
          <w:rPr>
            <w:rStyle w:val="Hyperlink"/>
          </w:rPr>
          <w:t xml:space="preserve">11.1.1 Hardware Components</w:t>
        </w:r>
      </w:hyperlink>
    </w:p>
    <w:p>
      <w:pPr>
        <w:numPr>
          <w:ilvl w:val="1"/>
          <w:numId w:val="1003"/>
        </w:numPr>
        <w:pStyle w:val="Compact"/>
      </w:pPr>
      <w:hyperlink w:anchor="guest-servers-components-1">
        <w:r>
          <w:rPr>
            <w:rStyle w:val="Hyperlink"/>
          </w:rPr>
          <w:t xml:space="preserve">11.1.2 Guest Servers Components</w:t>
        </w:r>
      </w:hyperlink>
    </w:p>
    <w:p>
      <w:pPr>
        <w:numPr>
          <w:ilvl w:val="1"/>
          <w:numId w:val="1003"/>
        </w:numPr>
        <w:pStyle w:val="Compact"/>
      </w:pPr>
      <w:hyperlink w:anchor="gateway-and-smtpx-configuration-1">
        <w:r>
          <w:rPr>
            <w:rStyle w:val="Hyperlink"/>
          </w:rPr>
          <w:t xml:space="preserve">11.1.3 Gateway and SMTPX Configuration</w:t>
        </w:r>
      </w:hyperlink>
    </w:p>
    <w:p>
      <w:pPr>
        <w:numPr>
          <w:ilvl w:val="1"/>
          <w:numId w:val="1003"/>
        </w:numPr>
        <w:pStyle w:val="Compact"/>
      </w:pPr>
      <w:hyperlink w:anchor="database-configuration-1">
        <w:r>
          <w:rPr>
            <w:rStyle w:val="Hyperlink"/>
          </w:rPr>
          <w:t xml:space="preserve">11.1.4 Database Configuration</w:t>
        </w:r>
      </w:hyperlink>
    </w:p>
    <w:p>
      <w:pPr>
        <w:numPr>
          <w:ilvl w:val="1"/>
          <w:numId w:val="1003"/>
        </w:numPr>
        <w:pStyle w:val="Compact"/>
      </w:pPr>
      <w:hyperlink w:anchor="X5c8787595098517947b6f23ac38f4fe7cded31c">
        <w:r>
          <w:rPr>
            <w:rStyle w:val="Hyperlink"/>
          </w:rPr>
          <w:t xml:space="preserve">11.1.5 Detailed Server and Network Configurations</w:t>
        </w:r>
      </w:hyperlink>
    </w:p>
    <w:p>
      <w:pPr>
        <w:numPr>
          <w:ilvl w:val="0"/>
          <w:numId w:val="1001"/>
        </w:numPr>
        <w:pStyle w:val="Compact"/>
      </w:pPr>
      <w:hyperlink w:anchor="software-inventories">
        <w:r>
          <w:rPr>
            <w:rStyle w:val="Hyperlink"/>
          </w:rPr>
          <w:t xml:space="preserve">11.2 Software Inventories</w:t>
        </w:r>
      </w:hyperlink>
    </w:p>
    <w:p>
      <w:pPr>
        <w:numPr>
          <w:ilvl w:val="1"/>
          <w:numId w:val="1004"/>
        </w:numPr>
        <w:pStyle w:val="Compact"/>
      </w:pPr>
      <w:hyperlink w:anchor="inventory-of-application-programs-1">
        <w:r>
          <w:rPr>
            <w:rStyle w:val="Hyperlink"/>
          </w:rPr>
          <w:t xml:space="preserve">11.2.1 Inventory of Application Programs</w:t>
        </w:r>
      </w:hyperlink>
    </w:p>
    <w:p>
      <w:pPr>
        <w:numPr>
          <w:ilvl w:val="1"/>
          <w:numId w:val="1004"/>
        </w:numPr>
        <w:pStyle w:val="Compact"/>
      </w:pPr>
      <w:hyperlink w:anchor="Xd45513c0c296a44a2ca5d95cc2ec4f3b4dde69d">
        <w:r>
          <w:rPr>
            <w:rStyle w:val="Hyperlink"/>
          </w:rPr>
          <w:t xml:space="preserve">11.2.2 Inventory of System Software and Software Package</w:t>
        </w:r>
      </w:hyperlink>
      <w:r>
        <w:t xml:space="preserve"> </w:t>
      </w:r>
      <w:hyperlink w:anchor="definitions-and-conventions">
        <w:r>
          <w:rPr>
            <w:rStyle w:val="Hyperlink"/>
          </w:rPr>
          <w:t xml:space="preserve">12. Definitions and Conventions</w:t>
        </w:r>
      </w:hyperlink>
    </w:p>
    <w:p>
      <w:pPr>
        <w:numPr>
          <w:ilvl w:val="0"/>
          <w:numId w:val="1001"/>
        </w:numPr>
        <w:pStyle w:val="Compact"/>
      </w:pPr>
      <w:hyperlink w:anchor="definitions">
        <w:r>
          <w:rPr>
            <w:rStyle w:val="Hyperlink"/>
          </w:rPr>
          <w:t xml:space="preserve">12.1 Definitions</w:t>
        </w:r>
      </w:hyperlink>
    </w:p>
    <w:p>
      <w:pPr>
        <w:numPr>
          <w:ilvl w:val="0"/>
          <w:numId w:val="1001"/>
        </w:numPr>
        <w:pStyle w:val="Compact"/>
      </w:pPr>
      <w:hyperlink w:anchor="conventions">
        <w:r>
          <w:rPr>
            <w:rStyle w:val="Hyperlink"/>
          </w:rPr>
          <w:t xml:space="preserve">12.2 Conventions</w:t>
        </w:r>
      </w:hyperlink>
      <w:r>
        <w:t xml:space="preserve"> </w:t>
      </w:r>
      <w:hyperlink w:anchor="system-summary">
        <w:r>
          <w:rPr>
            <w:rStyle w:val="Hyperlink"/>
          </w:rPr>
          <w:t xml:space="preserve">13. System Summary</w:t>
        </w:r>
      </w:hyperlink>
    </w:p>
    <w:p>
      <w:pPr>
        <w:numPr>
          <w:ilvl w:val="0"/>
          <w:numId w:val="1001"/>
        </w:numPr>
        <w:pStyle w:val="Compact"/>
      </w:pPr>
      <w:hyperlink w:anchor="objective-1">
        <w:r>
          <w:rPr>
            <w:rStyle w:val="Hyperlink"/>
          </w:rPr>
          <w:t xml:space="preserve">13.1 Objective</w:t>
        </w:r>
      </w:hyperlink>
    </w:p>
    <w:p>
      <w:pPr>
        <w:numPr>
          <w:ilvl w:val="0"/>
          <w:numId w:val="1001"/>
        </w:numPr>
        <w:pStyle w:val="Compact"/>
      </w:pPr>
      <w:hyperlink w:anchor="system-architecture-1">
        <w:r>
          <w:rPr>
            <w:rStyle w:val="Hyperlink"/>
          </w:rPr>
          <w:t xml:space="preserve">13.2 System Architecture</w:t>
        </w:r>
      </w:hyperlink>
    </w:p>
    <w:p>
      <w:pPr>
        <w:numPr>
          <w:ilvl w:val="0"/>
          <w:numId w:val="1001"/>
        </w:numPr>
        <w:pStyle w:val="Compact"/>
      </w:pPr>
      <w:hyperlink w:anchor="system-functions-1">
        <w:r>
          <w:rPr>
            <w:rStyle w:val="Hyperlink"/>
          </w:rPr>
          <w:t xml:space="preserve">13.3 System Functions</w:t>
        </w:r>
      </w:hyperlink>
      <w:r>
        <w:t xml:space="preserve"> </w:t>
      </w:r>
      <w:hyperlink w:anchor="database-administration-1">
        <w:r>
          <w:rPr>
            <w:rStyle w:val="Hyperlink"/>
          </w:rPr>
          <w:t xml:space="preserve">14. Database Administration</w:t>
        </w:r>
      </w:hyperlink>
    </w:p>
    <w:p>
      <w:pPr>
        <w:numPr>
          <w:ilvl w:val="0"/>
          <w:numId w:val="1001"/>
        </w:numPr>
        <w:pStyle w:val="Compact"/>
      </w:pPr>
      <w:hyperlink w:anchor="clean-database-transaction-logs">
        <w:r>
          <w:rPr>
            <w:rStyle w:val="Hyperlink"/>
          </w:rPr>
          <w:t xml:space="preserve">14.1 Clean Database Transaction Logs</w:t>
        </w:r>
      </w:hyperlink>
    </w:p>
    <w:p>
      <w:pPr>
        <w:numPr>
          <w:ilvl w:val="0"/>
          <w:numId w:val="1001"/>
        </w:numPr>
        <w:pStyle w:val="Compact"/>
      </w:pPr>
      <w:hyperlink w:anchor="database-backup-1">
        <w:r>
          <w:rPr>
            <w:rStyle w:val="Hyperlink"/>
          </w:rPr>
          <w:t xml:space="preserve">14.2 Database Backup</w:t>
        </w:r>
      </w:hyperlink>
    </w:p>
    <w:p>
      <w:pPr>
        <w:numPr>
          <w:ilvl w:val="0"/>
          <w:numId w:val="1001"/>
        </w:numPr>
        <w:pStyle w:val="Compact"/>
      </w:pPr>
      <w:hyperlink w:anchor="system-constraints-and-limitations">
        <w:r>
          <w:rPr>
            <w:rStyle w:val="Hyperlink"/>
          </w:rPr>
          <w:t xml:space="preserve">14.3 System Constraints and Limitations</w:t>
        </w:r>
      </w:hyperlink>
    </w:p>
    <w:bookmarkStart w:id="22" w:name="Xab37d7fd4b49b781fd5def2b2382cdc5caf8872"/>
    <w:p>
      <w:pPr>
        <w:pStyle w:val="Heading1"/>
      </w:pPr>
      <w:r>
        <w:t xml:space="preserve">1. Environment Description</w:t>
      </w:r>
    </w:p>
    <w:bookmarkStart w:id="20" w:name="X0e48021eca5e29bf8eecbfbe0ab8b860abe31aa"/>
    <w:p>
      <w:pPr>
        <w:pStyle w:val="Heading2"/>
      </w:pPr>
      <w:r>
        <w:t xml:space="preserve">1.1. Production and UAT Environment</w:t>
      </w:r>
    </w:p>
    <w:p>
      <w:pPr>
        <w:pStyle w:val="FirstParagraph"/>
      </w:pPr>
      <w:r>
        <w:t xml:space="preserve">Production and UAT environment:</w:t>
      </w:r>
    </w:p>
    <w:p>
      <w:pPr>
        <w:pStyle w:val="BodyText"/>
      </w:pPr>
      <w:r>
        <w:t xml:space="preserve">[Production and UAT environment diagram here. Please refer to source documents for images.]</w:t>
      </w:r>
    </w:p>
    <w:p>
      <w:pPr>
        <w:pStyle w:val="BodyText"/>
      </w:pPr>
      <w:r>
        <w:t xml:space="preserve">List of machines and virtual machines:</w:t>
      </w:r>
    </w:p>
    <w:bookmarkEnd w:id="20"/>
    <w:bookmarkStart w:id="21" w:name="Xc6650b9c854991590829138e0673cc27bad1214"/>
    <w:p>
      <w:pPr>
        <w:pStyle w:val="Heading2"/>
      </w:pPr>
      <w:r>
        <w:t xml:space="preserve">1.2. DR Environment</w:t>
      </w:r>
    </w:p>
    <w:p>
      <w:pPr>
        <w:pStyle w:val="FirstParagraph"/>
      </w:pPr>
      <w:r>
        <w:t xml:space="preserve">DR environment:</w:t>
      </w:r>
    </w:p>
    <w:p>
      <w:pPr>
        <w:pStyle w:val="BodyText"/>
      </w:pPr>
      <w:r>
        <w:t xml:space="preserve">[DR environment diagram here. Please refer to source documents for images.]</w:t>
      </w:r>
    </w:p>
    <w:p>
      <w:pPr>
        <w:pStyle w:val="BodyText"/>
      </w:pPr>
      <w:r>
        <w:t xml:space="preserve">List of machines and virtual machines:</w:t>
      </w:r>
    </w:p>
    <w:bookmarkEnd w:id="21"/>
    <w:bookmarkEnd w:id="22"/>
    <w:bookmarkStart w:id="25" w:name="X1afbb7cf017363dacdada6abb79ba2dcb78a7a4"/>
    <w:p>
      <w:pPr>
        <w:pStyle w:val="Heading1"/>
      </w:pPr>
      <w:r>
        <w:t xml:space="preserve">2. Purpose</w:t>
      </w:r>
    </w:p>
    <w:p>
      <w:pPr>
        <w:pStyle w:val="FirstParagraph"/>
      </w:pPr>
      <w:r>
        <w:t xml:space="preserve">This document is a checklist of handover materials within project scope;</w:t>
      </w:r>
      <w:r>
        <w:t xml:space="preserve"> </w:t>
      </w:r>
      <w:r>
        <w:t xml:space="preserve">and it also provides relevant information to the support maintenance</w:t>
      </w:r>
      <w:r>
        <w:t xml:space="preserve"> </w:t>
      </w:r>
      <w:r>
        <w:t xml:space="preserve">staff who will be maintaining this system in the future. All these</w:t>
      </w:r>
      <w:r>
        <w:t xml:space="preserve"> </w:t>
      </w:r>
      <w:r>
        <w:t xml:space="preserve">deliverables should be received from system implementation team of the</w:t>
      </w:r>
      <w:r>
        <w:t xml:space="preserve"> </w:t>
      </w:r>
      <w:r>
        <w:t xml:space="preserve">Licensing Self-Certification Portal (LSCP); to the Buildings Department</w:t>
      </w:r>
      <w:r>
        <w:t xml:space="preserve"> </w:t>
      </w:r>
      <w:r>
        <w:t xml:space="preserve">(BD) of the Government of the Hong Kong Special Administrative Region</w:t>
      </w:r>
      <w:r>
        <w:t xml:space="preserve"> </w:t>
      </w:r>
      <w:r>
        <w:t xml:space="preserve">(HKSARG or the Government).</w:t>
      </w:r>
    </w:p>
    <w:p>
      <w:pPr>
        <w:pStyle w:val="BodyText"/>
      </w:pPr>
      <w:r>
        <w:t xml:space="preserve">The hand-over items of this project can be summarized into the following</w:t>
      </w:r>
      <w:r>
        <w:t xml:space="preserve"> </w:t>
      </w:r>
      <w:r>
        <w:t xml:space="preserve">6 items:</w:t>
      </w:r>
    </w:p>
    <w:p>
      <w:pPr>
        <w:numPr>
          <w:ilvl w:val="0"/>
          <w:numId w:val="1005"/>
        </w:numPr>
        <w:pStyle w:val="Compact"/>
      </w:pPr>
      <w:r>
        <w:t xml:space="preserve">Documentation</w:t>
      </w:r>
    </w:p>
    <w:p>
      <w:pPr>
        <w:numPr>
          <w:ilvl w:val="0"/>
          <w:numId w:val="1005"/>
        </w:numPr>
        <w:pStyle w:val="Compact"/>
      </w:pPr>
      <w:r>
        <w:t xml:space="preserve">Program Source code (Backend Application, Frontend Web App, Fronted Mobile App)</w:t>
      </w:r>
    </w:p>
    <w:p>
      <w:pPr>
        <w:numPr>
          <w:ilvl w:val="0"/>
          <w:numId w:val="1005"/>
        </w:numPr>
        <w:pStyle w:val="Compact"/>
      </w:pPr>
      <w:r>
        <w:t xml:space="preserve">Administration Accounts</w:t>
      </w:r>
    </w:p>
    <w:p>
      <w:pPr>
        <w:numPr>
          <w:ilvl w:val="0"/>
          <w:numId w:val="1005"/>
        </w:numPr>
        <w:pStyle w:val="Compact"/>
      </w:pPr>
      <w:r>
        <w:t xml:space="preserve">System backup</w:t>
      </w:r>
    </w:p>
    <w:p>
      <w:pPr>
        <w:numPr>
          <w:ilvl w:val="0"/>
          <w:numId w:val="1005"/>
        </w:numPr>
        <w:pStyle w:val="Compact"/>
      </w:pPr>
      <w:r>
        <w:t xml:space="preserve">Hardware</w:t>
      </w:r>
    </w:p>
    <w:p>
      <w:pPr>
        <w:numPr>
          <w:ilvl w:val="0"/>
          <w:numId w:val="1005"/>
        </w:numPr>
        <w:pStyle w:val="Compact"/>
      </w:pPr>
      <w:r>
        <w:t xml:space="preserve">Software Packages and Licenses</w:t>
      </w:r>
    </w:p>
    <w:bookmarkStart w:id="23" w:name="Xc144c05800c242f228acbf3d35115cc6cc3a37a"/>
    <w:p>
      <w:pPr>
        <w:pStyle w:val="Heading2"/>
      </w:pPr>
      <w:r>
        <w:t xml:space="preserve">2.1 Schedule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 Parties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Handover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MC/BD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Verification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BD</w:t>
            </w:r>
          </w:p>
        </w:tc>
      </w:tr>
    </w:tbl>
    <w:bookmarkEnd w:id="23"/>
    <w:bookmarkStart w:id="24" w:name="Xa0375718e92a57a452afac9ed1553e07106934d"/>
    <w:p>
      <w:pPr>
        <w:pStyle w:val="Heading2"/>
      </w:pPr>
      <w:r>
        <w:t xml:space="preserve">2.2 Verification</w:t>
      </w:r>
    </w:p>
    <w:p>
      <w:pPr>
        <w:numPr>
          <w:ilvl w:val="0"/>
          <w:numId w:val="1006"/>
        </w:numPr>
        <w:pStyle w:val="Compact"/>
      </w:pPr>
      <w:r>
        <w:t xml:space="preserve">The application URL verification</w:t>
      </w:r>
    </w:p>
    <w:p>
      <w:pPr>
        <w:pStyle w:val="BlockText"/>
      </w:pPr>
      <w:r>
        <w:t xml:space="preserve">The access link (URL) of each application should be verified by</w:t>
      </w:r>
      <w:r>
        <w:t xml:space="preserve"> </w:t>
      </w:r>
      <w:r>
        <w:t xml:space="preserve">performing an access checking.</w:t>
      </w:r>
    </w:p>
    <w:p>
      <w:pPr>
        <w:numPr>
          <w:ilvl w:val="0"/>
          <w:numId w:val="1007"/>
        </w:numPr>
        <w:pStyle w:val="Compact"/>
      </w:pPr>
      <w:r>
        <w:t xml:space="preserve">Login accounts verification</w:t>
      </w:r>
    </w:p>
    <w:p>
      <w:pPr>
        <w:pStyle w:val="BlockText"/>
      </w:pPr>
      <w:r>
        <w:t xml:space="preserve">The login accounts of the applications and servers should be verified</w:t>
      </w:r>
      <w:r>
        <w:t xml:space="preserve"> </w:t>
      </w:r>
      <w:r>
        <w:t xml:space="preserve">by processing login action.</w:t>
      </w:r>
    </w:p>
    <w:bookmarkEnd w:id="24"/>
    <w:bookmarkEnd w:id="25"/>
    <w:bookmarkStart w:id="26" w:name="X799b6537d1d9efb16bd6e9cecb027273e5f7166"/>
    <w:p>
      <w:pPr>
        <w:pStyle w:val="Heading1"/>
      </w:pPr>
      <w:r>
        <w:t xml:space="preserve">3. Documentation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Document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SA&amp;D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Initiation Document (PID)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Physical Data Design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Process Data 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Catalogue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Program Specifications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 Optimization Report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Test Plan, Spec and Results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 Test Cases and Results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 Test Plan and Result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Training Plan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Manual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Installation Plan Report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 Plan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 Drill Test result Report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WCAG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UAT Plan and Results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 Operation manual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Computer Operation Procedures Manual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Manual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Maintenance Plan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Procedures Manual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 Incident Handling Procedure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Handover Plan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Manual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Program Manual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Evaluation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</w:tbl>
    <w:bookmarkEnd w:id="26"/>
    <w:bookmarkStart w:id="27" w:name="X024d4d707bef6301457b13cbed9661c0e88e117"/>
    <w:p>
      <w:pPr>
        <w:pStyle w:val="Heading1"/>
      </w:pPr>
      <w:r>
        <w:t xml:space="preserve">4. Program Source Code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Frontend Application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Backend Application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28" w:name="X5beeabeca1887af5ae43665672726d310781860"/>
    <w:p>
      <w:pPr>
        <w:pStyle w:val="Heading1"/>
      </w:pPr>
      <w:r>
        <w:t xml:space="preserve">5. Administration Accounts Checklist</w:t>
      </w:r>
    </w:p>
    <w:p>
      <w:pPr>
        <w:pStyle w:val="FirstParagraph"/>
      </w:pPr>
      <w:r>
        <w:t xml:space="preserve">In this section, it will list the user account for management in the</w:t>
      </w:r>
      <w:r>
        <w:t xml:space="preserve"> </w:t>
      </w:r>
      <w:r>
        <w:t xml:space="preserve">different areas.</w:t>
      </w:r>
    </w:p>
    <w:p>
      <w:pPr>
        <w:pStyle w:val="BodyText"/>
      </w:pPr>
      <w:r>
        <w:t xml:space="preserve">Administration Accounts on LSCP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account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BD Admin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PRD / 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BD Admin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35" w:name="X41c4be6a8c3aeb1e21d8f1dba7245081437de7a"/>
    <w:p>
      <w:pPr>
        <w:pStyle w:val="Heading1"/>
      </w:pPr>
      <w:r>
        <w:t xml:space="preserve">6. Backup</w:t>
      </w:r>
    </w:p>
    <w:p>
      <w:pPr>
        <w:pStyle w:val="FirstParagraph"/>
      </w:pPr>
      <w:r>
        <w:t xml:space="preserve">[RY Note: Following content needs to check]</w:t>
      </w:r>
    </w:p>
    <w:bookmarkStart w:id="29" w:name="X52f606abff054891b541f4a3d46de13459709b9"/>
    <w:p>
      <w:pPr>
        <w:pStyle w:val="Heading2"/>
      </w:pPr>
      <w:r>
        <w:t xml:space="preserve">6.1 VM Backup</w:t>
      </w:r>
    </w:p>
    <w:p>
      <w:pPr>
        <w:pStyle w:val="FirstParagraph"/>
      </w:pPr>
      <w:r>
        <w:t xml:space="preserve">Backup service is carried out by backup server.</w:t>
      </w:r>
    </w:p>
    <w:p>
      <w:pPr>
        <w:pStyle w:val="BodyText"/>
      </w:pPr>
      <w:r>
        <w:t xml:space="preserve">Daily VM image backup is carried out and store in the backup servers. A</w:t>
      </w:r>
      <w:r>
        <w:t xml:space="preserve"> </w:t>
      </w:r>
      <w:r>
        <w:t xml:space="preserve">further copy of production VM images is copied to DR?s backuper server.</w:t>
      </w:r>
    </w:p>
    <w:bookmarkEnd w:id="29"/>
    <w:bookmarkStart w:id="30" w:name="X49c27c890abf8655a073a9b82b396bc306f3bb8"/>
    <w:p>
      <w:pPr>
        <w:pStyle w:val="Heading2"/>
      </w:pPr>
      <w:r>
        <w:t xml:space="preserve">6.2 Database Backup</w:t>
      </w:r>
    </w:p>
    <w:p>
      <w:pPr>
        <w:pStyle w:val="FirstParagraph"/>
      </w:pPr>
      <w:r>
        <w:t xml:space="preserve">Database full export backup: this type of backup contains full database</w:t>
      </w:r>
      <w:r>
        <w:t xml:space="preserve"> </w:t>
      </w:r>
      <w:r>
        <w:t xml:space="preserve">exported database objects including schemas, table structures, packages,</w:t>
      </w:r>
      <w:r>
        <w:t xml:space="preserve"> </w:t>
      </w:r>
      <w:r>
        <w:t xml:space="preserve">stored procedures and data.</w:t>
      </w:r>
    </w:p>
    <w:p>
      <w:pPr>
        <w:pStyle w:val="BodyText"/>
      </w:pPr>
      <w:r>
        <w:t xml:space="preserve">Daily full export backup is done on DB servers, data stored on the DB</w:t>
      </w:r>
      <w:r>
        <w:t xml:space="preserve"> </w:t>
      </w:r>
      <w:r>
        <w:t xml:space="preserve">servers and further backed up by VM Backup.</w:t>
      </w:r>
    </w:p>
    <w:bookmarkEnd w:id="30"/>
    <w:bookmarkStart w:id="34" w:name="Xc02680e2f39a5651a8b686b3c24efe4922c4ca5"/>
    <w:p>
      <w:pPr>
        <w:pStyle w:val="Heading2"/>
      </w:pPr>
      <w:r>
        <w:t xml:space="preserve">6.3 Database Backup Strategy</w:t>
      </w:r>
    </w:p>
    <w:bookmarkStart w:id="31" w:name="Xcd84672b9f5a548a0d6e144b771916a39dfdd29"/>
    <w:p>
      <w:pPr>
        <w:pStyle w:val="Heading3"/>
      </w:pPr>
      <w:r>
        <w:t xml:space="preserve">6.3.1 SQL Database Backup</w:t>
      </w:r>
    </w:p>
    <w:p>
      <w:pPr>
        <w:pStyle w:val="FirstParagraph"/>
      </w:pPr>
      <w:r>
        <w:t xml:space="preserve">Besides DB server VM backup, database full export backup will be carried out as well. This type</w:t>
      </w:r>
      <w:r>
        <w:t xml:space="preserve"> </w:t>
      </w:r>
      <w:r>
        <w:t xml:space="preserve">of backup contains full database export database objects including</w:t>
      </w:r>
      <w:r>
        <w:t xml:space="preserve"> </w:t>
      </w:r>
      <w:r>
        <w:t xml:space="preserve">schemas, table structures, packages, stored procedures and data at 18:45</w:t>
      </w:r>
      <w:r>
        <w:t xml:space="preserve"> </w:t>
      </w:r>
      <w:r>
        <w:t xml:space="preserve">daily.</w:t>
      </w:r>
    </w:p>
    <w:p>
      <w:pPr>
        <w:pStyle w:val="BodyText"/>
      </w:pPr>
      <w:r>
        <w:t xml:space="preserve">The daily full export backup is done on DB servers (uat-db-01,</w:t>
      </w:r>
      <w:r>
        <w:t xml:space="preserve"> </w:t>
      </w:r>
      <w:r>
        <w:t xml:space="preserve">prd-db-01, prd-db-02, dr-db-01), data stored on the DB servers?</w:t>
      </w:r>
      <w:r>
        <w:t xml:space="preserve"> </w:t>
      </w:r>
      <w:r>
        <w:t xml:space="preserve">directory:</w:t>
      </w:r>
      <w:r>
        <w:t xml:space="preserve"> </w:t>
      </w:r>
      <w:r>
        <w:rPr>
          <w:rStyle w:val="VerbatimChar"/>
        </w:rPr>
        <w:t xml:space="preserve">D:\backup\</w:t>
      </w:r>
    </w:p>
    <w:bookmarkEnd w:id="31"/>
    <w:bookmarkStart w:id="32" w:name="X214f665c7ac6df9ab36d6635a2a0c214d63d1c6"/>
    <w:p>
      <w:pPr>
        <w:pStyle w:val="Heading3"/>
      </w:pPr>
      <w:r>
        <w:t xml:space="preserve">6.3.2 Recovery</w:t>
      </w:r>
    </w:p>
    <w:p>
      <w:pPr>
        <w:pStyle w:val="FirstParagraph"/>
      </w:pPr>
      <w:r>
        <w:t xml:space="preserve">The table below shows the impact, system recovery and the expected</w:t>
      </w:r>
      <w:r>
        <w:t xml:space="preserve"> </w:t>
      </w:r>
      <w:r>
        <w:t xml:space="preserve">duration before the BDSCS is resumed to normal operation when various</w:t>
      </w:r>
      <w:r>
        <w:t xml:space="preserve"> </w:t>
      </w:r>
      <w:r>
        <w:t xml:space="preserve">system failures occur.</w:t>
      </w:r>
    </w:p>
    <w:bookmarkEnd w:id="32"/>
    <w:bookmarkStart w:id="33" w:name="X238eac7aa24ae42a9fb2196602b7786a6412f3a"/>
    <w:p>
      <w:pPr>
        <w:pStyle w:val="Heading3"/>
      </w:pPr>
      <w:r>
        <w:t xml:space="preserve">6.3.3 Backup Schedule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4069"/>
        <w:gridCol w:w="385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 VM Backup Job 3 Daily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 12:01 AM (Full)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 VM Backup to Tape Job 3 Weekly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Every Sunday 09:00 AM (Full)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 UAT VM Backup Job 1 Daily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 08:00 PM (Full)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 UAT VM Backup to Tape Job 1 Weekly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Every Sunday 06:00 AM (Full)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 DEV VM Backup Job 2 Daily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 10:00 PM (Full)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 DEV VM Backup to Tape Job 2 Weekly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Every Sunday 03:00 AM (Full)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 All jobs to DR Backup Copy Job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After every PROD VM Backup Job 1, 2 and 3 Daily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 VM Backup Job 4 Daily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 08:00 PM (Full)</w:t>
            </w:r>
          </w:p>
        </w:tc>
      </w:tr>
    </w:tbl>
    <w:bookmarkEnd w:id="33"/>
    <w:bookmarkEnd w:id="34"/>
    <w:bookmarkEnd w:id="35"/>
    <w:bookmarkStart w:id="36" w:name="X2562d130b3c310beff3cd415cc867a0f343ccf5"/>
    <w:p>
      <w:pPr>
        <w:pStyle w:val="Heading1"/>
      </w:pPr>
      <w:r>
        <w:t xml:space="preserve">7. Outstanding Items/Issues</w:t>
      </w:r>
    </w:p>
    <w:p>
      <w:pPr>
        <w:pStyle w:val="FirstParagraph"/>
      </w:pPr>
      <w:r>
        <w:t xml:space="preserve">Nil.</w:t>
      </w:r>
    </w:p>
    <w:bookmarkEnd w:id="36"/>
    <w:bookmarkStart w:id="37" w:name="Xb034fc48979269dba974a5454af252d8e3c40cc"/>
    <w:p>
      <w:pPr>
        <w:pStyle w:val="Heading1"/>
      </w:pPr>
      <w:r>
        <w:t xml:space="preserve">8. Licensed Software</w:t>
      </w:r>
    </w:p>
    <w:p>
      <w:pPr>
        <w:pStyle w:val="FirstParagraph"/>
      </w:pPr>
      <w:r>
        <w:t xml:space="preserve">[RY Note: Items are for reference only. They are</w:t>
      </w:r>
      <w:r>
        <w:t xml:space="preserve"> </w:t>
      </w:r>
      <w:r>
        <w:t xml:space="preserve">incorrect]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Expire 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 2022 Standard (16-Core) - Perpetual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SQL 2019 Standard (2-Core) - Perpetual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Veeam Availability Suite Universal License (10-Instance) with 3 year prod support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Symantec SEP License (3 years)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Kiwi Log Servers (with 3 year support &amp; subscription)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vSphere Standard (basic Support with 3years SNS)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vCenter Standard (basic Support with 3years SNS)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Start w:id="47" w:name="Xbfe0108e04e83a29ef47a1f3ab8f440c3686eb0"/>
    <w:p>
      <w:pPr>
        <w:pStyle w:val="Heading1"/>
      </w:pPr>
      <w:r>
        <w:t xml:space="preserve">9. Security</w:t>
      </w:r>
    </w:p>
    <w:bookmarkStart w:id="38" w:name="X458acf654411ed919a6a54f200dd491f0efe0de"/>
    <w:p>
      <w:pPr>
        <w:pStyle w:val="Heading2"/>
      </w:pPr>
      <w:r>
        <w:t xml:space="preserve">9.1 System Control</w:t>
      </w:r>
    </w:p>
    <w:p>
      <w:pPr>
        <w:pStyle w:val="FirstParagraph"/>
      </w:pPr>
      <w:r>
        <w:t xml:space="preserve">There will be no change in the existing authentication mechanisms. BD</w:t>
      </w:r>
      <w:r>
        <w:t xml:space="preserve"> </w:t>
      </w:r>
      <w:r>
        <w:t xml:space="preserve">staff would still be authenticated by the OSDP before they can access</w:t>
      </w:r>
      <w:r>
        <w:t xml:space="preserve"> </w:t>
      </w:r>
      <w:r>
        <w:t xml:space="preserve">the LSCP. If OSDP is unavailable in some situations such as maintenance,</w:t>
      </w:r>
      <w:r>
        <w:t xml:space="preserve"> </w:t>
      </w:r>
      <w:r>
        <w:t xml:space="preserve">the LSCP would itself authenticate the users by the username and</w:t>
      </w:r>
      <w:r>
        <w:t xml:space="preserve"> </w:t>
      </w:r>
      <w:r>
        <w:t xml:space="preserve">password + one-time password.</w:t>
      </w:r>
    </w:p>
    <w:p>
      <w:pPr>
        <w:pStyle w:val="BodyText"/>
      </w:pPr>
      <w:r>
        <w:t xml:space="preserve">As for external users, they will still be required to be authenticated</w:t>
      </w:r>
      <w:r>
        <w:t xml:space="preserve"> </w:t>
      </w:r>
      <w:r>
        <w:t xml:space="preserve">by OTP sent via email.</w:t>
      </w:r>
    </w:p>
    <w:p>
      <w:pPr>
        <w:pStyle w:val="BodyText"/>
      </w:pPr>
      <w:r>
        <w:t xml:space="preserve">Password complexity and policy will be updated to follow the latest IT</w:t>
      </w:r>
      <w:r>
        <w:t xml:space="preserve"> </w:t>
      </w:r>
      <w:r>
        <w:t xml:space="preserve">Security Guidelines [G3].</w:t>
      </w:r>
    </w:p>
    <w:p>
      <w:pPr>
        <w:pStyle w:val="BodyText"/>
      </w:pPr>
      <w:r>
        <w:t xml:space="preserve">The LSCP grants functions access rights to users based on their post,</w:t>
      </w:r>
      <w:r>
        <w:t xml:space="preserve"> </w:t>
      </w:r>
      <w:r>
        <w:t xml:space="preserve">and only ?Responsible Officers? are allowed to maintain their own</w:t>
      </w:r>
      <w:r>
        <w:t xml:space="preserve"> </w:t>
      </w:r>
      <w:r>
        <w:t xml:space="preserve">records.</w:t>
      </w:r>
    </w:p>
    <w:bookmarkEnd w:id="38"/>
    <w:bookmarkStart w:id="39" w:name="Xd8fea7ac445fd5c61800017f50cde9fea125768"/>
    <w:p>
      <w:pPr>
        <w:pStyle w:val="Heading2"/>
      </w:pPr>
      <w:r>
        <w:t xml:space="preserve">9.2 Data Transmission Security</w:t>
      </w:r>
    </w:p>
    <w:p>
      <w:pPr>
        <w:pStyle w:val="FirstParagraph"/>
      </w:pPr>
      <w:r>
        <w:t xml:space="preserve">Data of the LSCP is classified to the ?Restricted? level. Data</w:t>
      </w:r>
      <w:r>
        <w:t xml:space="preserve"> </w:t>
      </w:r>
      <w:r>
        <w:t xml:space="preserve">transmission over the network will be encrypted by HTTPS over TLS. In</w:t>
      </w:r>
      <w:r>
        <w:t xml:space="preserve"> </w:t>
      </w:r>
      <w:r>
        <w:t xml:space="preserve">order to enable TLS on the web servers of the LSCP, certificates will be</w:t>
      </w:r>
      <w:r>
        <w:t xml:space="preserve"> </w:t>
      </w:r>
      <w:r>
        <w:t xml:space="preserve">applied, OGCIO?s Intranet Server Certificate Certification Authority</w:t>
      </w:r>
      <w:r>
        <w:t xml:space="preserve"> </w:t>
      </w:r>
      <w:r>
        <w:t xml:space="preserve">(ISCCA) certificate will be apply for securing servers, applications,</w:t>
      </w:r>
      <w:r>
        <w:t xml:space="preserve"> </w:t>
      </w:r>
      <w:r>
        <w:t xml:space="preserve">and communications within BD internal network (intranet)., Public SSL</w:t>
      </w:r>
      <w:r>
        <w:t xml:space="preserve"> </w:t>
      </w:r>
      <w:r>
        <w:t xml:space="preserve">certificates, from HK post are used on public-facing servers and</w:t>
      </w:r>
      <w:r>
        <w:t xml:space="preserve"> </w:t>
      </w:r>
      <w:r>
        <w:t xml:space="preserve">websites, intended to be trusted by the general public over Internet.</w:t>
      </w:r>
      <w:r>
        <w:t xml:space="preserve"> </w:t>
      </w:r>
      <w:r>
        <w:t xml:space="preserve">Self-generated cert is used to secure the availability group which</w:t>
      </w:r>
      <w:r>
        <w:t xml:space="preserve"> </w:t>
      </w:r>
      <w:r>
        <w:t xml:space="preserve">contains 2 production databases. And iAM Smart cert are configured in</w:t>
      </w:r>
      <w:r>
        <w:t xml:space="preserve"> </w:t>
      </w:r>
      <w:r>
        <w:t xml:space="preserve">LSCP backend application in order to work with iAM Smart Mobile App.</w:t>
      </w:r>
    </w:p>
    <w:bookmarkEnd w:id="39"/>
    <w:bookmarkStart w:id="40" w:name="X3e047d1e5093d8f65f84131b72727dc3c836100"/>
    <w:p>
      <w:pPr>
        <w:pStyle w:val="Heading2"/>
      </w:pPr>
      <w:r>
        <w:t xml:space="preserve">9.3 Data Storage and Auditing Security</w:t>
      </w:r>
    </w:p>
    <w:p>
      <w:pPr>
        <w:pStyle w:val="FirstParagraph"/>
      </w:pPr>
      <w:r>
        <w:t xml:space="preserve">Data of the LSCP in production environment is stored in SAN storage. On</w:t>
      </w:r>
      <w:r>
        <w:t xml:space="preserve"> </w:t>
      </w:r>
      <w:r>
        <w:t xml:space="preserve">the other hand, data storage in DR environment is stored in local server</w:t>
      </w:r>
      <w:r>
        <w:t xml:space="preserve"> </w:t>
      </w:r>
      <w:r>
        <w:t xml:space="preserve">storage, Access and audit controls to this folder or drive are strictly</w:t>
      </w:r>
      <w:r>
        <w:t xml:space="preserve"> </w:t>
      </w:r>
      <w:r>
        <w:t xml:space="preserve">controlled. Both environments facilitated with RAID (Redundant Array of</w:t>
      </w:r>
      <w:r>
        <w:t xml:space="preserve"> </w:t>
      </w:r>
      <w:r>
        <w:t xml:space="preserve">Inexpensive Disks or Redundant Array of Independent Disks) mirroring</w:t>
      </w:r>
      <w:r>
        <w:t xml:space="preserve"> </w:t>
      </w:r>
      <w:r>
        <w:t xml:space="preserve">data storage technology and all data are encrypted, OS secured by RAID 1</w:t>
      </w:r>
      <w:r>
        <w:t xml:space="preserve"> </w:t>
      </w:r>
      <w:r>
        <w:t xml:space="preserve">while data secured by ADAPT and Raid 6. In terms of fault tolerance,</w:t>
      </w:r>
      <w:r>
        <w:t xml:space="preserve"> </w:t>
      </w:r>
      <w:r>
        <w:t xml:space="preserve">ADAPT (Autonomic Distributed Allocation Protection Technology) and Raid</w:t>
      </w:r>
      <w:r>
        <w:t xml:space="preserve"> </w:t>
      </w:r>
      <w:r>
        <w:t xml:space="preserve">6 withstands the failure of 2 hard disks. Moreover, all data facilitated</w:t>
      </w:r>
      <w:r>
        <w:t xml:space="preserve"> </w:t>
      </w:r>
      <w:r>
        <w:t xml:space="preserve">with audit trail, records add/ change/ delete actions reposted in</w:t>
      </w:r>
      <w:r>
        <w:t xml:space="preserve"> </w:t>
      </w:r>
      <w:r>
        <w:t xml:space="preserve">database for tracking who/ when/ what data being amended.</w:t>
      </w:r>
    </w:p>
    <w:bookmarkEnd w:id="40"/>
    <w:bookmarkStart w:id="41" w:name="Xc73e0602208c6b43010355bdcf14399380ee79a"/>
    <w:p>
      <w:pPr>
        <w:pStyle w:val="Heading2"/>
      </w:pPr>
      <w:r>
        <w:t xml:space="preserve">9.4 System Security</w:t>
      </w:r>
    </w:p>
    <w:p>
      <w:pPr>
        <w:pStyle w:val="FirstParagraph"/>
      </w:pPr>
      <w:r>
        <w:t xml:space="preserve">Regular service pack and patch updates are performed on operating system</w:t>
      </w:r>
      <w:r>
        <w:t xml:space="preserve"> </w:t>
      </w:r>
      <w:r>
        <w:t xml:space="preserve">and software installed in servers and user workstations in order to fix</w:t>
      </w:r>
      <w:r>
        <w:t xml:space="preserve"> </w:t>
      </w:r>
      <w:r>
        <w:t xml:space="preserve">the known security issues.</w:t>
      </w:r>
    </w:p>
    <w:p>
      <w:pPr>
        <w:pStyle w:val="BodyText"/>
      </w:pPr>
      <w:r>
        <w:t xml:space="preserve">All servers in both the production and DR environment will be installed</w:t>
      </w:r>
      <w:r>
        <w:t xml:space="preserve"> </w:t>
      </w:r>
      <w:r>
        <w:t xml:space="preserve">with Antivirus clients and managed by a virtualised Antivirus Management</w:t>
      </w:r>
      <w:r>
        <w:t xml:space="preserve"> </w:t>
      </w:r>
      <w:r>
        <w:t xml:space="preserve">server installed at Trust zone. The server will download the latest</w:t>
      </w:r>
      <w:r>
        <w:t xml:space="preserve"> </w:t>
      </w:r>
      <w:r>
        <w:t xml:space="preserve">virus signatures from the antivirus software provider (Symantec) and</w:t>
      </w:r>
      <w:r>
        <w:t xml:space="preserve"> </w:t>
      </w:r>
      <w:r>
        <w:t xml:space="preserve">update all client servers during non-peak hours. Protection policy, such</w:t>
      </w:r>
      <w:r>
        <w:t xml:space="preserve"> </w:t>
      </w:r>
      <w:r>
        <w:t xml:space="preserve">as scanning schedule, will be enforced by the BD?s antivirus management</w:t>
      </w:r>
      <w:r>
        <w:t xml:space="preserve"> </w:t>
      </w:r>
      <w:r>
        <w:t xml:space="preserve">server too.</w:t>
      </w:r>
    </w:p>
    <w:p>
      <w:pPr>
        <w:pStyle w:val="BodyText"/>
      </w:pPr>
      <w:r>
        <w:t xml:space="preserve">The external users will be responsible for the security protection on</w:t>
      </w:r>
      <w:r>
        <w:t xml:space="preserve"> </w:t>
      </w:r>
      <w:r>
        <w:t xml:space="preserve">their computers. Their computers will have personal firewall enabled,</w:t>
      </w:r>
      <w:r>
        <w:t xml:space="preserve"> </w:t>
      </w:r>
      <w:r>
        <w:t xml:space="preserve">the latest security patches applied, and anti-virus protection and</w:t>
      </w:r>
      <w:r>
        <w:t xml:space="preserve"> </w:t>
      </w:r>
      <w:r>
        <w:t xml:space="preserve">malicious code detection installed.</w:t>
      </w:r>
    </w:p>
    <w:bookmarkEnd w:id="41"/>
    <w:bookmarkStart w:id="42" w:name="X7f94bb505109a245511226890fd375ded42f606"/>
    <w:p>
      <w:pPr>
        <w:pStyle w:val="Heading2"/>
      </w:pPr>
      <w:r>
        <w:t xml:space="preserve">9.5 Physical Security</w:t>
      </w:r>
    </w:p>
    <w:p>
      <w:pPr>
        <w:pStyle w:val="FirstParagraph"/>
      </w:pPr>
      <w:r>
        <w:t xml:space="preserve">Servers and equipment of the development/testing, production and DR</w:t>
      </w:r>
      <w:r>
        <w:t xml:space="preserve"> </w:t>
      </w:r>
      <w:r>
        <w:t xml:space="preserve">environments are located in the server rooms, which the server rooms</w:t>
      </w:r>
      <w:r>
        <w:t xml:space="preserve"> </w:t>
      </w:r>
      <w:r>
        <w:t xml:space="preserve">setup compliant with the section 8 of IT Security Guidelines [G3] and</w:t>
      </w:r>
      <w:r>
        <w:t xml:space="preserve"> </w:t>
      </w:r>
      <w:r>
        <w:t xml:space="preserve">section 5.8 of Data Centre Site Preparation Guidelines [G36] where</w:t>
      </w:r>
      <w:r>
        <w:t xml:space="preserve"> </w:t>
      </w:r>
      <w:r>
        <w:t xml:space="preserve">applicable.</w:t>
      </w:r>
    </w:p>
    <w:bookmarkEnd w:id="42"/>
    <w:bookmarkStart w:id="43" w:name="Xd273e21ed222f79afde74323cfff6c6879b1f05"/>
    <w:p>
      <w:pPr>
        <w:pStyle w:val="Heading2"/>
      </w:pPr>
      <w:r>
        <w:t xml:space="preserve">9.6 Password and Group Control</w:t>
      </w:r>
    </w:p>
    <w:p>
      <w:pPr>
        <w:pStyle w:val="FirstParagraph"/>
      </w:pPr>
      <w:r>
        <w:t xml:space="preserve">The LSCP is protected by password control, BD user is able to login via</w:t>
      </w:r>
      <w:r>
        <w:t xml:space="preserve"> </w:t>
      </w:r>
      <w:r>
        <w:t xml:space="preserve">DP of the Buildings Department and Internet, if login via Internet, it</w:t>
      </w:r>
      <w:r>
        <w:t xml:space="preserve"> </w:t>
      </w:r>
      <w:r>
        <w:t xml:space="preserve">requires to submit password plus a one- time password by Authenticator,</w:t>
      </w:r>
      <w:r>
        <w:t xml:space="preserve"> </w:t>
      </w:r>
      <w:r>
        <w:t xml:space="preserve">otherwise only one password requires. Public user can login via Internet</w:t>
      </w:r>
      <w:r>
        <w:t xml:space="preserve"> </w:t>
      </w:r>
      <w:r>
        <w:t xml:space="preserve">and iAM Smart app, login via Internet requires password plus a one-time</w:t>
      </w:r>
      <w:r>
        <w:t xml:space="preserve"> </w:t>
      </w:r>
      <w:r>
        <w:t xml:space="preserve">password by email, login via iAM Smart app requires no password.</w:t>
      </w:r>
    </w:p>
    <w:p>
      <w:pPr>
        <w:pStyle w:val="BodyText"/>
      </w:pPr>
      <w:r>
        <w:t xml:space="preserve">User are limited to access specific function, field, case and</w:t>
      </w:r>
      <w:r>
        <w:t xml:space="preserve"> </w:t>
      </w:r>
      <w:r>
        <w:t xml:space="preserve">administrative authority by assignment of user group to user account.</w:t>
      </w:r>
    </w:p>
    <w:bookmarkEnd w:id="43"/>
    <w:bookmarkStart w:id="44" w:name="X3491d71ec8733993a23f1857d33fe658f83fcb1"/>
    <w:p>
      <w:pPr>
        <w:pStyle w:val="Heading2"/>
      </w:pPr>
      <w:r>
        <w:t xml:space="preserve">9.7 Control Procedure of Application User Account and Production Support Account</w:t>
      </w:r>
    </w:p>
    <w:p>
      <w:pPr>
        <w:pStyle w:val="FirstParagraph"/>
      </w:pPr>
      <w:r>
        <w:t xml:space="preserve">If user is new to the LSCP, user is required to register. For certain</w:t>
      </w:r>
      <w:r>
        <w:t xml:space="preserve"> </w:t>
      </w:r>
      <w:r>
        <w:t xml:space="preserve">role, such as head of stream, user is required to provide their</w:t>
      </w:r>
      <w:r>
        <w:t xml:space="preserve"> </w:t>
      </w:r>
      <w:r>
        <w:t xml:space="preserve">Registered Professionals or Contractors registration number. And all</w:t>
      </w:r>
      <w:r>
        <w:t xml:space="preserve"> </w:t>
      </w:r>
      <w:r>
        <w:t xml:space="preserve">public user is required to provide HKID and check versus our database.</w:t>
      </w:r>
    </w:p>
    <w:p>
      <w:pPr>
        <w:pStyle w:val="BodyText"/>
      </w:pPr>
      <w:r>
        <w:t xml:space="preserve">For external users, the LSCP implemented One-Time-Password token as</w:t>
      </w:r>
      <w:r>
        <w:t xml:space="preserve"> </w:t>
      </w:r>
      <w:r>
        <w:t xml:space="preserve">secure login approach so that they can access the LSCP from their</w:t>
      </w:r>
      <w:r>
        <w:t xml:space="preserve"> </w:t>
      </w:r>
      <w:r>
        <w:t xml:space="preserve">working locations for submission and retrieval of assignment details,</w:t>
      </w:r>
      <w:r>
        <w:t xml:space="preserve"> </w:t>
      </w:r>
      <w:r>
        <w:t xml:space="preserve">and inspection results.</w:t>
      </w:r>
    </w:p>
    <w:p>
      <w:pPr>
        <w:pStyle w:val="BodyText"/>
      </w:pPr>
      <w:r>
        <w:t xml:space="preserve">All information submitted by low level TCP staff will be vetted by Head</w:t>
      </w:r>
      <w:r>
        <w:t xml:space="preserve"> </w:t>
      </w:r>
      <w:r>
        <w:t xml:space="preserve">of stream staff before saving as finalized records on the system.</w:t>
      </w:r>
    </w:p>
    <w:p>
      <w:pPr>
        <w:pStyle w:val="BodyText"/>
      </w:pPr>
      <w:r>
        <w:t xml:space="preserve">To deliver on-going production support or change request, Application</w:t>
      </w:r>
      <w:r>
        <w:t xml:space="preserve"> </w:t>
      </w:r>
      <w:r>
        <w:t xml:space="preserve">Maintenance Team may require to access the production servers for cause</w:t>
      </w:r>
      <w:r>
        <w:t xml:space="preserve"> </w:t>
      </w:r>
      <w:r>
        <w:t xml:space="preserve">investigation, system/ application log collection or change request</w:t>
      </w:r>
      <w:r>
        <w:t xml:space="preserve"> </w:t>
      </w:r>
      <w:r>
        <w:t xml:space="preserve">deployment. The Application Maintenance Team should seek the System</w:t>
      </w:r>
      <w:r>
        <w:t xml:space="preserve"> </w:t>
      </w:r>
      <w:r>
        <w:t xml:space="preserve">Maintenance Committee?s approval by email. With the proof of</w:t>
      </w:r>
      <w:r>
        <w:t xml:space="preserve"> </w:t>
      </w:r>
      <w:r>
        <w:t xml:space="preserve">authorization, ITU can help to login the servers, after that the</w:t>
      </w:r>
      <w:r>
        <w:t xml:space="preserve"> </w:t>
      </w:r>
      <w:r>
        <w:t xml:space="preserve">Application Maintenance Team operates on the servers under the ITU?s</w:t>
      </w:r>
      <w:r>
        <w:t xml:space="preserve"> </w:t>
      </w:r>
      <w:r>
        <w:t xml:space="preserve">monitoring. In case, the information/ operation can only be accessed/</w:t>
      </w:r>
      <w:r>
        <w:t xml:space="preserve"> </w:t>
      </w:r>
      <w:r>
        <w:t xml:space="preserve">executed under particular system account, the Application Maintenance</w:t>
      </w:r>
      <w:r>
        <w:t xml:space="preserve"> </w:t>
      </w:r>
      <w:r>
        <w:t xml:space="preserve">Team should ask system account holder or designated person (Business</w:t>
      </w:r>
      <w:r>
        <w:t xml:space="preserve"> </w:t>
      </w:r>
      <w:r>
        <w:t xml:space="preserve">Coordination Team member) to logon for his action.</w:t>
      </w:r>
    </w:p>
    <w:bookmarkEnd w:id="44"/>
    <w:bookmarkStart w:id="45" w:name="X91034f355bc8b17d301a753a788bb030bd01adb"/>
    <w:p>
      <w:pPr>
        <w:pStyle w:val="Heading2"/>
      </w:pPr>
      <w:r>
        <w:t xml:space="preserve">9.8 Change Control</w:t>
      </w:r>
    </w:p>
    <w:p>
      <w:pPr>
        <w:pStyle w:val="FirstParagraph"/>
      </w:pPr>
      <w:r>
        <w:t xml:space="preserve">During the SI&amp;I stage, program source of the LSCP is maintained by the</w:t>
      </w:r>
      <w:r>
        <w:t xml:space="preserve"> </w:t>
      </w:r>
      <w:r>
        <w:t xml:space="preserve">Application Maintenance Team with aid of GIT repository with version</w:t>
      </w:r>
      <w:r>
        <w:t xml:space="preserve"> </w:t>
      </w:r>
      <w:r>
        <w:t xml:space="preserve">control, any updating on the program source is recorded for tracking of</w:t>
      </w:r>
      <w:r>
        <w:t xml:space="preserve"> </w:t>
      </w:r>
      <w:r>
        <w:t xml:space="preserve">program changes. GIT will be continue using in the change control</w:t>
      </w:r>
      <w:r>
        <w:t xml:space="preserve"> </w:t>
      </w:r>
      <w:r>
        <w:t xml:space="preserve">solution for the SM&amp;S stage. For detail procedure, please refer to COPM.</w:t>
      </w:r>
    </w:p>
    <w:bookmarkEnd w:id="45"/>
    <w:bookmarkStart w:id="46" w:name="X8441970046b8ad8004f9b554b50bfd3ab84a1df"/>
    <w:p>
      <w:pPr>
        <w:pStyle w:val="Heading2"/>
      </w:pPr>
      <w:r>
        <w:t xml:space="preserve">9.9 Disaster Recovery</w:t>
      </w:r>
    </w:p>
    <w:p>
      <w:pPr>
        <w:pStyle w:val="FirstParagraph"/>
      </w:pPr>
      <w:r>
        <w:rPr>
          <w:bCs/>
          <w:b/>
        </w:rPr>
        <w:t xml:space="preserve">GCIS</w:t>
      </w:r>
    </w:p>
    <w:p>
      <w:pPr>
        <w:pStyle w:val="BodyText"/>
      </w:pPr>
      <w:r>
        <w:t xml:space="preserve">Automatic Failover</w:t>
      </w:r>
      <w:r>
        <w:t xml:space="preserve">:</w:t>
      </w:r>
    </w:p>
    <w:p>
      <w:pPr>
        <w:pStyle w:val="BodyText"/>
      </w:pPr>
      <w:r>
        <w:t xml:space="preserve">If GCIS Prod 1 goes down, the GCIS Prod 2 disaster recovery (DR)</w:t>
      </w:r>
      <w:r>
        <w:t xml:space="preserve"> </w:t>
      </w:r>
      <w:r>
        <w:t xml:space="preserve">environment will be automatically activated by the VM Site Recovery</w:t>
      </w:r>
      <w:r>
        <w:t xml:space="preserve"> </w:t>
      </w:r>
      <w:r>
        <w:t xml:space="preserve">Manager. After a brief delay, users will be directed to the temporary</w:t>
      </w:r>
      <w:r>
        <w:t xml:space="preserve"> </w:t>
      </w:r>
      <w:r>
        <w:t xml:space="preserve">domain (www2) to continue their usage seamlessly</w:t>
      </w:r>
    </w:p>
    <w:p>
      <w:pPr>
        <w:pStyle w:val="BodyText"/>
      </w:pPr>
      <w:r>
        <w:t xml:space="preserve">Virtual Machine Backups:</w:t>
      </w:r>
    </w:p>
    <w:p>
      <w:pPr>
        <w:pStyle w:val="BodyText"/>
      </w:pPr>
      <w:r>
        <w:t xml:space="preserve">The virtual machines of GCIS Prod 1 will undergo daily overnight</w:t>
      </w:r>
      <w:r>
        <w:t xml:space="preserve"> </w:t>
      </w:r>
      <w:r>
        <w:t xml:space="preserve">backups, with each backup retained for 30 days.</w:t>
      </w:r>
    </w:p>
    <w:p>
      <w:pPr>
        <w:pStyle w:val="BodyText"/>
      </w:pPr>
      <w:r>
        <w:t xml:space="preserve">Daily Database Backup:</w:t>
      </w:r>
    </w:p>
    <w:p>
      <w:pPr>
        <w:pStyle w:val="BodyText"/>
      </w:pPr>
      <w:r>
        <w:t xml:space="preserve">A cron job is scheduled to export the GCIS Prod 1 database backup to the</w:t>
      </w:r>
      <w:r>
        <w:t xml:space="preserve"> </w:t>
      </w:r>
      <w:r>
        <w:t xml:space="preserve">backup server every day at 22:00.</w:t>
      </w:r>
    </w:p>
    <w:p>
      <w:pPr>
        <w:pStyle w:val="BodyText"/>
      </w:pPr>
      <w:r>
        <w:rPr>
          <w:bCs/>
          <w:b/>
        </w:rPr>
        <w:t xml:space="preserve">BDSCS External (On-Prem):</w:t>
      </w:r>
    </w:p>
    <w:p>
      <w:pPr>
        <w:pStyle w:val="BodyText"/>
      </w:pPr>
      <w:r>
        <w:t xml:space="preserve">Load Balancing with NGINX:</w:t>
      </w:r>
    </w:p>
    <w:p>
      <w:pPr>
        <w:pStyle w:val="BodyText"/>
      </w:pPr>
      <w:r>
        <w:t xml:space="preserve">A NGINX Reverse Proxy/Load Balancer (running on ESXi) distributes</w:t>
      </w:r>
      <w:r>
        <w:t xml:space="preserve"> </w:t>
      </w:r>
      <w:r>
        <w:t xml:space="preserve">traffic across two servers. In case one server becomes unavailable,</w:t>
      </w:r>
      <w:r>
        <w:t xml:space="preserve"> </w:t>
      </w:r>
      <w:r>
        <w:t xml:space="preserve">traffic will automatically be redirected to the other server.</w:t>
      </w:r>
    </w:p>
    <w:p>
      <w:pPr>
        <w:pStyle w:val="BodyText"/>
      </w:pPr>
      <w:r>
        <w:t xml:space="preserve">Scheduled Database Backup:</w:t>
      </w:r>
    </w:p>
    <w:p>
      <w:pPr>
        <w:pStyle w:val="BodyText"/>
      </w:pPr>
      <w:r>
        <w:t xml:space="preserve">A cron job runs daily at 18:30 to export the database.</w:t>
      </w:r>
    </w:p>
    <w:p>
      <w:pPr>
        <w:pStyle w:val="BodyText"/>
      </w:pPr>
      <w:r>
        <w:t xml:space="preserve">Backup Transfer:</w:t>
      </w:r>
    </w:p>
    <w:p>
      <w:pPr>
        <w:pStyle w:val="BodyText"/>
      </w:pPr>
      <w:r>
        <w:t xml:space="preserve">At 19:00, the VM service will send the exported database backup to the</w:t>
      </w:r>
      <w:r>
        <w:t xml:space="preserve"> </w:t>
      </w:r>
      <w:r>
        <w:t xml:space="preserve">production backup server.</w:t>
      </w:r>
    </w:p>
    <w:p>
      <w:pPr>
        <w:pStyle w:val="BodyText"/>
      </w:pPr>
      <w:r>
        <w:t xml:space="preserve">VM Replication to DR Environment:</w:t>
      </w:r>
    </w:p>
    <w:p>
      <w:pPr>
        <w:pStyle w:val="BodyText"/>
      </w:pPr>
      <w:r>
        <w:t xml:space="preserve">All production virtual machines will be replicated to the disaster</w:t>
      </w:r>
      <w:r>
        <w:t xml:space="preserve"> </w:t>
      </w:r>
      <w:r>
        <w:t xml:space="preserve">recovery (DR) environment using the VEEAM architecture, ensuring</w:t>
      </w:r>
      <w:r>
        <w:t xml:space="preserve"> </w:t>
      </w:r>
      <w:r>
        <w:t xml:space="preserve">continuity in the event of a failure</w:t>
      </w:r>
    </w:p>
    <w:bookmarkEnd w:id="46"/>
    <w:bookmarkEnd w:id="47"/>
    <w:bookmarkStart w:id="48" w:name="X85eb0639e15c852b6dab6d14242e35a980cb6f4"/>
    <w:p>
      <w:pPr>
        <w:pStyle w:val="Heading1"/>
      </w:pPr>
      <w:r>
        <w:t xml:space="preserve">10. Log Management</w:t>
      </w:r>
    </w:p>
    <w:p>
      <w:pPr>
        <w:numPr>
          <w:ilvl w:val="0"/>
          <w:numId w:val="1008"/>
        </w:numPr>
        <w:pStyle w:val="Compact"/>
      </w:pPr>
      <w:r>
        <w:t xml:space="preserve">Following activities shall include in the log:</w:t>
      </w:r>
    </w:p>
    <w:p>
      <w:pPr>
        <w:pStyle w:val="BlockText"/>
      </w:pPr>
      <w:r>
        <w:t xml:space="preserve">? Attempts for log-in</w:t>
      </w:r>
      <w:r>
        <w:t xml:space="preserve"> </w:t>
      </w:r>
      <w:r>
        <w:t xml:space="preserve">? Unauthorised update/access</w:t>
      </w:r>
      <w:r>
        <w:t xml:space="preserve"> </w:t>
      </w:r>
      <w:r>
        <w:t xml:space="preserve">? Failed attempts for privileges elevation</w:t>
      </w:r>
      <w:r>
        <w:t xml:space="preserve"> </w:t>
      </w:r>
      <w:r>
        <w:t xml:space="preserve">? Attempts for password changes</w:t>
      </w:r>
      <w:r>
        <w:t xml:space="preserve"> </w:t>
      </w:r>
      <w:r>
        <w:t xml:space="preserve">? Access attempts to critical files (e.g., software configuration</w:t>
      </w:r>
      <w:r>
        <w:t xml:space="preserve"> </w:t>
      </w:r>
      <w:r>
        <w:t xml:space="preserve">files, password and key files, etc.)</w:t>
      </w:r>
      <w:r>
        <w:t xml:space="preserve"> </w:t>
      </w:r>
      <w:r>
        <w:t xml:space="preserve">? Actions taken by privileged users</w:t>
      </w:r>
      <w:r>
        <w:t xml:space="preserve"> </w:t>
      </w:r>
      <w:r>
        <w:t xml:space="preserve">? Use of privileged rights such as addition and deletion of user</w:t>
      </w:r>
      <w:r>
        <w:t xml:space="preserve"> </w:t>
      </w:r>
      <w:r>
        <w:t xml:space="preserve">accounts</w:t>
      </w:r>
      <w:r>
        <w:t xml:space="preserve"> </w:t>
      </w:r>
      <w:r>
        <w:t xml:space="preserve">? Security related system failures and alerts</w:t>
      </w:r>
      <w:r>
        <w:t xml:space="preserve"> </w:t>
      </w:r>
      <w:r>
        <w:t xml:space="preserve">? Changes to user access rights</w:t>
      </w:r>
      <w:r>
        <w:t xml:space="preserve"> </w:t>
      </w:r>
      <w:r>
        <w:t xml:space="preserve">? Failed access attempts to systems and files identified as critical</w:t>
      </w:r>
      <w:r>
        <w:t xml:space="preserve"> </w:t>
      </w:r>
      <w:r>
        <w:t xml:space="preserve">to the system</w:t>
      </w:r>
      <w:r>
        <w:t xml:space="preserve"> </w:t>
      </w:r>
      <w:r>
        <w:t xml:space="preserve">? Computer services such as file copying or searching</w:t>
      </w:r>
      <w:r>
        <w:t xml:space="preserve"> </w:t>
      </w:r>
      <w:r>
        <w:t xml:space="preserve">? Modification to audit policy</w:t>
      </w:r>
      <w:r>
        <w:t xml:space="preserve"> </w:t>
      </w:r>
      <w:r>
        <w:t xml:space="preserve">? Activation and de-activation of protection systems, such as</w:t>
      </w:r>
      <w:r>
        <w:t xml:space="preserve"> </w:t>
      </w:r>
      <w:r>
        <w:t xml:space="preserve">anti-malware systems and intrusion detection systems</w:t>
      </w:r>
    </w:p>
    <w:p>
      <w:pPr>
        <w:numPr>
          <w:ilvl w:val="0"/>
          <w:numId w:val="1009"/>
        </w:numPr>
      </w:pPr>
      <w:r>
        <w:t xml:space="preserve">Logs shall be retained for</w:t>
      </w:r>
      <w:r>
        <w:t xml:space="preserve"> </w:t>
      </w:r>
      <w:r>
        <w:rPr>
          <w:bCs/>
          <w:b/>
        </w:rPr>
        <w:t xml:space="preserve">180 days</w:t>
      </w:r>
      <w:r>
        <w:t xml:space="preserve"> </w:t>
      </w:r>
      <w:r>
        <w:t xml:space="preserve">and centralised and managed</w:t>
      </w:r>
      <w:r>
        <w:t xml:space="preserve"> </w:t>
      </w:r>
      <w:r>
        <w:t xml:space="preserve">by Syslog server. Unauthorised access is restricted.</w:t>
      </w:r>
    </w:p>
    <w:p>
      <w:pPr>
        <w:numPr>
          <w:ilvl w:val="0"/>
          <w:numId w:val="1009"/>
        </w:numPr>
      </w:pPr>
      <w:r>
        <w:t xml:space="preserve">Logs will be reviewed regularly.</w:t>
      </w:r>
    </w:p>
    <w:p>
      <w:pPr>
        <w:numPr>
          <w:ilvl w:val="0"/>
          <w:numId w:val="1009"/>
        </w:numPr>
      </w:pPr>
      <w:r>
        <w:t xml:space="preserve">Logs shall not be used to profile the activity of a particular user</w:t>
      </w:r>
      <w:r>
        <w:t xml:space="preserve"> </w:t>
      </w:r>
      <w:r>
        <w:t xml:space="preserve">unless it relates to a necessary audit activity supported by a</w:t>
      </w:r>
      <w:r>
        <w:t xml:space="preserve"> </w:t>
      </w:r>
      <w:r>
        <w:t xml:space="preserve">Directorate rank officer.</w:t>
      </w:r>
    </w:p>
    <w:bookmarkEnd w:id="48"/>
    <w:bookmarkStart w:id="51" w:name="Xb65198c8dbfe237f88fd24577bec83dfb89ab9a"/>
    <w:p>
      <w:pPr>
        <w:pStyle w:val="Heading1"/>
      </w:pPr>
      <w:r>
        <w:t xml:space="preserve">11. Equipment Configuration</w:t>
      </w:r>
    </w:p>
    <w:bookmarkStart w:id="50" w:name="X51bc19afcaf31db3f47b0d3c44bdd79db2deacb"/>
    <w:p>
      <w:pPr>
        <w:pStyle w:val="Heading2"/>
      </w:pPr>
      <w:r>
        <w:t xml:space="preserve">11.1 Computer Hardware</w:t>
      </w:r>
    </w:p>
    <w:bookmarkStart w:id="49" w:name="Xe0eb02a9c63d706d79512cc8af957db2898557a"/>
    <w:p>
      <w:pPr>
        <w:pStyle w:val="Heading3"/>
      </w:pPr>
      <w:r>
        <w:t xml:space="preserve">11.1.1 Hardware Components</w:t>
      </w:r>
    </w:p>
    <w:p>
      <w:pPr>
        <w:pStyle w:val="FirstParagraph"/>
      </w:pPr>
      <w:r>
        <w:t xml:space="preserve">The Configuration of Physical Server in Production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817"/>
        <w:gridCol w:w="1622"/>
        <w:gridCol w:w="1882"/>
        <w:gridCol w:w="1038"/>
        <w:gridCol w:w="155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Host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Disk 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Dell PowerEdge R750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prd-scs-admin-server-01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192.168.10.22, 10.5.161.206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F646RX3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RAID-5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Dell PowerEdge R750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prd-scs-admin-server-02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192.168.10.23, 10.5.161.207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D646RX3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RAID-5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Dell PowerEdge R750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prd-scs-nas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192.168.10.35, 10.5.161.218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</w:t>
            </w:r>
          </w:p>
        </w:tc>
      </w:tr>
    </w:tbl>
    <w:p>
      <w:pPr>
        <w:pStyle w:val="BodyText"/>
      </w:pPr>
      <w:r>
        <w:t xml:space="preserve">The Configuration of SAN storage in Production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712"/>
        <w:gridCol w:w="1605"/>
        <w:gridCol w:w="1498"/>
        <w:gridCol w:w="1498"/>
        <w:gridCol w:w="160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No. of hard disks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IP Address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Switch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 DS6610B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FRC1924T0CC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Switch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 DS6610B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FRC1924T0CD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 PowerStore 500T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HV1NBX3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192.168.10.26, 192.168.10.27, 192.168.10.28, 192.168.10.29</w:t>
            </w:r>
          </w:p>
        </w:tc>
      </w:tr>
    </w:tbl>
    <w:p>
      <w:pPr>
        <w:pStyle w:val="BodyText"/>
      </w:pPr>
      <w:r>
        <w:t xml:space="preserve">The Configuration of Backup storage in Production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12"/>
        <w:gridCol w:w="1605"/>
        <w:gridCol w:w="1498"/>
        <w:gridCol w:w="1498"/>
        <w:gridCol w:w="16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Volume Size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IP Address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Backup Appliance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 DataDomain 3300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17XMBX3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15TB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192.168.10.20</w:t>
            </w:r>
          </w:p>
        </w:tc>
      </w:tr>
    </w:tbl>
    <w:p>
      <w:pPr>
        <w:pStyle w:val="BodyText"/>
      </w:pPr>
      <w:r>
        <w:t xml:space="preserve">The Configuration of Tape Library in Production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78"/>
        <w:gridCol w:w="1161"/>
        <w:gridCol w:w="1689"/>
        <w:gridCol w:w="1900"/>
        <w:gridCol w:w="1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No. of slots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IP Address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Tape 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 ML3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3555L3A7801YY0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192.168.10.20</w:t>
            </w:r>
          </w:p>
        </w:tc>
      </w:tr>
    </w:tbl>
    <w:p>
      <w:pPr>
        <w:pStyle w:val="BodyText"/>
      </w:pPr>
      <w:r>
        <w:t xml:space="preserve">The Configuration of Firewalls in Production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540"/>
        <w:gridCol w:w="1430"/>
        <w:gridCol w:w="1430"/>
        <w:gridCol w:w="1650"/>
        <w:gridCol w:w="187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Host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Internal 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External 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</w:tr>
    </w:tbl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2025-04-08T07:34:16Z</dcterms:created>
  <dcterms:modified xsi:type="dcterms:W3CDTF">2025-04-08T07:34:16Z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