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6b0925cf60c6294b167a57991af4770319f98c"/>
    <w:p>
      <w:pPr>
        <w:pStyle w:val="Heading1"/>
      </w:pPr>
      <w:r>
        <w:t xml:space="preserve">Physical Data Design for Licensing Self-Certification Portal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outlines the physical data design for the Licensing Self-Certification Portal (LSCP) project. It provides a blueprint for implementing the LSCP database, ensuring a robust and efficient data management system. This document details the physical data structure, process design, and relationships between key business entities within the LSCP.</w: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The objectives of the LSCP are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all electronic and paper submissions from applicant and authorized person (AP)/registered structural engineer (RSE) applications for safety certificates, non-purpose built schools, child care centers, and non-local higher and professional education courses.</w:t>
      </w:r>
    </w:p>
    <w:p>
      <w:pPr>
        <w:numPr>
          <w:ilvl w:val="0"/>
          <w:numId w:val="1001"/>
        </w:numPr>
        <w:pStyle w:val="Compact"/>
      </w:pPr>
      <w:r>
        <w:t xml:space="preserve">Provide a Buildings Department (BD) departmental portal login for internal users, with User ID and password as an alternative.</w:t>
      </w:r>
    </w:p>
    <w:p>
      <w:pPr>
        <w:numPr>
          <w:ilvl w:val="0"/>
          <w:numId w:val="1001"/>
        </w:numPr>
        <w:pStyle w:val="Compact"/>
      </w:pPr>
      <w:r>
        <w:t xml:space="preserve">Support the latest web browsers.</w:t>
      </w:r>
    </w:p>
    <w:p>
      <w:pPr>
        <w:numPr>
          <w:ilvl w:val="0"/>
          <w:numId w:val="1001"/>
        </w:numPr>
        <w:pStyle w:val="Compact"/>
      </w:pPr>
      <w:r>
        <w:t xml:space="preserve">Comply with the standards of the Government System Architecture and government IT security policy.</w:t>
      </w:r>
    </w:p>
    <w:bookmarkEnd w:id="21"/>
    <w:bookmarkStart w:id="26" w:name="physical-data-structure-specification"/>
    <w:p>
      <w:pPr>
        <w:pStyle w:val="Heading2"/>
      </w:pPr>
      <w:r>
        <w:t xml:space="preserve">Physical Data Structure Specification</w:t>
      </w:r>
    </w:p>
    <w:p>
      <w:pPr>
        <w:pStyle w:val="FirstParagraph"/>
      </w:pPr>
      <w:r>
        <w:t xml:space="preserve">This section details the data model and associated descriptions.</w:t>
      </w:r>
    </w:p>
    <w:bookmarkStart w:id="22" w:name="physical-data-structure"/>
    <w:p>
      <w:pPr>
        <w:pStyle w:val="Heading3"/>
      </w:pPr>
      <w:r>
        <w:t xml:space="preserve">Physical Data Structure</w:t>
      </w:r>
    </w:p>
    <w:p>
      <w:pPr>
        <w:pStyle w:val="FirstParagraph"/>
      </w:pPr>
      <w:r>
        <w:t xml:space="preserve">The entity-relationship diagram (ERD) illustrates the relationships between entities.</w:t>
      </w:r>
    </w:p>
    <w:p>
      <w:pPr>
        <w:pStyle w:val="SourceCode"/>
      </w:pPr>
      <w:r>
        <w:rPr>
          <w:rStyle w:val="VerbatimChar"/>
        </w:rPr>
        <w:t xml:space="preserve">[Insert ERD Diagram Here - The provided image links are not accessible, so a placeholder is used.]</w:t>
      </w:r>
    </w:p>
    <w:p>
      <w:pPr>
        <w:pStyle w:val="FirstParagraph"/>
      </w:pPr>
      <w:r>
        <w:rPr>
          <w:bCs/>
          <w:b/>
        </w:rPr>
        <w:t xml:space="preserve">Entities Overview:</w:t>
      </w:r>
    </w:p>
    <w:p>
      <w:pPr>
        <w:pStyle w:val="BodyText"/>
      </w:pPr>
      <w:r>
        <w:t xml:space="preserve">There are 7 categories of entities in the data model design:</w:t>
      </w:r>
    </w:p>
    <w:p>
      <w:pPr>
        <w:numPr>
          <w:ilvl w:val="0"/>
          <w:numId w:val="1002"/>
        </w:numPr>
        <w:pStyle w:val="Compact"/>
      </w:pPr>
      <w:r>
        <w:t xml:space="preserve">(GCIS) Frontend - Application Forms submission</w:t>
      </w:r>
    </w:p>
    <w:p>
      <w:pPr>
        <w:numPr>
          <w:ilvl w:val="0"/>
          <w:numId w:val="1002"/>
        </w:numPr>
        <w:pStyle w:val="Compact"/>
      </w:pPr>
      <w:r>
        <w:t xml:space="preserve">(GCIS) Frontend - OTP login control</w:t>
      </w:r>
    </w:p>
    <w:p>
      <w:pPr>
        <w:numPr>
          <w:ilvl w:val="0"/>
          <w:numId w:val="1002"/>
        </w:numPr>
        <w:pStyle w:val="Compact"/>
      </w:pPr>
      <w:r>
        <w:t xml:space="preserve">Backend - Users</w:t>
      </w:r>
    </w:p>
    <w:p>
      <w:pPr>
        <w:numPr>
          <w:ilvl w:val="0"/>
          <w:numId w:val="1002"/>
        </w:numPr>
        <w:pStyle w:val="Compact"/>
      </w:pPr>
      <w:r>
        <w:t xml:space="preserve">Backend - Workflow of Application Forms submission</w:t>
      </w:r>
    </w:p>
    <w:bookmarkEnd w:id="22"/>
    <w:bookmarkStart w:id="23" w:name="X718f4f3db1dd88147147c1080f028c995f8dd87"/>
    <w:p>
      <w:pPr>
        <w:pStyle w:val="Heading3"/>
      </w:pPr>
      <w:r>
        <w:t xml:space="preserve">(GCIS) Frontend - Application Forms Submission</w:t>
      </w:r>
    </w:p>
    <w:p>
      <w:pPr>
        <w:pStyle w:val="SourceCode"/>
      </w:pPr>
      <w:r>
        <w:rPr>
          <w:rStyle w:val="VerbatimChar"/>
        </w:rPr>
        <w:t xml:space="preserve">[Insert Diagram 3.1-1 Here - The provided image links are not accessible, so a placeholder is used.]</w:t>
      </w:r>
    </w:p>
    <w:bookmarkEnd w:id="23"/>
    <w:bookmarkStart w:id="24" w:name="gcis-frontend---otp-login-control"/>
    <w:p>
      <w:pPr>
        <w:pStyle w:val="Heading3"/>
      </w:pPr>
      <w:r>
        <w:t xml:space="preserve">(GCIS) Frontend - OTP Login Control</w:t>
      </w:r>
    </w:p>
    <w:p>
      <w:pPr>
        <w:pStyle w:val="SourceCode"/>
      </w:pPr>
      <w:r>
        <w:rPr>
          <w:rStyle w:val="VerbatimChar"/>
        </w:rPr>
        <w:t xml:space="preserve">[Insert Diagram 3.1-2 Here - The provided image links are not accessible, so a placeholder is used.]</w:t>
      </w:r>
    </w:p>
    <w:bookmarkEnd w:id="24"/>
    <w:bookmarkStart w:id="25" w:name="bd-backend---tbc"/>
    <w:p>
      <w:pPr>
        <w:pStyle w:val="Heading3"/>
      </w:pPr>
      <w:r>
        <w:t xml:space="preserve">(BD) Backend - TBC</w:t>
      </w:r>
    </w:p>
    <w:p>
      <w:pPr>
        <w:pStyle w:val="SourceCode"/>
      </w:pPr>
      <w:r>
        <w:rPr>
          <w:rStyle w:val="VerbatimChar"/>
        </w:rPr>
        <w:t xml:space="preserve">[Insert Diagram 3.1-3 Here - The provided image links are not accessible, so a placeholder is used.]</w:t>
      </w:r>
    </w:p>
    <w:bookmarkEnd w:id="25"/>
    <w:bookmarkEnd w:id="26"/>
    <w:bookmarkStart w:id="27" w:name="data-entity-description"/>
    <w:p>
      <w:pPr>
        <w:pStyle w:val="Heading2"/>
      </w:pPr>
      <w:r>
        <w:t xml:space="preserve">Data Entity Description</w:t>
      </w:r>
    </w:p>
    <w:p>
      <w:pPr>
        <w:pStyle w:val="FirstParagraph"/>
      </w:pPr>
      <w:r>
        <w:t xml:space="preserve">This section outlines the conversion rules, assumptions, physical data table names, corresponding system entities, and key details stored in the database.</w:t>
      </w:r>
    </w:p>
    <w:p>
      <w:pPr>
        <w:pStyle w:val="BodyText"/>
      </w:pPr>
      <w:r>
        <w:rPr>
          <w:bCs/>
          <w:b/>
        </w:rPr>
        <w:t xml:space="preserve">Database Management System:</w:t>
      </w:r>
      <w:r>
        <w:t xml:space="preserve"> </w:t>
      </w:r>
      <w:r>
        <w:t xml:space="preserve">Microsoft SQL Server 2019 is selected.</w:t>
      </w:r>
    </w:p>
    <w:p>
      <w:pPr>
        <w:pStyle w:val="BodyText"/>
      </w:pPr>
      <w:r>
        <w:rPr>
          <w:bCs/>
          <w:b/>
        </w:rPr>
        <w:t xml:space="preserve">Conversion Rules and Assumptions:</w:t>
      </w:r>
    </w:p>
    <w:p>
      <w:pPr>
        <w:numPr>
          <w:ilvl w:val="0"/>
          <w:numId w:val="1003"/>
        </w:numPr>
        <w:pStyle w:val="Compact"/>
      </w:pPr>
      <w:r>
        <w:t xml:space="preserve">Spatial and textual entities are stored in Microsoft SQL Server 2019.</w:t>
      </w:r>
    </w:p>
    <w:p>
      <w:pPr>
        <w:numPr>
          <w:ilvl w:val="0"/>
          <w:numId w:val="1003"/>
        </w:numPr>
        <w:pStyle w:val="Compact"/>
      </w:pPr>
      <w:r>
        <w:t xml:space="preserve">The following tables document the mapping of the Logical Data Model (LDM) to the physical data design.</w:t>
      </w:r>
    </w:p>
    <w:p>
      <w:pPr>
        <w:pStyle w:val="FirstParagraph"/>
      </w:pPr>
      <w:r>
        <w:rPr>
          <w:bCs/>
          <w:b/>
        </w:rPr>
        <w:t xml:space="preserve">LSCP Frontend Tables:</w:t>
      </w:r>
    </w:p>
    <w:p>
      <w:pPr>
        <w:pStyle w:val="BodyText"/>
      </w:pPr>
      <w:r>
        <w:t xml:space="preserve">| Table ID | LSCP Name | LSCP Entity Description | Key Nature | Key Data Item | N/A |----------|---------------------|-----------------------------------------------------------------------------|------------|------------------------------| N/A |---|---|---|---|---| N/A | T-S-01 | ApplicationCases | Stores application numbers | PK | Id | N/A | | N/A | | N/A | ApplicationNo | N/A |---|---|---|---|---| N/A | T-S-02 | SchoolApp_Infos | Stores the latest update of submitted application data as a single row | PK | Id | N/A | | N/A | | N/A | ApplicationNo | N/A |---|---|---|---|---| N/A | T-S-03 | SchoolApp_Submissions | Stores submissions for each application | PK | Id | N/A | | N/A | | N/A | ApplicationNo | N/A | | N/A | | N/A | SubmissionId | N/A |---|---|---|---|---| N/A | T-S-04 | ApplicationFiles | Stores the file paths of applicant uploads | PK | Id | N/A | | N/A | | N/A | ApplicationNo | N/A | | N/A | | N/A | SubmissionId | N/A |---|---|---|---|---| N/A | T-S-05 | LSCPMasterTable | Stores meta-data or parameter data for the frontend | PK | Id | N/A | | N/A | | N/A | Code | N/A | | N/A | | N/A | Type + Code | N/A |---|---|---|---|---| N/A | T-S-06 | GenOtp | Stores generated OTP codes and their usage status | PK | Id | N/A | | N/A | | N/A | ApplicationNo + userId + Otp | N/A |---|---|---|---|---| N/A | T-S-07 | AdrBlk | Stores addresses imported from BCIS | PK | ADR_BLK_ID | N/A |---|---|---|---|---| N/A | T-S-08 | SYS_META_DATA | Stores meta data imported from BCIS | PK | SYS_META_DATA_ID | N/A | | N/A | | N/A | REC_TYPE | N/A | | N/A | | N/A | CODE | N/A |---|---|---|---|---| N/A | T-S-09 | Aprse | Stores AP / RSE information imported from MWMS 2.0 | PK | Id | N/A | | N/A | | N/A | Name + RegistrationNumber | N/A |---|---|---|---|---|</w:t>
      </w:r>
      <w:r>
        <w:t xml:space="preserve"> </w:t>
      </w:r>
      <w:r>
        <w:rPr>
          <w:bCs/>
          <w:b/>
        </w:rPr>
        <w:t xml:space="preserve">LSCP Backend Tables:</w:t>
      </w:r>
    </w:p>
    <w:p>
      <w:pPr>
        <w:pStyle w:val="BodyText"/>
      </w:pPr>
      <w:r>
        <w:t xml:space="preserve">| Table ID | LSCP Name | LSCP Entity Description | Key Nature | Key Data Item | N/A |----------|---------------------|-----------------------------------------------------------------------------|------------|--------------------| N/A |---|---|---|---|---| N/A | T-S-01 | ApplicationCases | Stores application numbers | PK | Id | N/A | | N/A | | N/A | ApplicationNo | N/A |---|---|---|---|---| N/A | T-S-02 | SchoolApp_Infos | Stores the latest update of submitted application data as a single row | PK | Id | N/A | | N/A | | N/A | ApplicationNo | N/A |---|---|---|---|---| N/A | T-S-03 | SchoolApp_Submissions | Stores submissions for each application | PK | Id | N/A | | N/A | | N/A | ApplicationNo | N/A | | N/A | | N/A | SubmissionId | N/A |---|---|---|---|---| N/A | T-S-04 | ApplicationFiles | Stores the file paths of applicant upload files | PK | Id | N/A | | N/A | | N/A | ApplicationNo | N/A | | N/A | | N/A | SubmissionId | N/A |---|---|---|---|---| N/A | T-S-05 | LSCPMasterTable | Stores meta-data or parameter data for the frontend | PK | Id | N/A | | N/A | | N/A | Code | N/A | | N/A | | N/A | Type + Code | N/A |---|---|---|---|---| N/A | T-S-06 | SYS_META_DATA | Stores meta data imported from BCIS | PK | SYS_META_DATA_ID | N/A | | N/A | | N/A | REC_TYPE | N/A | | N/A | | N/A | CODE | N/A |---|---|---|---|---| N/A | T-S-07 | AdrBlkFileRef | Stores the relationship between ADR_BLK and SYS_FILE_REF | PK | ADR_BLK_FILEREF_ID | N/A | | N/A | | N/A | ADR_BLK_ID | N/A | | N/A | | N/A | SYS_FILE_REF_ID | N/A |---|---|---|---|---|</w:t>
      </w:r>
    </w:p>
    <w:bookmarkEnd w:id="27"/>
    <w:bookmarkStart w:id="28" w:name="Xa48dbc49e3ac94ebd91e28dc0cf315c4299805b"/>
    <w:p>
      <w:pPr>
        <w:pStyle w:val="Heading2"/>
      </w:pPr>
      <w:r>
        <w:t xml:space="preserve">Database Schema Analysis and Optimization Recommendations</w:t>
      </w:r>
    </w:p>
    <w:p>
      <w:pPr>
        <w:pStyle w:val="FirstParagraph"/>
      </w:pPr>
      <w:r>
        <w:t xml:space="preserve">Based on the provided database schema and code, here are some observations and recommendations for physical data design:</w:t>
      </w:r>
    </w:p>
    <w:p>
      <w:pPr>
        <w:pStyle w:val="BodyText"/>
      </w:pPr>
      <w:r>
        <w:rPr>
          <w:bCs/>
          <w:b/>
        </w:rPr>
        <w:t xml:space="preserve">1. Collection Sizes and Indexing: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Large Collections: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(601808 documents, 204.70 MB) and</w:t>
      </w:r>
      <w:r>
        <w:t xml:space="preserve"> </w:t>
      </w:r>
      <w:r>
        <w:rPr>
          <w:rStyle w:val="VerbatimChar"/>
        </w:rPr>
        <w:t xml:space="preserve">adrblkfilerefs</w:t>
      </w:r>
      <w:r>
        <w:t xml:space="preserve"> </w:t>
      </w:r>
      <w:r>
        <w:t xml:space="preserve">(566948 documents, 154.89 MB) are significantly larger than other collections. This suggests that queries against these collections could benefit significantly from proper indexing.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Indexing Recommendations: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sysfilerefs</w:t>
      </w:r>
      <w:r>
        <w:t xml:space="preserve">: Consider indexing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,</w:t>
      </w:r>
      <w:r>
        <w:t xml:space="preserve"> </w:t>
      </w:r>
      <w:r>
        <w:rPr>
          <w:rStyle w:val="VerbatimChar"/>
        </w:rPr>
        <w:t xml:space="preserve">frefPref</w:t>
      </w:r>
      <w:r>
        <w:t xml:space="preserve">,</w:t>
      </w:r>
      <w:r>
        <w:t xml:space="preserve"> </w:t>
      </w:r>
      <w:r>
        <w:rPr>
          <w:rStyle w:val="VerbatimChar"/>
        </w:rPr>
        <w:t xml:space="preserve">frefSeq</w:t>
      </w:r>
      <w:r>
        <w:t xml:space="preserve">,</w:t>
      </w:r>
      <w:r>
        <w:t xml:space="preserve"> </w:t>
      </w:r>
      <w:r>
        <w:rPr>
          <w:rStyle w:val="VerbatimChar"/>
        </w:rPr>
        <w:t xml:space="preserve">frefYr</w:t>
      </w:r>
      <w:r>
        <w:t xml:space="preserve">,</w:t>
      </w:r>
      <w:r>
        <w:t xml:space="preserve"> </w:t>
      </w:r>
      <w:r>
        <w:rPr>
          <w:rStyle w:val="VerbatimChar"/>
        </w:rPr>
        <w:t xml:space="preserve">frefSuf</w:t>
      </w:r>
      <w:r>
        <w:t xml:space="preserve">. The choice of which fields to include in a compound index depends on the most common query patterns.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adrblkfilerefs</w:t>
      </w:r>
      <w:r>
        <w:t xml:space="preserve">: Index</w:t>
      </w:r>
      <w:r>
        <w:t xml:space="preserve"> </w:t>
      </w:r>
      <w:r>
        <w:rPr>
          <w:rStyle w:val="VerbatimChar"/>
        </w:rPr>
        <w:t xml:space="preserve">adrBlkFileRefId</w:t>
      </w:r>
      <w:r>
        <w:t xml:space="preserve">,</w:t>
      </w:r>
      <w:r>
        <w:t xml:space="preserve"> </w:t>
      </w:r>
      <w:r>
        <w:rPr>
          <w:rStyle w:val="VerbatimChar"/>
        </w:rPr>
        <w:t xml:space="preserve">adrBlkId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. Again, compound indexes based on common query patterns would be beneficial.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Collection Growth:</w:t>
      </w:r>
      <w:r>
        <w:t xml:space="preserve"> </w:t>
      </w:r>
      <w:r>
        <w:t xml:space="preserve">Monitor the growth of these large collections. If they continue to grow rapidly, consider data archiving or partitioning strategies.</w:t>
      </w:r>
    </w:p>
    <w:p>
      <w:pPr>
        <w:pStyle w:val="FirstParagraph"/>
      </w:pPr>
      <w:r>
        <w:rPr>
          <w:bCs/>
          <w:b/>
        </w:rPr>
        <w:t xml:space="preserve">2. Data Types and Field Usage: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Mixed Data Types: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eminutes</w:t>
      </w:r>
      <w:r>
        <w:t xml:space="preserve"> </w:t>
      </w:r>
      <w:r>
        <w:t xml:space="preserve">collections have fields with mixed data types (e.g.,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is sometimes a string and sometimes an objectId). This can lead to inefficient queries and potential data integrity issues. Standardize the data types for these fields. Using</w:t>
      </w:r>
      <w:r>
        <w:t xml:space="preserve"> </w:t>
      </w:r>
      <w:r>
        <w:rPr>
          <w:rStyle w:val="VerbatimChar"/>
        </w:rPr>
        <w:t xml:space="preserve">objectId</w:t>
      </w:r>
      <w:r>
        <w:t xml:space="preserve"> </w:t>
      </w:r>
      <w:r>
        <w:t xml:space="preserve">is generally preferred for relationships.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String vs. ObjectId: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collection,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field is sometimes a string and sometimes an objectId. This inconsistency should be resolved. If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represents a relationship to the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collection, it should consistently be an</w:t>
      </w:r>
      <w:r>
        <w:t xml:space="preserve"> </w:t>
      </w:r>
      <w:r>
        <w:rPr>
          <w:rStyle w:val="VerbatimChar"/>
        </w:rPr>
        <w:t xml:space="preserve">objectId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Unused Collections: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submissions</w:t>
      </w:r>
      <w:r>
        <w:t xml:space="preserve"> </w:t>
      </w:r>
      <w:r>
        <w:t xml:space="preserve">collection is empty. If it's not being used, consider removing it. If it's intended for future use, ensure it's properly designed.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Redundant Data: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schema stores address information in multiple ways (e.g.,</w:t>
      </w:r>
      <w:r>
        <w:t xml:space="preserve"> </w:t>
      </w:r>
      <w:r>
        <w:rPr>
          <w:rStyle w:val="VerbatimChar"/>
        </w:rPr>
        <w:t xml:space="preserve">AddressOfPremiseEN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AddressOfPremiseCN</w:t>
      </w:r>
      <w:r>
        <w:t xml:space="preserve">,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object). Consolidate this information into a single, well-structured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object to avoid redundancy and improve data consistency.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String vs. Date: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schema has fields like</w:t>
      </w:r>
      <w:r>
        <w:t xml:space="preserve"> </w:t>
      </w:r>
      <w:r>
        <w:rPr>
          <w:rStyle w:val="VerbatimChar"/>
        </w:rPr>
        <w:t xml:space="preserve">ReceivedDate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SubstantialReplyDate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ActualReplyDate</w:t>
      </w:r>
      <w:r>
        <w:t xml:space="preserve"> </w:t>
      </w:r>
      <w:r>
        <w:t xml:space="preserve">which are sometimes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and sometimes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Ensure consistency.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Boolean Representation: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schema uses</w:t>
      </w:r>
      <w:r>
        <w:t xml:space="preserve"> </w:t>
      </w:r>
      <w:r>
        <w:rPr>
          <w:rStyle w:val="VerbatimChar"/>
        </w:rPr>
        <w:t xml:space="preserve">ViaSCS</w:t>
      </w:r>
      <w:r>
        <w:t xml:space="preserve"> </w:t>
      </w:r>
      <w:r>
        <w:t xml:space="preserve">as a boolean. Ensure that all boolean fields are consistently represented as booleans (true/false) and not as strings or other types.</w:t>
      </w:r>
    </w:p>
    <w:p>
      <w:pPr>
        <w:pStyle w:val="FirstParagraph"/>
      </w:pPr>
      <w:r>
        <w:rPr>
          <w:bCs/>
          <w:b/>
        </w:rPr>
        <w:t xml:space="preserve">3. Relationships and Foreign Keys: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Explicit Relationships:</w:t>
      </w:r>
      <w:r>
        <w:t xml:space="preserve"> </w:t>
      </w:r>
      <w:r>
        <w:t xml:space="preserve">Use explicit relationships (foreign keys) between collections to enforce data integrity and improve query performance. For example,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field in the</w:t>
      </w:r>
      <w:r>
        <w:t xml:space="preserve"> </w:t>
      </w:r>
      <w:r>
        <w:rPr>
          <w:rStyle w:val="VerbatimChar"/>
        </w:rPr>
        <w:t xml:space="preserve">cases</w:t>
      </w:r>
      <w:r>
        <w:t xml:space="preserve"> </w:t>
      </w:r>
      <w:r>
        <w:t xml:space="preserve">collection should be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collection.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Populate vs. Manual Joins:</w:t>
      </w:r>
      <w:r>
        <w:t xml:space="preserve"> </w:t>
      </w:r>
      <w:r>
        <w:t xml:space="preserve">The code frequently uses</w:t>
      </w:r>
      <w:r>
        <w:t xml:space="preserve"> </w:t>
      </w:r>
      <w:r>
        <w:rPr>
          <w:rStyle w:val="VerbatimChar"/>
        </w:rPr>
        <w:t xml:space="preserve">.populate()</w:t>
      </w:r>
      <w:r>
        <w:t xml:space="preserve"> </w:t>
      </w:r>
      <w:r>
        <w:t xml:space="preserve">to retrieve related data. While convenient, this can be inefficient for large datasets. Consider using aggregation pipelines for more complex queries that require joining data from multiple collections.</w:t>
      </w:r>
    </w:p>
    <w:p>
      <w:pPr>
        <w:pStyle w:val="FirstParagraph"/>
      </w:pPr>
      <w:r>
        <w:rPr>
          <w:bCs/>
          <w:b/>
        </w:rPr>
        <w:t xml:space="preserve">4. Code Review Findings: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Inconsistent Naming Conventions:</w:t>
      </w:r>
      <w:r>
        <w:t xml:space="preserve"> </w:t>
      </w:r>
      <w:r>
        <w:t xml:space="preserve">The codebase uses a mix of camelCase and snake_case for variable and property names. Establish a consistent naming convention and apply it throughout the codebase.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Hardcoded Values:</w:t>
      </w:r>
      <w:r>
        <w:t xml:space="preserve"> </w:t>
      </w:r>
      <w:r>
        <w:t xml:space="preserve">The code contains hardcoded values (e.g., client IDs, API endpoints, file paths). Move these values to environment variables or configuration files.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The error handling in the route handlers is generally good, but consider adding more specific error messages and logging to aid in debugging.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Duplicated Code: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syncFrontendSubmissions.js</w:t>
      </w:r>
      <w:r>
        <w:t xml:space="preserve"> </w:t>
      </w:r>
      <w:r>
        <w:t xml:space="preserve">script contains a lot of logic that is similar to the</w:t>
      </w:r>
      <w:r>
        <w:t xml:space="preserve"> </w:t>
      </w:r>
      <w:r>
        <w:rPr>
          <w:rStyle w:val="VerbatimChar"/>
        </w:rPr>
        <w:t xml:space="preserve">applications.js</w:t>
      </w:r>
      <w:r>
        <w:t xml:space="preserve"> </w:t>
      </w:r>
      <w:r>
        <w:t xml:space="preserve">route. Refactor this code to reduce duplication.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auth.js</w:t>
      </w:r>
      <w:r>
        <w:t xml:space="preserve"> </w:t>
      </w:r>
      <w:r>
        <w:t xml:space="preserve">route directly compares the password with the hashed password. Ensure that you are using bcryptjs.compareSync to compare the password.</w:t>
      </w:r>
    </w:p>
    <w:p>
      <w:pPr>
        <w:pStyle w:val="FirstParagraph"/>
      </w:pPr>
      <w:r>
        <w:rPr>
          <w:bCs/>
          <w:b/>
        </w:rPr>
        <w:t xml:space="preserve">5. Specific Collection Recommendations: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tasks:</w:t>
      </w:r>
      <w:r>
        <w:t xml:space="preserve"> </w:t>
      </w:r>
      <w:r>
        <w:t xml:space="preserve">Consider indexing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fields for faster lookups.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eminutes:</w:t>
      </w:r>
      <w:r>
        <w:t xml:space="preserve"> </w:t>
      </w:r>
      <w:r>
        <w:t xml:space="preserve">Index the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field.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applications: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ApplicationNo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NameOfSchoolCN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NameOfSchoolEN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assignedBS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assignedGR</w:t>
      </w:r>
      <w:r>
        <w:t xml:space="preserve">. Consider a geospatial index on the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field if location-based queries are needed.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notifications: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eminute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bsblocks: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blockId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bdgis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cases: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assignedBS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assignedGR</w:t>
      </w:r>
      <w:r>
        <w:t xml:space="preserve">. Consider indexing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Nature</w:t>
      </w:r>
      <w:r>
        <w:t xml:space="preserve">,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,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if these are frequently used in queries.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oauthtokens: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accessToken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refreshToken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attachments: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osdpLoginId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role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adrblkfilerefs:</w:t>
      </w:r>
      <w:r>
        <w:t xml:space="preserve"> </w:t>
      </w:r>
      <w:r>
        <w:t xml:space="preserve">Index</w:t>
      </w:r>
      <w:r>
        <w:t xml:space="preserve"> </w:t>
      </w:r>
      <w:r>
        <w:rPr>
          <w:rStyle w:val="VerbatimChar"/>
        </w:rPr>
        <w:t xml:space="preserve">adrBlkId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6. Codebase Structure: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Configuration:</w:t>
      </w:r>
      <w:r>
        <w:t xml:space="preserve"> </w:t>
      </w:r>
      <w:r>
        <w:t xml:space="preserve">The configuration files (</w:t>
      </w:r>
      <w:r>
        <w:rPr>
          <w:rStyle w:val="VerbatimChar"/>
        </w:rPr>
        <w:t xml:space="preserve">config/*.js</w:t>
      </w:r>
      <w:r>
        <w:t xml:space="preserve">) contain various constants and mappings. Consider organizing these into a more structured configuration management system.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Utilities: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utils/</w:t>
      </w:r>
      <w:r>
        <w:t xml:space="preserve"> </w:t>
      </w:r>
      <w:r>
        <w:t xml:space="preserve">directory contains a mix of utility functions. Organize these into more specific modules based on their functionality.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Models:</w:t>
      </w:r>
      <w:r>
        <w:t xml:space="preserve"> </w:t>
      </w:r>
      <w:r>
        <w:t xml:space="preserve">The models (</w:t>
      </w:r>
      <w:r>
        <w:rPr>
          <w:rStyle w:val="VerbatimChar"/>
        </w:rPr>
        <w:t xml:space="preserve">models/*.js</w:t>
      </w:r>
      <w:r>
        <w:t xml:space="preserve">) define the data structures. Ensure that these models are consistent with the database schema.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Routes:</w:t>
      </w:r>
      <w:r>
        <w:t xml:space="preserve"> </w:t>
      </w:r>
      <w:r>
        <w:t xml:space="preserve">The routes (</w:t>
      </w:r>
      <w:r>
        <w:rPr>
          <w:rStyle w:val="VerbatimChar"/>
        </w:rPr>
        <w:t xml:space="preserve">routes/*.js</w:t>
      </w:r>
      <w:r>
        <w:t xml:space="preserve">) handle the API endpoints. Consider using a more structured routing system to improve maintainability.</w:t>
      </w:r>
    </w:p>
    <w:p>
      <w:pPr>
        <w:pStyle w:val="FirstParagraph"/>
      </w:pPr>
      <w:r>
        <w:rPr>
          <w:bCs/>
          <w:b/>
        </w:rPr>
        <w:t xml:space="preserve">7. Security Considerations: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Environment Variables:</w:t>
      </w:r>
      <w:r>
        <w:t xml:space="preserve"> </w:t>
      </w:r>
      <w:r>
        <w:t xml:space="preserve">Ensure that all sensitive information (e.g., database credentials, API keys, client secrets) are stored in environment variables and not hardcoded in the code.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Input Validation:</w:t>
      </w:r>
      <w:r>
        <w:t xml:space="preserve"> </w:t>
      </w:r>
      <w:r>
        <w:t xml:space="preserve">Implement robust input validation to prevent SQL injection and other security vulnerabilities.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Authentication and Authorization: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requireUser</w:t>
      </w:r>
      <w:r>
        <w:t xml:space="preserve"> </w:t>
      </w:r>
      <w:r>
        <w:t xml:space="preserve">middleware provides basic authentication. Consider implementing more granular authorization controls to restrict access to specific resources based on user roles.</w:t>
      </w:r>
    </w:p>
    <w:p>
      <w:pPr>
        <w:pStyle w:val="FirstParagraph"/>
      </w:pPr>
      <w:r>
        <w:rPr>
          <w:bCs/>
          <w:b/>
        </w:rPr>
        <w:t xml:space="preserve">8. Performance Considerations: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Query Optimization:</w:t>
      </w:r>
      <w:r>
        <w:t xml:space="preserve"> </w:t>
      </w:r>
      <w:r>
        <w:t xml:space="preserve">Analyze the most common queries and optimize them using appropriate indexing and query techniques.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Caching:</w:t>
      </w:r>
      <w:r>
        <w:t xml:space="preserve"> </w:t>
      </w:r>
      <w:r>
        <w:t xml:space="preserve">Implement caching to reduce the load on the database for frequently accessed data.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Connection Pooling:</w:t>
      </w:r>
      <w:r>
        <w:t xml:space="preserve"> </w:t>
      </w:r>
      <w:r>
        <w:t xml:space="preserve">Ensure that the database connection pool is properly configured to handle the expected load.</w:t>
      </w:r>
    </w:p>
    <w:p>
      <w:pPr>
        <w:pStyle w:val="FirstParagraph"/>
      </w:pPr>
      <w:r>
        <w:rPr>
          <w:bCs/>
          <w:b/>
        </w:rPr>
        <w:t xml:space="preserve">9. Scalability Considerations: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 Sharding:</w:t>
      </w:r>
      <w:r>
        <w:t xml:space="preserve"> </w:t>
      </w:r>
      <w:r>
        <w:t xml:space="preserve">If the database continues to grow rapidly, consider sharding the database to distribute the data across multiple servers.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Microservices Architecture:</w:t>
      </w:r>
      <w:r>
        <w:t xml:space="preserve"> </w:t>
      </w:r>
      <w:r>
        <w:t xml:space="preserve">Consider breaking the application into smaller, independent microservices to improve scalability and maintainability.</w:t>
      </w:r>
    </w:p>
    <w:p>
      <w:pPr>
        <w:pStyle w:val="FirstParagraph"/>
      </w:pPr>
      <w:r>
        <w:t xml:space="preserve">By addressing these points, the LSCP can be designed to be a robust, efficient, and scalable system that meets the needs of the Buildings Department.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2025-04-15T08:42:35Z</dcterms:created>
  <dcterms:modified xsi:type="dcterms:W3CDTF">2025-04-15T08:42:35Z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