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outlines the Process Data Interface (PDI) for the Licensing Self-Certification Portal (LSCP) of the Buildings Department (BD). It details the system's data processing approach and its integration with external systems.</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how data is processed within the LSCP system.</w:t>
      </w:r>
    </w:p>
    <w:p>
      <w:pPr>
        <w:numPr>
          <w:ilvl w:val="0"/>
          <w:numId w:val="1001"/>
        </w:numPr>
        <w:pStyle w:val="Compact"/>
      </w:pPr>
      <w:r>
        <w:rPr>
          <w:bCs/>
          <w:b/>
        </w:rPr>
        <w:t xml:space="preserve">External Interfaces:</w:t>
      </w:r>
      <w:r>
        <w:t xml:space="preserve"> </w:t>
      </w:r>
      <w:r>
        <w:t xml:space="preserve">Specifies the integration approach with external systems, including interface specifications.</w:t>
      </w:r>
    </w:p>
    <w:p>
      <w:pPr>
        <w:pStyle w:val="FirstParagraph"/>
      </w:pPr>
      <w:r>
        <w:t xml:space="preserve">This PDI focuses on the physical design and integration of the LSCP with other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components of the physical process within the LSCP. The interface ensures that the database, implemented using the physical environment, aligns with the required system logical data model. This approach aims to simplify system implementation and future maintenance.</w:t>
      </w:r>
    </w:p>
    <w:p>
      <w:pPr>
        <w:pStyle w:val="BodyText"/>
      </w:pPr>
      <w:r>
        <w:t xml:space="preserve">For each incoming process request, the system function handles the input, updates the database, and performs necessary queries.</w:t>
      </w:r>
    </w:p>
    <w:p>
      <w:pPr>
        <w:pStyle w:val="BodyText"/>
      </w:pPr>
      <w:r>
        <w:rPr>
          <w:bCs/>
          <w:b/>
        </w:rPr>
        <w:t xml:space="preserve">In/Out Data Process Flow Diagram:</w:t>
      </w:r>
    </w:p>
    <w:p>
      <w:pPr>
        <w:pStyle w:val="SourceCode"/>
      </w:pPr>
      <w:r>
        <w:rPr>
          <w:rStyle w:val="VerbatimChar"/>
        </w:rPr>
        <w:t xml:space="preserve">[See image2.png in the provided files]</w:t>
      </w:r>
    </w:p>
    <w:p>
      <w:pPr>
        <w:pStyle w:val="FirstParagraph"/>
      </w:pPr>
      <w:r>
        <w:t xml:space="preserve">The diagram illustrates the flow of data into and out of the system during processing.</w:t>
      </w:r>
    </w:p>
    <w:bookmarkEnd w:id="21"/>
    <w:bookmarkStart w:id="30" w:name="Xfb947ce20f92714bceba91c7bc3b6e1a0730307"/>
    <w:p>
      <w:pPr>
        <w:pStyle w:val="Heading2"/>
      </w:pPr>
      <w:r>
        <w:t xml:space="preserve">3. External Interfaces</w:t>
      </w:r>
    </w:p>
    <w:p>
      <w:pPr>
        <w:pStyle w:val="FirstParagraph"/>
      </w:pPr>
      <w:r>
        <w:t xml:space="preserve">This section details the LSCP's integration with external systems, providing specifications for each interface.</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 | :---------------------- | :----------------- | :--------------------------- | :------------------------- | :------- | :-------------------------- | N/A |---|---|---|---|---|---|---| N/A | External | SMIS | INT-SMIS-01 | Data Import from SMIS | Stored Procedure | In |</w:t>
      </w:r>
      <w:r>
        <w:t xml:space="preserve"> </w:t>
      </w:r>
      <w:r>
        <w:rPr>
          <w:iCs/>
          <w:i/>
        </w:rPr>
        <w:t xml:space="preserve">To be determined</w:t>
      </w:r>
      <w:r>
        <w:t xml:space="preserve"> </w:t>
      </w:r>
      <w:r>
        <w:t xml:space="preserve">| N/A |---|---|---|---|---|---|---| N/A | External | OSDP | INT-OSDP-01 | Single Sign-On through OSDP | HTTP Request Redirection | In | TLS 1.2 over HTTPS | N/A |---|---|---|---|---|---|---| N/A | External |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confirmed</w:t>
      </w:r>
      <w:r>
        <w:t xml:space="preserve"> </w:t>
      </w:r>
      <w:r>
        <w:t xml:space="preserve">| N/A |---|---|---|---|---|---|---|</w:t>
      </w:r>
      <w:r>
        <w:t xml:space="preserve"> </w:t>
      </w:r>
      <w:r>
        <w:rPr>
          <w:bCs/>
          <w:b/>
        </w:rPr>
        <w:t xml:space="preserve">Note:</w:t>
      </w:r>
      <w:r>
        <w:t xml:space="preserve"> </w:t>
      </w:r>
      <w:r>
        <w:t xml:space="preserve">Authentication and encryption methods marked "To be determined" or left blank require further clarification based on the specific requirements of each external system.</w:t>
      </w:r>
    </w:p>
    <w:bookmarkEnd w:id="22"/>
    <w:bookmarkStart w:id="29" w:name="X181e59ee17c221cca077cd40af476046eda423b"/>
    <w:p>
      <w:pPr>
        <w:pStyle w:val="Heading3"/>
      </w:pPr>
      <w:r>
        <w:t xml:space="preserve">3.2 Interface Specification</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Statutory Management Information System (SMIS)</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 / 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in the SMIS database to import necessary data. The specific data fields will be defined during the detailed design phase.</w:t>
      </w:r>
    </w:p>
    <w:p>
      <w:pPr>
        <w:numPr>
          <w:ilvl w:val="0"/>
          <w:numId w:val="1002"/>
        </w:numPr>
      </w:pPr>
      <w:r>
        <w:rPr>
          <w:bCs/>
          <w:b/>
        </w:rPr>
        <w:t xml:space="preserve">Data Exchange:</w:t>
      </w:r>
      <w:r>
        <w:t xml:space="preserve"> </w:t>
      </w:r>
      <w:r>
        <w:t xml:space="preserve">Data will be transferred directly between databases via stored procedures.</w:t>
      </w:r>
    </w:p>
    <w:p>
      <w:pPr>
        <w:numPr>
          <w:ilvl w:val="0"/>
          <w:numId w:val="1002"/>
        </w:numPr>
      </w:pPr>
      <w:r>
        <w:rPr>
          <w:bCs/>
          <w:b/>
        </w:rPr>
        <w:t xml:space="preserve">Authentication:</w:t>
      </w:r>
      <w:r>
        <w:t xml:space="preserve"> </w:t>
      </w:r>
      <w:r>
        <w:t xml:space="preserve">The authentication method for accessing the SMIS database needs to be determined (e.g., database user credentials, API keys).</w:t>
      </w:r>
    </w:p>
    <w:p>
      <w:pPr>
        <w:numPr>
          <w:ilvl w:val="0"/>
          <w:numId w:val="1002"/>
        </w:numPr>
      </w:pPr>
      <w:r>
        <w:rPr>
          <w:bCs/>
          <w:b/>
        </w:rPr>
        <w:t xml:space="preserve">Error Handling:</w:t>
      </w:r>
      <w:r>
        <w:t xml:space="preserve"> </w:t>
      </w:r>
      <w:r>
        <w:t xml:space="preserve">Stored procedures should include error handling for data transfer issues and logging.</w:t>
      </w:r>
    </w:p>
    <w:p>
      <w:pPr>
        <w:numPr>
          <w:ilvl w:val="0"/>
          <w:numId w:val="1002"/>
        </w:numPr>
      </w:pPr>
      <w:r>
        <w:rPr>
          <w:bCs/>
          <w:b/>
        </w:rPr>
        <w:t xml:space="preserve">Data Mapping:</w:t>
      </w:r>
    </w:p>
    <w:p>
      <w:pPr>
        <w:numPr>
          <w:ilvl w:val="0"/>
          <w:numId w:val="1000"/>
        </w:numPr>
      </w:pPr>
      <w:r>
        <w:t xml:space="preserve">|</w:t>
      </w:r>
      <w:r>
        <w:t xml:space="preserve"> </w:t>
      </w:r>
      <w:r>
        <w:rPr>
          <w:bCs/>
          <w:b/>
        </w:rPr>
        <w:t xml:space="preserve">SMIS Data Item</w:t>
      </w:r>
      <w:r>
        <w:t xml:space="preserve"> </w:t>
      </w:r>
      <w:r>
        <w:t xml:space="preserve">|</w:t>
      </w:r>
      <w:r>
        <w:t xml:space="preserve"> </w:t>
      </w:r>
      <w:r>
        <w:rPr>
          <w:bCs/>
          <w:b/>
        </w:rPr>
        <w:t xml:space="preserve">LSCP Data Item</w:t>
      </w:r>
      <w:r>
        <w:t xml:space="preserve"> </w:t>
      </w:r>
      <w:r>
        <w:t xml:space="preserve">|</w:t>
      </w:r>
      <w:r>
        <w:t xml:space="preserve"> </w:t>
      </w:r>
      <w:r>
        <w:rPr>
          <w:bCs/>
          <w:b/>
        </w:rPr>
        <w:t xml:space="preserve">Data Type</w:t>
      </w:r>
      <w:r>
        <w:t xml:space="preserve"> </w:t>
      </w:r>
      <w:r>
        <w:t xml:space="preserve">|</w:t>
      </w:r>
      <w:r>
        <w:t xml:space="preserve"> </w:t>
      </w:r>
      <w:r>
        <w:rPr>
          <w:bCs/>
          <w:b/>
        </w:rPr>
        <w:t xml:space="preserve">Description</w:t>
      </w:r>
      <w:r>
        <w:t xml:space="preserve"> </w:t>
      </w:r>
      <w:r>
        <w:t xml:space="preserve">| N/A |---|---|---|---| N/A | :---------------- | :---------------- | :----------- | :--------------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 | ... | ... | ... | N/A |---|---|---|---|</w:t>
      </w:r>
    </w:p>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Pr>
      <w:r>
        <w:rPr>
          <w:bCs/>
          <w:b/>
        </w:rPr>
        <w:t xml:space="preserve">Target System:</w:t>
      </w:r>
      <w:r>
        <w:t xml:space="preserve"> </w:t>
      </w:r>
      <w:r>
        <w:t xml:space="preserve">Open Source Departmental Portal (OSDP)</w:t>
      </w:r>
    </w:p>
    <w:p>
      <w:pPr>
        <w:numPr>
          <w:ilvl w:val="0"/>
          <w:numId w:val="1003"/>
        </w:numPr>
      </w:pPr>
      <w:r>
        <w:rPr>
          <w:bCs/>
          <w:b/>
        </w:rPr>
        <w:t xml:space="preserve">Interface Type:</w:t>
      </w:r>
      <w:r>
        <w:t xml:space="preserve"> </w:t>
      </w:r>
      <w:r>
        <w:t xml:space="preserve">URL redirection with departmental portal</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Per user request</w:t>
      </w:r>
    </w:p>
    <w:p>
      <w:pPr>
        <w:numPr>
          <w:ilvl w:val="0"/>
          <w:numId w:val="1003"/>
        </w:numPr>
      </w:pPr>
      <w:r>
        <w:rPr>
          <w:bCs/>
          <w:b/>
        </w:rPr>
        <w:t xml:space="preserve">Description:</w:t>
      </w:r>
      <w:r>
        <w:t xml:space="preserve"> </w:t>
      </w:r>
      <w:r>
        <w:t xml:space="preserve">Users from BD and other B/Ds will access the LSCP by logging into their respective OSDP. A link to redirect to the LSCP will be provided in the BD Departmental Portal and other B/Ds Departmental Portal. The connection between the other B/Ds departmental portal and the LSCP is SSL secured.</w:t>
      </w:r>
    </w:p>
    <w:p>
      <w:pPr>
        <w:numPr>
          <w:ilvl w:val="0"/>
          <w:numId w:val="1003"/>
        </w:numPr>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numPr>
          <w:ilvl w:val="0"/>
          <w:numId w:val="1003"/>
        </w:numPr>
      </w:pPr>
      <w:r>
        <w:rPr>
          <w:bCs/>
          <w:b/>
        </w:rPr>
        <w:t xml:space="preserve">In/Out data process flow diagram:</w:t>
      </w:r>
    </w:p>
    <w:p>
      <w:pPr>
        <w:numPr>
          <w:ilvl w:val="0"/>
          <w:numId w:val="1000"/>
        </w:numPr>
        <w:pStyle w:val="SourceCode"/>
      </w:pPr>
      <w:r>
        <w:rPr>
          <w:rStyle w:val="VerbatimChar"/>
        </w:rPr>
        <w:t xml:space="preserve">[See image4.png in the provided files]</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Minor Works Management System 2.0 (MWMS2)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 | :---------------------------------------------------------------------------- | :-------- | :------------- | N/A |---|---|---|---| N/A | AP_ID | Unique identifier for the Authorized Person | Number | 12345 | N/A |---|---|---|---| N/A | AP_NAME | Name of the Authorized Person | Text | John Doe | N/A |---|---|---|---| N/A | AP_REG_NO | Registration number of the Authorized Person | Text | AP-98765 | N/A |---|---|---|---| N/A | RSE_ID | Unique identifier for the Registered Structural Engineer | Number | 67890 | N/A |---|---|---|---| N/A | RSE_NAME | Name of the Registered Structural Engineer | Text | Jane Smith | N/A |---|---|---|---| N/A | RSE_REG_NO| Registration number of the Registered Structural Engineer | Text | RSE-54321 | N/A |---|---|---|---| N/A | ... | ... | ... | ...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 | :------------------- | :---: | :-------------------------------------------------------------- | N/A |---|---|---|---| N/A | File Reference | File Reference | string | BD Reference Number of the site project | N/A |---|---|---|---| N/A | Site Address | Site Address | string | address of the site project | N/A |---|---|---|---| N/A | AP Registration Number | AP Registration Number | string | Registration number of the AP that involve in the related site project | N/A |---|---|---|---| N/A | RSE Registration Number | RSE Registration Number | string | Registration number of the RSE that involve in the related site project | N/A |---|---|---|---| N/A | RGE Registration Number | RGE Registration Number | string | Registration number of the RGE that involve in the related site project | N/A |---|---|---|---| N/A | RC Registration Number | RC Registration Number | string | Registration number of the RC that involve in the related site project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TBC</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2"/>
        </w:numPr>
      </w:pPr>
      <w:r>
        <w:rPr>
          <w:bCs/>
          <w:b/>
        </w:rPr>
        <w:t xml:space="preserve">Target System:</w:t>
      </w:r>
      <w:r>
        <w:t xml:space="preserve"> </w:t>
      </w:r>
      <w:r>
        <w:t xml:space="preserve">BRAVO</w:t>
      </w:r>
    </w:p>
    <w:p>
      <w:pPr>
        <w:numPr>
          <w:ilvl w:val="0"/>
          <w:numId w:val="1012"/>
        </w:numPr>
      </w:pPr>
      <w:r>
        <w:rPr>
          <w:bCs/>
          <w:b/>
        </w:rPr>
        <w:t xml:space="preserve">Interface Type:</w:t>
      </w:r>
      <w:r>
        <w:t xml:space="preserve"> </w:t>
      </w:r>
      <w:r>
        <w:t xml:space="preserve">HTTP Request Redirection</w:t>
      </w:r>
    </w:p>
    <w:p>
      <w:pPr>
        <w:numPr>
          <w:ilvl w:val="0"/>
          <w:numId w:val="1012"/>
        </w:numPr>
      </w:pPr>
      <w:r>
        <w:rPr>
          <w:bCs/>
          <w:b/>
        </w:rPr>
        <w:t xml:space="preserve">In / Out:</w:t>
      </w:r>
      <w:r>
        <w:t xml:space="preserve"> </w:t>
      </w:r>
      <w:r>
        <w:t xml:space="preserve">In</w:t>
      </w:r>
    </w:p>
    <w:p>
      <w:pPr>
        <w:numPr>
          <w:ilvl w:val="0"/>
          <w:numId w:val="1012"/>
        </w:numPr>
      </w:pPr>
      <w:r>
        <w:rPr>
          <w:bCs/>
          <w:b/>
        </w:rPr>
        <w:t xml:space="preserve">Frequency:</w:t>
      </w:r>
      <w:r>
        <w:t xml:space="preserve"> </w:t>
      </w:r>
      <w:r>
        <w:t xml:space="preserve">Per User Request</w:t>
      </w:r>
    </w:p>
    <w:p>
      <w:pPr>
        <w:numPr>
          <w:ilvl w:val="0"/>
          <w:numId w:val="1012"/>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Pr>
      <w:r>
        <w:rPr>
          <w:bCs/>
          <w:b/>
        </w:rPr>
        <w:t xml:space="preserve">Authentication:</w:t>
      </w:r>
      <w:r>
        <w:t xml:space="preserve"> </w:t>
      </w:r>
      <w:r>
        <w:t xml:space="preserve">The authentication method for accessing BRAVO (e.g., API keys, OAuth) will need to be determined.</w:t>
      </w:r>
    </w:p>
    <w:p>
      <w:pPr>
        <w:numPr>
          <w:ilvl w:val="0"/>
          <w:numId w:val="1012"/>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2"/>
        </w:numPr>
      </w:pPr>
      <w:r>
        <w:rPr>
          <w:bCs/>
          <w:b/>
        </w:rPr>
        <w:t xml:space="preserve">Data Mapping:</w:t>
      </w:r>
      <w:r>
        <w:t xml:space="preserve"> </w:t>
      </w:r>
      <w:r>
        <w:t xml:space="preserve">(This section will need to be filled in with the specific data elements that need to be mapped between LSCP and BRAVO.)</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2025-06-10T03:52:53Z</dcterms:created>
  <dcterms:modified xsi:type="dcterms:W3CDTF">2025-06-10T03:52:53Z</dcterms:modified>
</cp:coreProperties>
</file>

<file path=docProps/custom.xml><?xml version="1.0" encoding="utf-8"?>
<Properties xmlns="http://schemas.openxmlformats.org/officeDocument/2006/custom-properties" xmlns:vt="http://schemas.openxmlformats.org/officeDocument/2006/docPropsVTypes"/>
</file>