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5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5" w:type="dxa"/>
            <w:shd w:val="clear" w:color="auto" w:fill="auto"/>
          </w:tcPr>
          <w:p>
            <w:pPr>
              <w:spacing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</w:rPr>
              <w:t>МИНИСТЕРСТВО НАУКИ И ВЫСШЕГО ОБРАЗОВАНИЯ РОССИЙСКОЙ ФЕДЕРАЦИИ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5" w:type="dxa"/>
            <w:shd w:val="clear" w:color="auto" w:fill="auto"/>
          </w:tcPr>
          <w:p>
            <w:pPr>
              <w:spacing w:line="24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ФЕДЕРАЛЬНОЕ ГОСУДАРСТВЕННОЕ АВТОНОМНОЕ ОБРАЗОВАТЕЛЬНОЕ УЧРЕЖДЕНИЕ ВЫСШЕГО ОБРАЗОВАНИЯ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5" w:type="dxa"/>
            <w:shd w:val="clear" w:color="auto" w:fill="auto"/>
          </w:tcPr>
          <w:p>
            <w:pPr>
              <w:spacing w:line="240" w:lineRule="auto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«МОСКОВСКИЙ ПОЛИТЕХНИЧЕСКИЙ УНИВЕРСИТЕТ»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5" w:type="dxa"/>
            <w:shd w:val="clear" w:color="auto" w:fill="auto"/>
          </w:tcPr>
          <w:p>
            <w:pPr>
              <w:spacing w:line="240" w:lineRule="auto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  <w:lang w:val="en-US"/>
              </w:rPr>
              <w:t>(</w:t>
            </w:r>
            <w:r>
              <w:rPr>
                <w:rFonts w:eastAsia="Calibri"/>
                <w:b/>
              </w:rPr>
              <w:t xml:space="preserve">МОСКОВСКИЙ ПОЛИТЕХ) </w:t>
            </w:r>
          </w:p>
          <w:p>
            <w:pPr>
              <w:spacing w:line="240" w:lineRule="auto"/>
              <w:jc w:val="center"/>
              <w:rPr>
                <w:rFonts w:eastAsia="Calibri"/>
                <w:b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5" w:type="dxa"/>
            <w:shd w:val="clear" w:color="auto" w:fill="auto"/>
          </w:tcPr>
          <w:p>
            <w:pPr>
              <w:spacing w:line="24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Факультет информационных технологий </w:t>
            </w:r>
          </w:p>
        </w:tc>
      </w:tr>
    </w:tbl>
    <w:p>
      <w:pPr>
        <w:tabs>
          <w:tab w:val="left" w:pos="9000"/>
        </w:tabs>
        <w:spacing w:line="240" w:lineRule="auto"/>
        <w:ind w:firstLine="0"/>
      </w:pPr>
    </w:p>
    <w:p>
      <w:pPr>
        <w:tabs>
          <w:tab w:val="left" w:pos="9000"/>
          <w:tab w:val="left" w:pos="9360"/>
        </w:tabs>
        <w:spacing w:line="240" w:lineRule="auto"/>
        <w:rPr>
          <w:sz w:val="24"/>
          <w:szCs w:val="24"/>
          <w:u w:val="single"/>
        </w:rPr>
      </w:pPr>
    </w:p>
    <w:p>
      <w:pPr>
        <w:pStyle w:val="14"/>
        <w:rPr>
          <w:b/>
        </w:rPr>
      </w:pPr>
    </w:p>
    <w:p>
      <w:pPr>
        <w:pStyle w:val="14"/>
        <w:rPr>
          <w:b/>
        </w:rPr>
      </w:pPr>
    </w:p>
    <w:p>
      <w:pPr>
        <w:pStyle w:val="14"/>
        <w:rPr>
          <w:b/>
        </w:rPr>
      </w:pPr>
      <w:r>
        <w:rPr>
          <w:b/>
        </w:rPr>
        <w:t>ОТЧЕТ</w:t>
      </w:r>
    </w:p>
    <w:p>
      <w:pPr>
        <w:pStyle w:val="14"/>
        <w:rPr>
          <w:b/>
          <w:bCs/>
        </w:rPr>
      </w:pPr>
      <w:r>
        <w:rPr>
          <w:b/>
          <w:bCs/>
        </w:rPr>
        <w:t>о выполнении лабораторной работы №4</w:t>
      </w:r>
    </w:p>
    <w:p>
      <w:pPr>
        <w:pStyle w:val="14"/>
        <w:ind w:firstLine="0"/>
        <w:jc w:val="both"/>
        <w:rPr>
          <w:b/>
        </w:rPr>
      </w:pPr>
    </w:p>
    <w:p>
      <w:pPr>
        <w:pStyle w:val="14"/>
        <w:ind w:firstLine="0"/>
        <w:jc w:val="both"/>
        <w:rPr>
          <w:b/>
        </w:rPr>
      </w:pPr>
    </w:p>
    <w:p>
      <w:pPr>
        <w:pStyle w:val="14"/>
        <w:rPr>
          <w:b/>
        </w:rPr>
      </w:pPr>
      <w:r>
        <w:rPr>
          <w:b/>
        </w:rPr>
        <w:t>по дисциплине</w:t>
      </w:r>
    </w:p>
    <w:p>
      <w:pPr>
        <w:pStyle w:val="14"/>
        <w:rPr>
          <w:b/>
        </w:rPr>
      </w:pPr>
      <w:r>
        <w:rPr>
          <w:b/>
        </w:rPr>
        <w:t>«Хранилища данных»</w:t>
      </w:r>
    </w:p>
    <w:p>
      <w:pPr>
        <w:pStyle w:val="14"/>
        <w:rPr>
          <w:b/>
        </w:rPr>
      </w:pPr>
    </w:p>
    <w:p>
      <w:pPr>
        <w:pStyle w:val="14"/>
        <w:rPr>
          <w:b/>
          <w:bCs/>
        </w:rPr>
      </w:pPr>
    </w:p>
    <w:p>
      <w:pPr>
        <w:pStyle w:val="14"/>
        <w:rPr>
          <w:b/>
          <w:bCs/>
        </w:rPr>
      </w:pPr>
    </w:p>
    <w:p>
      <w:pPr>
        <w:pStyle w:val="14"/>
        <w:rPr>
          <w:b/>
          <w:bCs/>
        </w:rPr>
      </w:pPr>
    </w:p>
    <w:p>
      <w:pPr>
        <w:pStyle w:val="14"/>
        <w:ind w:firstLine="0"/>
      </w:pPr>
    </w:p>
    <w:p>
      <w:pPr>
        <w:pStyle w:val="14"/>
        <w:ind w:firstLine="0"/>
      </w:pPr>
    </w:p>
    <w:p>
      <w:pPr>
        <w:pStyle w:val="14"/>
        <w:ind w:firstLine="0"/>
        <w:rPr>
          <w:sz w:val="24"/>
          <w:szCs w:val="24"/>
        </w:rPr>
      </w:pPr>
      <w:r>
        <w:t xml:space="preserve">Студент                                ______________________              </w:t>
      </w:r>
      <w:r>
        <w:tab/>
        <w:t/>
      </w:r>
      <w:r>
        <w:tab/>
        <w:t/>
      </w:r>
      <w:r>
        <w:tab/>
      </w:r>
      <w:bookmarkStart w:id="5" w:name="_GoBack"/>
      <w:bookmarkEnd w:id="5"/>
      <w:r>
        <w:t xml:space="preserve"> (</w:t>
      </w:r>
      <w:r>
        <w:t>Б. Ю. Манджиев</w:t>
      </w:r>
      <w:r>
        <w:t xml:space="preserve">) </w:t>
      </w:r>
    </w:p>
    <w:p>
      <w:pPr>
        <w:pStyle w:val="1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(личная 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(И.О. Фамилия)</w:t>
      </w:r>
    </w:p>
    <w:p>
      <w:pPr>
        <w:pStyle w:val="14"/>
      </w:pPr>
    </w:p>
    <w:p>
      <w:pPr>
        <w:pStyle w:val="14"/>
      </w:pPr>
    </w:p>
    <w:p>
      <w:pPr>
        <w:pStyle w:val="14"/>
      </w:pPr>
    </w:p>
    <w:p>
      <w:pPr>
        <w:pStyle w:val="14"/>
      </w:pPr>
    </w:p>
    <w:p>
      <w:pPr>
        <w:pStyle w:val="14"/>
      </w:pPr>
    </w:p>
    <w:p>
      <w:pPr>
        <w:pStyle w:val="14"/>
      </w:pPr>
    </w:p>
    <w:p>
      <w:pPr>
        <w:pStyle w:val="14"/>
        <w:rPr>
          <w:b/>
        </w:rPr>
      </w:pPr>
      <w:r>
        <w:rPr>
          <w:b/>
        </w:rPr>
        <w:t>Москва 2021</w:t>
      </w:r>
    </w:p>
    <w:p>
      <w:pPr>
        <w:suppressAutoHyphens w:val="0"/>
        <w:spacing w:after="160" w:line="259" w:lineRule="auto"/>
        <w:ind w:right="0" w:firstLine="0"/>
        <w:jc w:val="left"/>
        <w:rPr>
          <w:b/>
          <w:lang w:eastAsia="ru-RU"/>
        </w:rPr>
      </w:pPr>
      <w:r>
        <w:rPr>
          <w:b/>
        </w:rPr>
        <w:br w:type="page"/>
      </w:r>
    </w:p>
    <w:p>
      <w:pPr>
        <w:pStyle w:val="14"/>
        <w:rPr>
          <w:b/>
        </w:rPr>
      </w:pPr>
      <w:r>
        <w:rPr>
          <w:b/>
        </w:rPr>
        <w:t>СОДЕРЖАНИЕ</w:t>
      </w:r>
    </w:p>
    <w:sdt>
      <w:sdtPr>
        <w:rPr>
          <w:rFonts w:ascii="Times New Roman" w:hAnsi="Times New Roman" w:cs="Times New Roman" w:eastAsiaTheme="minorHAnsi"/>
          <w:color w:val="auto"/>
          <w:sz w:val="28"/>
          <w:szCs w:val="28"/>
          <w:lang w:eastAsia="en-US"/>
        </w:rPr>
        <w:id w:val="0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 w:eastAsiaTheme="minorHAnsi"/>
          <w:b/>
          <w:bCs/>
          <w:color w:val="auto"/>
          <w:sz w:val="28"/>
          <w:szCs w:val="28"/>
          <w:lang w:eastAsia="en-US"/>
        </w:rPr>
      </w:sdtEndPr>
      <w:sdtContent>
        <w:p>
          <w:pPr>
            <w:pStyle w:val="19"/>
          </w:pPr>
        </w:p>
        <w:p>
          <w:pPr>
            <w:pStyle w:val="7"/>
            <w:tabs>
              <w:tab w:val="right" w:leader="dot" w:pos="9345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"_Toc81945487" </w:instrText>
          </w:r>
          <w:r>
            <w:fldChar w:fldCharType="separate"/>
          </w:r>
          <w:r>
            <w:rPr>
              <w:rStyle w:val="11"/>
            </w:rPr>
            <w:t>ВВЕДЕНИЕ</w:t>
          </w:r>
          <w:r>
            <w:tab/>
          </w:r>
          <w:r>
            <w:fldChar w:fldCharType="begin"/>
          </w:r>
          <w:r>
            <w:instrText xml:space="preserve"> PAGEREF _Toc81945487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345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"_Toc81945488" </w:instrText>
          </w:r>
          <w:r>
            <w:fldChar w:fldCharType="separate"/>
          </w:r>
          <w:r>
            <w:rPr>
              <w:rStyle w:val="11"/>
            </w:rPr>
            <w:t>1 ПРАКТИЧЕСКАЯ ЧАСТЬ</w:t>
          </w:r>
          <w:r>
            <w:tab/>
          </w:r>
          <w:r>
            <w:fldChar w:fldCharType="begin"/>
          </w:r>
          <w:r>
            <w:instrText xml:space="preserve"> PAGEREF _Toc81945488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345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"_Toc81945489" </w:instrText>
          </w:r>
          <w:r>
            <w:fldChar w:fldCharType="separate"/>
          </w:r>
          <w:r>
            <w:rPr>
              <w:rStyle w:val="11"/>
            </w:rPr>
            <w:t>ЗАКЛЮЧЕНИЕ</w:t>
          </w:r>
          <w:r>
            <w:tab/>
          </w:r>
          <w:r>
            <w:fldChar w:fldCharType="begin"/>
          </w:r>
          <w:r>
            <w:instrText xml:space="preserve"> PAGEREF _Toc81945489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r>
            <w:rPr>
              <w:b/>
              <w:bCs/>
            </w:rPr>
            <w:fldChar w:fldCharType="end"/>
          </w:r>
        </w:p>
      </w:sdtContent>
    </w:sdt>
    <w:p>
      <w:pPr>
        <w:pStyle w:val="14"/>
        <w:rPr>
          <w:b/>
        </w:rPr>
      </w:pPr>
    </w:p>
    <w:p>
      <w:pPr>
        <w:suppressAutoHyphens w:val="0"/>
        <w:spacing w:after="160" w:line="259" w:lineRule="auto"/>
        <w:ind w:right="0" w:firstLine="0"/>
        <w:jc w:val="left"/>
        <w:rPr>
          <w:b/>
          <w:lang w:eastAsia="ru-RU"/>
        </w:rPr>
      </w:pPr>
      <w:r>
        <w:rPr>
          <w:b/>
        </w:rPr>
        <w:br w:type="page"/>
      </w:r>
    </w:p>
    <w:p>
      <w:pPr>
        <w:pStyle w:val="2"/>
        <w:spacing w:line="480" w:lineRule="auto"/>
        <w:ind w:right="62"/>
      </w:pPr>
      <w:bookmarkStart w:id="0" w:name="_Toc81945487"/>
      <w:bookmarkStart w:id="1" w:name="_Toc65961474"/>
      <w:r>
        <w:t>ВВЕДЕНИЕ</w:t>
      </w:r>
      <w:bookmarkEnd w:id="0"/>
      <w:bookmarkEnd w:id="1"/>
    </w:p>
    <w:p>
      <w:pPr>
        <w:suppressAutoHyphens w:val="0"/>
        <w:ind w:right="0"/>
      </w:pPr>
      <w:r>
        <w:t xml:space="preserve">Данная лабораторная работа направлена на ознакомление студентов с методами и технологиями работы с документно-ориентированной базой данных </w:t>
      </w:r>
      <w:r>
        <w:rPr>
          <w:lang w:val="en-US"/>
        </w:rPr>
        <w:t>MongoDB</w:t>
      </w:r>
      <w:r>
        <w:t xml:space="preserve">. </w:t>
      </w:r>
    </w:p>
    <w:p>
      <w:pPr>
        <w:suppressAutoHyphens w:val="0"/>
        <w:ind w:right="0"/>
      </w:pPr>
      <w:r>
        <w:t xml:space="preserve">MongoDB — система управления базами данных, не требующая описания схемы таблиц. Считается одним из классических примеров NoSQL-систем, использует JSON-подобные документы и схему базы данных. Написана на языке C++. Применяется в веб-разработке, в частности, в рамках JavaScript-ориентированного стека MEAN, </w:t>
      </w:r>
      <w:r>
        <w:rPr>
          <w:lang w:val="en-US"/>
        </w:rPr>
        <w:t>MERN</w:t>
      </w:r>
      <w:r>
        <w:t xml:space="preserve"> и других.</w:t>
      </w:r>
    </w:p>
    <w:p>
      <w:pPr>
        <w:suppressAutoHyphens w:val="0"/>
        <w:ind w:right="0"/>
      </w:pPr>
      <w:r>
        <w:t xml:space="preserve">Цель работы – произвести первичное ознакомление с </w:t>
      </w:r>
      <w:r>
        <w:rPr>
          <w:lang w:val="en-US"/>
        </w:rPr>
        <w:t>MongoDB</w:t>
      </w:r>
      <w:r>
        <w:t>.</w:t>
      </w:r>
      <w:r>
        <w:br w:type="page"/>
      </w:r>
    </w:p>
    <w:p>
      <w:pPr>
        <w:pStyle w:val="2"/>
      </w:pPr>
      <w:bookmarkStart w:id="2" w:name="_Toc81945488"/>
      <w:r>
        <w:t>1 ПРАКТИЧЕСКАЯ ЧАСТЬ</w:t>
      </w:r>
      <w:bookmarkEnd w:id="2"/>
    </w:p>
    <w:p/>
    <w:p>
      <w:pPr>
        <w:suppressAutoHyphens w:val="0"/>
        <w:ind w:right="0"/>
        <w:rPr>
          <w:rFonts w:eastAsiaTheme="majorEastAsia"/>
          <w:bCs/>
        </w:rPr>
      </w:pPr>
      <w:r>
        <w:t xml:space="preserve">В данной лабораторной работе был рассмотрен предоставленный к ознакомлению пример работы с базой данных </w:t>
      </w:r>
      <w:r>
        <w:rPr>
          <w:lang w:val="en-US"/>
        </w:rPr>
        <w:t>MongoDB</w:t>
      </w:r>
      <w:r>
        <w:rPr>
          <w:rFonts w:eastAsiaTheme="majorEastAsia"/>
          <w:bCs/>
        </w:rPr>
        <w:t xml:space="preserve">. </w:t>
      </w:r>
    </w:p>
    <w:p>
      <w:pPr>
        <w:widowControl w:val="0"/>
        <w:autoSpaceDE w:val="0"/>
        <w:autoSpaceDN w:val="0"/>
        <w:adjustRightInd w:val="0"/>
        <w:ind w:right="0"/>
        <w:rPr>
          <w:rFonts w:ascii="Courier New" w:hAnsi="Courier New" w:cs="Courier New"/>
          <w:sz w:val="24"/>
        </w:rPr>
      </w:pPr>
      <w:r>
        <w:t xml:space="preserve">Для работы с базой данных было предложено использовать локальную версию. Скачивание новейшего образа происходило по следующей ссылке </w:t>
      </w:r>
      <w:r>
        <w:fldChar w:fldCharType="begin"/>
      </w:r>
      <w:r>
        <w:instrText xml:space="preserve"> HYPERLINK "https://www.mongodb.com/try/download/community?tck=docs_server" </w:instrText>
      </w:r>
      <w:r>
        <w:fldChar w:fldCharType="separate"/>
      </w:r>
      <w:r>
        <w:rPr>
          <w:rStyle w:val="11"/>
        </w:rPr>
        <w:t>https://www.mongodb.com/try/download/community?tck=docs_server</w:t>
      </w:r>
      <w:r>
        <w:rPr>
          <w:rStyle w:val="11"/>
        </w:rPr>
        <w:fldChar w:fldCharType="end"/>
      </w:r>
      <w:r>
        <w:t xml:space="preserve">. </w:t>
      </w:r>
    </w:p>
    <w:p>
      <w:pPr>
        <w:widowControl w:val="0"/>
        <w:autoSpaceDE w:val="0"/>
        <w:autoSpaceDN w:val="0"/>
        <w:adjustRightInd w:val="0"/>
      </w:pPr>
      <w:r>
        <w:t xml:space="preserve">Процесс установки, представлен на рисунке 1. </w:t>
      </w:r>
    </w:p>
    <w:p>
      <w:pPr>
        <w:widowControl w:val="0"/>
        <w:autoSpaceDE w:val="0"/>
        <w:autoSpaceDN w:val="0"/>
        <w:adjustRightInd w:val="0"/>
        <w:jc w:val="center"/>
      </w:pPr>
      <w:r>
        <w:drawing>
          <wp:inline distT="0" distB="0" distL="0" distR="0">
            <wp:extent cx="4686935" cy="3619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autoSpaceDE w:val="0"/>
        <w:autoSpaceDN w:val="0"/>
        <w:adjustRightInd w:val="0"/>
        <w:jc w:val="center"/>
      </w:pPr>
      <w:r>
        <w:t>Рисунок 1 – Процесс установки</w:t>
      </w:r>
    </w:p>
    <w:p>
      <w:pPr>
        <w:widowControl w:val="0"/>
        <w:autoSpaceDE w:val="0"/>
        <w:autoSpaceDN w:val="0"/>
        <w:adjustRightInd w:val="0"/>
        <w:ind w:right="62"/>
      </w:pPr>
      <w:r>
        <w:t xml:space="preserve">После установки для удобства работы с файлами папка с бинарниками была добавлена в переменную среды </w:t>
      </w:r>
      <w:r>
        <w:rPr>
          <w:lang w:val="en-US"/>
        </w:rPr>
        <w:t>PATH</w:t>
      </w:r>
      <w:r>
        <w:t xml:space="preserve">. Данное действие продемонстрировано на рисунке 2. </w:t>
      </w:r>
    </w:p>
    <w:p>
      <w:pPr>
        <w:widowControl w:val="0"/>
        <w:autoSpaceDE w:val="0"/>
        <w:autoSpaceDN w:val="0"/>
        <w:adjustRightInd w:val="0"/>
        <w:ind w:right="62"/>
        <w:jc w:val="center"/>
      </w:pPr>
      <w:r>
        <w:drawing>
          <wp:inline distT="0" distB="0" distL="0" distR="0">
            <wp:extent cx="4792345" cy="4519930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399" cy="452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autoSpaceDE w:val="0"/>
        <w:autoSpaceDN w:val="0"/>
        <w:adjustRightInd w:val="0"/>
        <w:ind w:right="62"/>
        <w:jc w:val="center"/>
      </w:pPr>
      <w:r>
        <w:t>Рисунок 2 – Изменение переменной среды</w:t>
      </w:r>
    </w:p>
    <w:p>
      <w:pPr>
        <w:widowControl w:val="0"/>
        <w:autoSpaceDE w:val="0"/>
        <w:autoSpaceDN w:val="0"/>
        <w:adjustRightInd w:val="0"/>
        <w:ind w:right="62"/>
      </w:pPr>
      <w:r>
        <w:t xml:space="preserve">На рисунке 3 представлен запуск локального сервера </w:t>
      </w:r>
      <w:r>
        <w:rPr>
          <w:lang w:val="en-US"/>
        </w:rPr>
        <w:t>MongoDB</w:t>
      </w:r>
      <w:r>
        <w:t xml:space="preserve"> при помощи команды </w:t>
      </w:r>
      <w:r>
        <w:rPr>
          <w:lang w:val="en-US"/>
        </w:rPr>
        <w:t>mongod</w:t>
      </w:r>
      <w:r>
        <w:t>. Закрытие терминала после этой команды повлечет за собой остановку сервера.</w:t>
      </w:r>
    </w:p>
    <w:p>
      <w:pPr>
        <w:widowControl w:val="0"/>
        <w:autoSpaceDE w:val="0"/>
        <w:autoSpaceDN w:val="0"/>
        <w:adjustRightInd w:val="0"/>
        <w:ind w:right="0" w:firstLine="0"/>
        <w:jc w:val="center"/>
      </w:pPr>
      <w:r>
        <w:drawing>
          <wp:inline distT="0" distB="0" distL="0" distR="0">
            <wp:extent cx="5641340" cy="284670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9107" cy="285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autoSpaceDE w:val="0"/>
        <w:autoSpaceDN w:val="0"/>
        <w:adjustRightInd w:val="0"/>
        <w:ind w:right="0" w:firstLine="0"/>
        <w:jc w:val="center"/>
        <w:rPr>
          <w:lang w:val="en-US"/>
        </w:rPr>
      </w:pPr>
      <w:r>
        <w:t xml:space="preserve">Рисунок 3 – Результат работы </w:t>
      </w:r>
      <w:r>
        <w:rPr>
          <w:lang w:val="en-US"/>
        </w:rPr>
        <w:t>mongod</w:t>
      </w:r>
    </w:p>
    <w:p>
      <w:pPr>
        <w:widowControl w:val="0"/>
        <w:autoSpaceDE w:val="0"/>
        <w:autoSpaceDN w:val="0"/>
        <w:adjustRightInd w:val="0"/>
        <w:ind w:right="0" w:firstLine="708"/>
      </w:pPr>
      <w:r>
        <w:t xml:space="preserve">Держа терминал с сервером открытым, можно начинать работу с базой данных. При помощи команды </w:t>
      </w:r>
      <w:r>
        <w:rPr>
          <w:lang w:val="en-US"/>
        </w:rPr>
        <w:t>mongo</w:t>
      </w:r>
      <w:r>
        <w:t xml:space="preserve"> происходит запуск сессии для работы с базой. Результат выполнения команды представлен на рисунке 4.</w:t>
      </w:r>
      <w:r>
        <w:rPr>
          <w:lang w:val="en-US"/>
        </w:rPr>
        <w:drawing>
          <wp:inline distT="0" distB="0" distL="0" distR="0">
            <wp:extent cx="5940425" cy="3101340"/>
            <wp:effectExtent l="0" t="0" r="3175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autoSpaceDE w:val="0"/>
        <w:autoSpaceDN w:val="0"/>
        <w:adjustRightInd w:val="0"/>
        <w:ind w:right="0" w:firstLine="0"/>
        <w:jc w:val="center"/>
        <w:rPr>
          <w:lang w:val="en-US"/>
        </w:rPr>
      </w:pPr>
      <w:r>
        <w:t xml:space="preserve">Рисунок 4 – Результат работы </w:t>
      </w:r>
      <w:r>
        <w:rPr>
          <w:lang w:val="en-US"/>
        </w:rPr>
        <w:t>mongo</w:t>
      </w:r>
    </w:p>
    <w:p>
      <w:pPr>
        <w:widowControl w:val="0"/>
        <w:autoSpaceDE w:val="0"/>
        <w:autoSpaceDN w:val="0"/>
        <w:adjustRightInd w:val="0"/>
        <w:ind w:right="0" w:firstLine="708"/>
        <w:rPr>
          <w:lang w:eastAsia="ru-RU"/>
        </w:rPr>
      </w:pPr>
      <w:r>
        <w:t xml:space="preserve">На рисунке 5 представлены некоторые команды для проверки работы базы данных. </w:t>
      </w:r>
      <w:r>
        <w:rPr>
          <w:lang w:val="en-US"/>
        </w:rPr>
        <w:t>Db</w:t>
      </w:r>
      <w:r>
        <w:t xml:space="preserve"> – показывает текущую данных, </w:t>
      </w:r>
      <w:r>
        <w:rPr>
          <w:lang w:val="en-US"/>
        </w:rPr>
        <w:t>show</w:t>
      </w:r>
      <w:r>
        <w:t xml:space="preserve"> </w:t>
      </w:r>
      <w:r>
        <w:rPr>
          <w:lang w:val="en-US"/>
        </w:rPr>
        <w:t>databases</w:t>
      </w:r>
      <w:r>
        <w:t xml:space="preserve"> – распределение места на различные базы данных, </w:t>
      </w:r>
      <w:r>
        <w:rPr>
          <w:lang w:val="en-US"/>
        </w:rPr>
        <w:t>use</w:t>
      </w:r>
      <w:r>
        <w:t xml:space="preserve"> </w:t>
      </w:r>
      <w:r>
        <w:rPr>
          <w:lang w:val="en-US"/>
        </w:rPr>
        <w:t>sandbox</w:t>
      </w:r>
      <w:r>
        <w:t xml:space="preserve"> – переключение на базу данных </w:t>
      </w:r>
      <w:r>
        <w:rPr>
          <w:lang w:val="en-US"/>
        </w:rPr>
        <w:t>sandbox</w:t>
      </w:r>
      <w:r>
        <w:t xml:space="preserve"> или, в случае ее отсутствия, её создание.</w:t>
      </w:r>
    </w:p>
    <w:p>
      <w:pPr>
        <w:widowControl w:val="0"/>
        <w:autoSpaceDE w:val="0"/>
        <w:autoSpaceDN w:val="0"/>
        <w:adjustRightInd w:val="0"/>
        <w:ind w:right="0" w:firstLine="0"/>
        <w:jc w:val="center"/>
        <w:rPr>
          <w:lang w:val="en-US" w:eastAsia="ru-RU"/>
        </w:rPr>
      </w:pPr>
      <w:r>
        <w:rPr>
          <w:lang w:val="en-US" w:eastAsia="ru-RU"/>
        </w:rPr>
        <w:drawing>
          <wp:inline distT="0" distB="0" distL="0" distR="0">
            <wp:extent cx="2809875" cy="15906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autoSpaceDE w:val="0"/>
        <w:autoSpaceDN w:val="0"/>
        <w:adjustRightInd w:val="0"/>
        <w:ind w:right="0" w:firstLine="0"/>
        <w:jc w:val="center"/>
        <w:rPr>
          <w:lang w:val="en-US" w:eastAsia="ru-RU"/>
        </w:rPr>
      </w:pPr>
      <w:r>
        <w:rPr>
          <w:lang w:eastAsia="ru-RU"/>
        </w:rPr>
        <w:t>Рисунок</w:t>
      </w:r>
      <w:r>
        <w:rPr>
          <w:lang w:val="en-US" w:eastAsia="ru-RU"/>
        </w:rPr>
        <w:t xml:space="preserve"> 5 – Db, show, use</w:t>
      </w:r>
    </w:p>
    <w:p>
      <w:pPr>
        <w:widowControl w:val="0"/>
        <w:autoSpaceDE w:val="0"/>
        <w:autoSpaceDN w:val="0"/>
        <w:adjustRightInd w:val="0"/>
        <w:ind w:right="0" w:firstLine="0"/>
        <w:jc w:val="center"/>
      </w:pPr>
      <w:r>
        <w:t xml:space="preserve">В текущей базе данных создается коллекция </w:t>
      </w:r>
      <w:r>
        <w:rPr>
          <w:lang w:val="en-US"/>
        </w:rPr>
        <w:t>humans</w:t>
      </w:r>
      <w:r>
        <w:t xml:space="preserve">, которая заполняется некоторыми данными для работы. Процесс заполнения и вывода данных в консоль продемонстрирован на рисунке 6. </w:t>
      </w:r>
    </w:p>
    <w:p>
      <w:pPr>
        <w:widowControl w:val="0"/>
        <w:autoSpaceDE w:val="0"/>
        <w:autoSpaceDN w:val="0"/>
        <w:adjustRightInd w:val="0"/>
        <w:ind w:right="0" w:firstLine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4248150" cy="277177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autoSpaceDE w:val="0"/>
        <w:autoSpaceDN w:val="0"/>
        <w:adjustRightInd w:val="0"/>
        <w:ind w:right="0" w:firstLine="0"/>
        <w:jc w:val="center"/>
      </w:pPr>
      <w:r>
        <w:t>Рисунок 6 – Процесс заполнения и вывода данных</w:t>
      </w:r>
    </w:p>
    <w:p>
      <w:pPr>
        <w:widowControl w:val="0"/>
        <w:autoSpaceDE w:val="0"/>
        <w:autoSpaceDN w:val="0"/>
        <w:adjustRightInd w:val="0"/>
        <w:ind w:right="0" w:firstLine="708"/>
        <w:rPr>
          <w:rFonts w:ascii="Courier New" w:hAnsi="Courier New" w:cs="Courier New"/>
        </w:rPr>
      </w:pPr>
      <w:r>
        <w:t xml:space="preserve">В следующем фрагменте кода продемонстрирована возможность заполнения коллекции сразу несколькими значениями при помощи </w:t>
      </w:r>
      <w:r>
        <w:rPr>
          <w:lang w:val="en-US"/>
        </w:rPr>
        <w:t>insertMany</w:t>
      </w:r>
      <w:r>
        <w:t xml:space="preserve">, а также возможность поиска в коллекции при помощи </w:t>
      </w:r>
      <w:r>
        <w:rPr>
          <w:lang w:val="en-US"/>
        </w:rPr>
        <w:t>find</w:t>
      </w:r>
      <w:r>
        <w:t>. Результат представлен на рисунке 7.</w:t>
      </w:r>
    </w:p>
    <w:p>
      <w:pPr>
        <w:widowControl w:val="0"/>
        <w:autoSpaceDE w:val="0"/>
        <w:autoSpaceDN w:val="0"/>
        <w:adjustRightInd w:val="0"/>
        <w:ind w:right="62"/>
        <w:jc w:val="center"/>
      </w:pPr>
      <w:r>
        <w:drawing>
          <wp:inline distT="0" distB="0" distL="0" distR="0">
            <wp:extent cx="5940425" cy="174053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autoSpaceDE w:val="0"/>
        <w:autoSpaceDN w:val="0"/>
        <w:adjustRightInd w:val="0"/>
        <w:ind w:right="62"/>
        <w:jc w:val="center"/>
      </w:pPr>
      <w:r>
        <w:t>Рисунок 7 – Результат выполнения фрагмента</w:t>
      </w:r>
    </w:p>
    <w:p>
      <w:pPr>
        <w:widowControl w:val="0"/>
        <w:autoSpaceDE w:val="0"/>
        <w:autoSpaceDN w:val="0"/>
        <w:adjustRightInd w:val="0"/>
        <w:ind w:right="62"/>
        <w:jc w:val="center"/>
      </w:pPr>
      <w:r>
        <w:t>Поиск можно осуществлять при помощи специальных слов – операторов сравнения или логических операторов: $</w:t>
      </w:r>
      <w:r>
        <w:rPr>
          <w:lang w:val="en-US"/>
        </w:rPr>
        <w:t>lt</w:t>
      </w:r>
      <w:r>
        <w:t xml:space="preserve"> – </w:t>
      </w:r>
      <w:r>
        <w:rPr>
          <w:lang w:val="en-US"/>
        </w:rPr>
        <w:t>less</w:t>
      </w:r>
      <w:r>
        <w:t xml:space="preserve"> </w:t>
      </w:r>
      <w:r>
        <w:rPr>
          <w:lang w:val="en-US"/>
        </w:rPr>
        <w:t>than</w:t>
      </w:r>
      <w:r>
        <w:t>, $</w:t>
      </w:r>
      <w:r>
        <w:rPr>
          <w:lang w:val="en-US"/>
        </w:rPr>
        <w:t>gt</w:t>
      </w:r>
      <w:r>
        <w:t xml:space="preserve"> – </w:t>
      </w:r>
      <w:r>
        <w:rPr>
          <w:lang w:val="en-US"/>
        </w:rPr>
        <w:t>greater</w:t>
      </w:r>
      <w:r>
        <w:t xml:space="preserve"> </w:t>
      </w:r>
      <w:r>
        <w:rPr>
          <w:lang w:val="en-US"/>
        </w:rPr>
        <w:t>than</w:t>
      </w:r>
      <w:r>
        <w:t>, $</w:t>
      </w:r>
      <w:r>
        <w:rPr>
          <w:lang w:val="en-US"/>
        </w:rPr>
        <w:t>lte</w:t>
      </w:r>
      <w:r>
        <w:t xml:space="preserve"> – </w:t>
      </w:r>
      <w:r>
        <w:rPr>
          <w:lang w:val="en-US"/>
        </w:rPr>
        <w:t>less</w:t>
      </w:r>
      <w:r>
        <w:t xml:space="preserve"> </w:t>
      </w:r>
      <w:r>
        <w:rPr>
          <w:lang w:val="en-US"/>
        </w:rPr>
        <w:t>than</w:t>
      </w:r>
      <w:r>
        <w:t xml:space="preserve"> </w:t>
      </w:r>
      <w:r>
        <w:rPr>
          <w:lang w:val="en-US"/>
        </w:rPr>
        <w:t>or</w:t>
      </w:r>
      <w:r>
        <w:t xml:space="preserve"> </w:t>
      </w:r>
      <w:r>
        <w:rPr>
          <w:lang w:val="en-US"/>
        </w:rPr>
        <w:t>equal</w:t>
      </w:r>
      <w:r>
        <w:t>, $</w:t>
      </w:r>
      <w:r>
        <w:rPr>
          <w:lang w:val="en-US"/>
        </w:rPr>
        <w:t>gte</w:t>
      </w:r>
      <w:r>
        <w:t xml:space="preserve"> – </w:t>
      </w:r>
      <w:r>
        <w:rPr>
          <w:lang w:val="en-US"/>
        </w:rPr>
        <w:t>greater</w:t>
      </w:r>
      <w:r>
        <w:t xml:space="preserve"> </w:t>
      </w:r>
      <w:r>
        <w:rPr>
          <w:lang w:val="en-US"/>
        </w:rPr>
        <w:t>than</w:t>
      </w:r>
      <w:r>
        <w:t xml:space="preserve"> </w:t>
      </w:r>
      <w:r>
        <w:rPr>
          <w:lang w:val="en-US"/>
        </w:rPr>
        <w:t>or</w:t>
      </w:r>
      <w:r>
        <w:t xml:space="preserve"> </w:t>
      </w:r>
      <w:r>
        <w:rPr>
          <w:lang w:val="en-US"/>
        </w:rPr>
        <w:t>equal</w:t>
      </w:r>
      <w:r>
        <w:t>, $</w:t>
      </w:r>
      <w:r>
        <w:rPr>
          <w:lang w:val="en-US"/>
        </w:rPr>
        <w:t>eq</w:t>
      </w:r>
      <w:r>
        <w:t xml:space="preserve"> - </w:t>
      </w:r>
      <w:r>
        <w:rPr>
          <w:lang w:val="en-US"/>
        </w:rPr>
        <w:t>equal</w:t>
      </w:r>
      <w:r>
        <w:t>, $</w:t>
      </w:r>
      <w:r>
        <w:rPr>
          <w:lang w:val="en-US"/>
        </w:rPr>
        <w:t>ne</w:t>
      </w:r>
      <w:r>
        <w:t xml:space="preserve"> – </w:t>
      </w:r>
      <w:r>
        <w:rPr>
          <w:lang w:val="en-US"/>
        </w:rPr>
        <w:t>not</w:t>
      </w:r>
      <w:r>
        <w:t xml:space="preserve"> </w:t>
      </w:r>
      <w:r>
        <w:rPr>
          <w:lang w:val="en-US"/>
        </w:rPr>
        <w:t>equal</w:t>
      </w:r>
      <w:r>
        <w:t>, $</w:t>
      </w:r>
      <w:r>
        <w:rPr>
          <w:lang w:val="en-US"/>
        </w:rPr>
        <w:t>or</w:t>
      </w:r>
      <w:r>
        <w:t xml:space="preserve"> – или, $</w:t>
      </w:r>
      <w:r>
        <w:rPr>
          <w:lang w:val="en-US"/>
        </w:rPr>
        <w:t>in</w:t>
      </w:r>
      <w:r>
        <w:t xml:space="preserve"> – все, $</w:t>
      </w:r>
      <w:r>
        <w:rPr>
          <w:lang w:val="en-US"/>
        </w:rPr>
        <w:t>nin</w:t>
      </w:r>
      <w:r>
        <w:t xml:space="preserve"> – все кроме. Результат использования этих операторов представлен на рисунке 8. </w:t>
      </w:r>
      <w:r>
        <w:drawing>
          <wp:inline distT="0" distB="0" distL="0" distR="0">
            <wp:extent cx="5940425" cy="320103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autoSpaceDE w:val="0"/>
        <w:autoSpaceDN w:val="0"/>
        <w:adjustRightInd w:val="0"/>
        <w:ind w:right="62"/>
        <w:jc w:val="center"/>
      </w:pPr>
      <w:r>
        <w:t>Рисунок 8 – Результат применения операторов</w:t>
      </w:r>
    </w:p>
    <w:p>
      <w:pPr>
        <w:widowControl w:val="0"/>
        <w:autoSpaceDE w:val="0"/>
        <w:autoSpaceDN w:val="0"/>
        <w:adjustRightInd w:val="0"/>
        <w:ind w:right="62"/>
      </w:pPr>
      <w:r>
        <w:t xml:space="preserve">Также в </w:t>
      </w:r>
      <w:r>
        <w:rPr>
          <w:lang w:val="en-US"/>
        </w:rPr>
        <w:t>MongoDB</w:t>
      </w:r>
      <w:r>
        <w:t xml:space="preserve"> может применяться многоуровневый поиск. Для обращения к конкретным элементам в качестве разделителя применяется точка, например </w:t>
      </w:r>
      <w:r>
        <w:rPr>
          <w:lang w:val="en-US"/>
        </w:rPr>
        <w:t>clubs</w:t>
      </w:r>
      <w:r>
        <w:t>.0.</w:t>
      </w:r>
      <w:r>
        <w:rPr>
          <w:lang w:val="en-US"/>
        </w:rPr>
        <w:t>clubName</w:t>
      </w:r>
      <w:r>
        <w:t>. Результат применения представлен на рисунке 9.</w:t>
      </w:r>
    </w:p>
    <w:p>
      <w:pPr>
        <w:widowControl w:val="0"/>
        <w:autoSpaceDE w:val="0"/>
        <w:autoSpaceDN w:val="0"/>
        <w:adjustRightInd w:val="0"/>
        <w:ind w:right="0" w:firstLine="0"/>
        <w:jc w:val="left"/>
      </w:pPr>
      <w:r>
        <w:drawing>
          <wp:inline distT="0" distB="0" distL="0" distR="0">
            <wp:extent cx="6908800" cy="431165"/>
            <wp:effectExtent l="0" t="0" r="6350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29810" cy="43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autoSpaceDE w:val="0"/>
        <w:autoSpaceDN w:val="0"/>
        <w:adjustRightInd w:val="0"/>
        <w:ind w:right="62"/>
        <w:jc w:val="center"/>
      </w:pPr>
      <w:r>
        <w:t>Рисунок 9 – Многоуровневый поиск</w:t>
      </w:r>
    </w:p>
    <w:p>
      <w:pPr>
        <w:widowControl w:val="0"/>
        <w:autoSpaceDE w:val="0"/>
        <w:autoSpaceDN w:val="0"/>
        <w:adjustRightInd w:val="0"/>
        <w:ind w:right="62"/>
      </w:pPr>
      <w:r>
        <w:t xml:space="preserve">Удаление элементов коллекции в </w:t>
      </w:r>
      <w:r>
        <w:rPr>
          <w:lang w:val="en-US"/>
        </w:rPr>
        <w:t>Mongo</w:t>
      </w:r>
      <w:r>
        <w:t xml:space="preserve"> осуществляется при помощи команд </w:t>
      </w:r>
      <w:r>
        <w:rPr>
          <w:lang w:val="en-US"/>
        </w:rPr>
        <w:t>delete</w:t>
      </w:r>
      <w:r>
        <w:t xml:space="preserve"> и </w:t>
      </w:r>
      <w:r>
        <w:rPr>
          <w:lang w:val="en-US"/>
        </w:rPr>
        <w:t>deleteMany</w:t>
      </w:r>
      <w:r>
        <w:t xml:space="preserve">. Удаление коллекции при помощи команды </w:t>
      </w:r>
      <w:r>
        <w:rPr>
          <w:lang w:val="en-US"/>
        </w:rPr>
        <w:t>drop</w:t>
      </w:r>
      <w:r>
        <w:t xml:space="preserve">. Удаление всей базы данных при помощи команды </w:t>
      </w:r>
      <w:r>
        <w:rPr>
          <w:lang w:val="en-US"/>
        </w:rPr>
        <w:t>dropDatabase</w:t>
      </w:r>
      <w:r>
        <w:t xml:space="preserve">. Результаты удаления представлены на рисунке 10. </w:t>
      </w:r>
    </w:p>
    <w:p>
      <w:pPr>
        <w:widowControl w:val="0"/>
        <w:autoSpaceDE w:val="0"/>
        <w:autoSpaceDN w:val="0"/>
        <w:adjustRightInd w:val="0"/>
        <w:ind w:right="62"/>
        <w:jc w:val="center"/>
        <w:rPr>
          <w:b/>
          <w:bCs/>
        </w:rPr>
      </w:pPr>
      <w:r>
        <w:rPr>
          <w:b/>
          <w:bCs/>
        </w:rPr>
        <w:drawing>
          <wp:inline distT="0" distB="0" distL="0" distR="0">
            <wp:extent cx="3667125" cy="95250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autoSpaceDE w:val="0"/>
        <w:autoSpaceDN w:val="0"/>
        <w:adjustRightInd w:val="0"/>
        <w:ind w:right="62"/>
        <w:jc w:val="center"/>
      </w:pPr>
      <w:r>
        <w:t>Рисунок 10 – Удаление</w:t>
      </w:r>
    </w:p>
    <w:p>
      <w:pPr>
        <w:widowControl w:val="0"/>
        <w:autoSpaceDE w:val="0"/>
        <w:autoSpaceDN w:val="0"/>
        <w:adjustRightInd w:val="0"/>
        <w:ind w:right="62"/>
        <w:rPr>
          <w:rFonts w:eastAsiaTheme="majorEastAsia"/>
          <w:bCs/>
        </w:rPr>
      </w:pPr>
      <w:r>
        <w:rPr>
          <w:rFonts w:eastAsiaTheme="majorEastAsia"/>
          <w:bCs/>
        </w:rPr>
        <w:br w:type="page"/>
      </w:r>
    </w:p>
    <w:p>
      <w:pPr>
        <w:pStyle w:val="2"/>
        <w:spacing w:line="480" w:lineRule="auto"/>
        <w:ind w:right="0"/>
      </w:pPr>
      <w:bookmarkStart w:id="3" w:name="_Toc65961479"/>
      <w:bookmarkStart w:id="4" w:name="_Toc81945489"/>
      <w:r>
        <w:t>ЗАКЛЮЧЕНИЕ</w:t>
      </w:r>
      <w:bookmarkEnd w:id="3"/>
      <w:bookmarkEnd w:id="4"/>
    </w:p>
    <w:p>
      <w:pPr>
        <w:ind w:right="0"/>
      </w:pPr>
      <w:r>
        <w:t xml:space="preserve">В ходе лабораторной работы было произведено первичное ознакомление со средствами работы с документно-ориентированной базой </w:t>
      </w:r>
      <w:r>
        <w:rPr>
          <w:lang w:val="en-US"/>
        </w:rPr>
        <w:t>MongoDB</w:t>
      </w:r>
      <w:r>
        <w:t xml:space="preserve">. Были освоены и опробованы базовые команды для работы с данными, сделаны некоторые типовые задачи, такие как работа создание коллекции, добавление элементов, поиск элементов, удаление данных. </w:t>
      </w:r>
    </w:p>
    <w:p>
      <w:pPr>
        <w:ind w:right="0"/>
      </w:pPr>
      <w:r>
        <w:t>По результатам работы была отмечена перспективность и удобство работы с данной платформой.</w:t>
      </w:r>
    </w:p>
    <w:p>
      <w:pPr>
        <w:ind w:right="0"/>
      </w:pPr>
    </w:p>
    <w:sectPr>
      <w:footerReference r:id="rId3" w:type="default"/>
      <w:pgSz w:w="11906" w:h="16838"/>
      <w:pgMar w:top="1134" w:right="850" w:bottom="1134" w:left="1701" w:header="708" w:footer="708" w:gutter="0"/>
      <w:cols w:space="708" w:num="1"/>
      <w:titlePg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ource Han Sans C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ource Han Sans C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Source Han Sans C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libri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Pothana2000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DejaVu Sans"/>
    <w:panose1 w:val="020F0302020204030204"/>
    <w:charset w:val="CC"/>
    <w:family w:val="swiss"/>
    <w:pitch w:val="default"/>
    <w:sig w:usb0="00000000" w:usb1="00000000" w:usb2="00000009" w:usb3="00000000" w:csb0="000001FF" w:csb1="00000000"/>
  </w:font>
  <w:font w:name="等线">
    <w:altName w:val="Pothana2000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altName w:val="DejaVu Sans"/>
    <w:panose1 w:val="02070309020205020404"/>
    <w:charset w:val="CC"/>
    <w:family w:val="modern"/>
    <w:pitch w:val="default"/>
    <w:sig w:usb0="00000000" w:usb1="00000000" w:usb2="00000009" w:usb3="00000000" w:csb0="0000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ejaVu Sans">
    <w:panose1 w:val="020B0603030804020204"/>
    <w:charset w:val="CC"/>
    <w:family w:val="roman"/>
    <w:pitch w:val="default"/>
    <w:sig w:usb0="E7006EFF" w:usb1="D200FDFF" w:usb2="0A246029" w:usb3="0400200C" w:csb0="600001FF" w:csb1="DFFF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0"/>
      <w:docPartObj>
        <w:docPartGallery w:val="AutoText"/>
      </w:docPartObj>
    </w:sdtPr>
    <w:sdtContent>
      <w:p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16</w:t>
        </w:r>
        <w:r>
          <w:fldChar w:fldCharType="end"/>
        </w:r>
      </w:p>
    </w:sdtContent>
  </w:sdt>
  <w:p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2"/>
  <w:documentProtection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067"/>
    <w:rsid w:val="00061036"/>
    <w:rsid w:val="00091240"/>
    <w:rsid w:val="000A4D12"/>
    <w:rsid w:val="00136FC4"/>
    <w:rsid w:val="00167FD5"/>
    <w:rsid w:val="001E2C2C"/>
    <w:rsid w:val="002100AD"/>
    <w:rsid w:val="0024541E"/>
    <w:rsid w:val="00250167"/>
    <w:rsid w:val="002813E5"/>
    <w:rsid w:val="002E35B7"/>
    <w:rsid w:val="0030074C"/>
    <w:rsid w:val="00305383"/>
    <w:rsid w:val="00327B82"/>
    <w:rsid w:val="00341D36"/>
    <w:rsid w:val="003712C0"/>
    <w:rsid w:val="003B2669"/>
    <w:rsid w:val="003C3317"/>
    <w:rsid w:val="003E1655"/>
    <w:rsid w:val="004721EA"/>
    <w:rsid w:val="004901B7"/>
    <w:rsid w:val="004D0067"/>
    <w:rsid w:val="00525ACB"/>
    <w:rsid w:val="005B0356"/>
    <w:rsid w:val="005B4CD2"/>
    <w:rsid w:val="005D7F5E"/>
    <w:rsid w:val="005E752B"/>
    <w:rsid w:val="00643F97"/>
    <w:rsid w:val="006450F6"/>
    <w:rsid w:val="006508A7"/>
    <w:rsid w:val="006508F2"/>
    <w:rsid w:val="006618BA"/>
    <w:rsid w:val="006F2548"/>
    <w:rsid w:val="00704D0E"/>
    <w:rsid w:val="00756DE6"/>
    <w:rsid w:val="00762200"/>
    <w:rsid w:val="00786085"/>
    <w:rsid w:val="007A2A47"/>
    <w:rsid w:val="007F2561"/>
    <w:rsid w:val="00824AC3"/>
    <w:rsid w:val="00863992"/>
    <w:rsid w:val="00890C89"/>
    <w:rsid w:val="008B0109"/>
    <w:rsid w:val="008E2D02"/>
    <w:rsid w:val="00915AF5"/>
    <w:rsid w:val="00940172"/>
    <w:rsid w:val="00974CB3"/>
    <w:rsid w:val="009E229D"/>
    <w:rsid w:val="00A12A5C"/>
    <w:rsid w:val="00A131F9"/>
    <w:rsid w:val="00A14054"/>
    <w:rsid w:val="00A207D5"/>
    <w:rsid w:val="00A25B36"/>
    <w:rsid w:val="00A74023"/>
    <w:rsid w:val="00B61F66"/>
    <w:rsid w:val="00B7188D"/>
    <w:rsid w:val="00B91859"/>
    <w:rsid w:val="00BB1FE8"/>
    <w:rsid w:val="00BF3D2A"/>
    <w:rsid w:val="00C10062"/>
    <w:rsid w:val="00C2411B"/>
    <w:rsid w:val="00C26466"/>
    <w:rsid w:val="00D556AE"/>
    <w:rsid w:val="00D848EE"/>
    <w:rsid w:val="00DA2532"/>
    <w:rsid w:val="00DA4490"/>
    <w:rsid w:val="00E27D5B"/>
    <w:rsid w:val="00E32DBD"/>
    <w:rsid w:val="00E40FBC"/>
    <w:rsid w:val="00E50E34"/>
    <w:rsid w:val="00E637F3"/>
    <w:rsid w:val="00E70EC6"/>
    <w:rsid w:val="00E83A9F"/>
    <w:rsid w:val="00E94717"/>
    <w:rsid w:val="00EA4E00"/>
    <w:rsid w:val="00F14331"/>
    <w:rsid w:val="00F73B2E"/>
    <w:rsid w:val="00F7547D"/>
    <w:rsid w:val="00FA5524"/>
    <w:rsid w:val="00FA7FCE"/>
    <w:rsid w:val="00FC1F84"/>
    <w:rsid w:val="00FC74A6"/>
    <w:rsid w:val="00FE526D"/>
    <w:rsid w:val="6EE6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0" w:line="360" w:lineRule="auto"/>
      <w:ind w:right="60" w:firstLine="709"/>
      <w:jc w:val="both"/>
    </w:pPr>
    <w:rPr>
      <w:rFonts w:ascii="Times New Roman" w:hAnsi="Times New Roman" w:cs="Times New Roman" w:eastAsiaTheme="minorHAnsi"/>
      <w:sz w:val="28"/>
      <w:szCs w:val="28"/>
      <w:lang w:val="ru-RU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jc w:val="center"/>
      <w:outlineLvl w:val="0"/>
    </w:pPr>
    <w:rPr>
      <w:rFonts w:eastAsiaTheme="majorEastAsia" w:cstheme="majorBidi"/>
      <w:b/>
      <w:szCs w:val="32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9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21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6">
    <w:name w:val="header"/>
    <w:basedOn w:val="1"/>
    <w:link w:val="20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7">
    <w:name w:val="toc 1"/>
    <w:basedOn w:val="1"/>
    <w:next w:val="1"/>
    <w:unhideWhenUsed/>
    <w:uiPriority w:val="39"/>
    <w:pPr>
      <w:spacing w:after="100"/>
    </w:pPr>
  </w:style>
  <w:style w:type="paragraph" w:styleId="8">
    <w:name w:val="toc 2"/>
    <w:basedOn w:val="1"/>
    <w:next w:val="1"/>
    <w:unhideWhenUsed/>
    <w:uiPriority w:val="39"/>
    <w:pPr>
      <w:spacing w:after="100"/>
      <w:ind w:left="280"/>
    </w:pPr>
  </w:style>
  <w:style w:type="character" w:styleId="10">
    <w:name w:val="FollowedHyperlink"/>
    <w:basedOn w:val="9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yperlink"/>
    <w:basedOn w:val="9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Заголовок 1 Знак"/>
    <w:basedOn w:val="9"/>
    <w:link w:val="2"/>
    <w:uiPriority w:val="9"/>
    <w:rPr>
      <w:rFonts w:ascii="Times New Roman" w:hAnsi="Times New Roman" w:eastAsiaTheme="majorEastAsia" w:cstheme="majorBidi"/>
      <w:b/>
      <w:sz w:val="28"/>
      <w:szCs w:val="32"/>
    </w:rPr>
  </w:style>
  <w:style w:type="paragraph" w:customStyle="1" w:styleId="14">
    <w:name w:val="Титул1"/>
    <w:basedOn w:val="1"/>
    <w:qFormat/>
    <w:uiPriority w:val="0"/>
    <w:pPr>
      <w:jc w:val="center"/>
    </w:pPr>
    <w:rPr>
      <w:lang w:eastAsia="ru-RU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2 Знак"/>
    <w:basedOn w:val="9"/>
    <w:link w:val="3"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17">
    <w:name w:val="Заголовок 3 Знак"/>
    <w:basedOn w:val="9"/>
    <w:link w:val="4"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18">
    <w:name w:val="Неразрешенное упоминание1"/>
    <w:basedOn w:val="9"/>
    <w:semiHidden/>
    <w:unhideWhenUsed/>
    <w:uiPriority w:val="99"/>
    <w:rPr>
      <w:color w:val="605E5C"/>
      <w:shd w:val="clear" w:color="auto" w:fill="E1DFDD"/>
    </w:rPr>
  </w:style>
  <w:style w:type="paragraph" w:customStyle="1" w:styleId="19">
    <w:name w:val="TOC Heading"/>
    <w:basedOn w:val="2"/>
    <w:next w:val="1"/>
    <w:unhideWhenUsed/>
    <w:qFormat/>
    <w:uiPriority w:val="39"/>
    <w:pPr>
      <w:suppressAutoHyphens w:val="0"/>
      <w:spacing w:before="240" w:line="259" w:lineRule="auto"/>
      <w:ind w:right="0" w:firstLine="0"/>
      <w:jc w:val="left"/>
      <w:outlineLvl w:val="9"/>
    </w:pPr>
    <w:rPr>
      <w:rFonts w:asciiTheme="majorHAnsi" w:hAnsiTheme="majorHAnsi"/>
      <w:b w:val="0"/>
      <w:color w:val="2E75B6" w:themeColor="accent1" w:themeShade="BF"/>
      <w:sz w:val="32"/>
      <w:lang w:eastAsia="ru-RU"/>
    </w:rPr>
  </w:style>
  <w:style w:type="character" w:customStyle="1" w:styleId="20">
    <w:name w:val="Верхний колонтитул Знак"/>
    <w:basedOn w:val="9"/>
    <w:link w:val="6"/>
    <w:uiPriority w:val="99"/>
    <w:rPr>
      <w:rFonts w:ascii="Times New Roman" w:hAnsi="Times New Roman" w:cs="Times New Roman"/>
      <w:sz w:val="28"/>
      <w:szCs w:val="28"/>
    </w:rPr>
  </w:style>
  <w:style w:type="character" w:customStyle="1" w:styleId="21">
    <w:name w:val="Нижний колонтитул Знак"/>
    <w:basedOn w:val="9"/>
    <w:link w:val="5"/>
    <w:uiPriority w:val="99"/>
    <w:rPr>
      <w:rFonts w:ascii="Times New Roman" w:hAnsi="Times New Roman" w:cs="Times New Roman"/>
      <w:sz w:val="28"/>
      <w:szCs w:val="28"/>
    </w:rPr>
  </w:style>
  <w:style w:type="character" w:styleId="22">
    <w:name w:val="Placeholder Text"/>
    <w:basedOn w:val="9"/>
    <w:semiHidden/>
    <w:uiPriority w:val="99"/>
    <w:rPr>
      <w:color w:val="808080"/>
    </w:rPr>
  </w:style>
  <w:style w:type="character" w:customStyle="1" w:styleId="23">
    <w:name w:val="Unresolved Mention"/>
    <w:basedOn w:val="9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685</Words>
  <Characters>3911</Characters>
  <Lines>32</Lines>
  <Paragraphs>9</Paragraphs>
  <TotalTime>953</TotalTime>
  <ScaleCrop>false</ScaleCrop>
  <LinksUpToDate>false</LinksUpToDate>
  <CharactersWithSpaces>4587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2021-03-06T13:19:00Z</dcterms:created>
  <dc:creator>Xelxeim</dc:creator>
  <cp:lastModifiedBy>lemon</cp:lastModifiedBy>
  <dcterms:modified xsi:type="dcterms:W3CDTF">2021-12-22T07:55:30Z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