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88" w:lineRule="auto"/>
        <w:jc w:val="center"/>
      </w:pPr>
      <w:r>
        <w:rPr>
          <w:b/>
          <w:i w:val="0"/>
          <w:sz w:val="32"/>
        </w:rPr>
        <w:t>DocAnalyzer: A Modular, Fully Offline Pipeline for Structured Extraction,</w:t>
        <w:br/>
        <w:t>Contradiction Detection, and Hybrid-Retrieval Question Answering</w:t>
        <w:br/>
        <w:t>over Unstructured Documents</w:t>
      </w:r>
    </w:p>
    <w:p>
      <w:pPr>
        <w:spacing w:after="40"/>
        <w:jc w:val="center"/>
      </w:pPr>
      <w:r>
        <w:rPr>
          <w:i w:val="0"/>
        </w:rPr>
        <w:t>[Author Name(s) — to be completed]</w:t>
      </w:r>
    </w:p>
    <w:p>
      <w:pPr>
        <w:spacing w:after="40"/>
        <w:jc w:val="center"/>
      </w:pPr>
      <w:r>
        <w:rPr>
          <w:i w:val="0"/>
        </w:rPr>
        <w:t>[Affiliation — to be completed]</w:t>
      </w:r>
    </w:p>
    <w:p>
      <w:pPr>
        <w:spacing w:after="360"/>
        <w:jc w:val="center"/>
      </w:pPr>
      <w:r>
        <w:rPr>
          <w:i w:val="0"/>
        </w:rPr>
        <w:t>[Corresponding author email — to be completed]</w:t>
      </w:r>
    </w:p>
    <w:p>
      <w:pPr>
        <w:spacing w:after="120"/>
        <w:jc w:val="center"/>
      </w:pPr>
      <w:r>
        <w:rPr>
          <w:i/>
        </w:rPr>
        <w:t>Manuscript draft prepared for submission. Line spacing, citation style, figure placement, and page limits should be adjusted to the target journal's author guidelines prior to submission.</w:t>
      </w:r>
    </w:p>
    <w:p>
      <w:r>
        <w:br w:type="page"/>
      </w:r>
    </w:p>
    <w:p>
      <w:pPr>
        <w:pStyle w:val="Heading1"/>
      </w:pPr>
      <w:r>
        <w:t>Abstract</w:t>
      </w:r>
    </w:p>
    <w:p>
      <w:pPr>
        <w:spacing w:after="120"/>
      </w:pPr>
      <w:r>
        <w:rPr>
          <w:i w:val="0"/>
        </w:rPr>
        <w:t>Long-form technical, scientific, and business documents routinely encode claims, quantitative parameters, causal mechanisms, hidden assumptions, and — not infrequently — internal contradictions that are difficult for a human reader to audit exhaustively. We present DocAnalyzer, a modular, fully offline document-understanding pipeline that converts an arbitrary input document (PDF, Word, Markdown, or plain text) into eleven linked analytical layers: named entities (with embedding-based re-typing), zero-shot typed entities, ranked key concepts, extracted variables and quantities, confidence-scored subject–verb–object relationships, dependency and causal-chain graphs, severity-tiered problem/risk statements, multi-strategy contradiction detection (including benefit–cost trade-off axes such as precision-versus-off-target or speed-versus-safety), implicit assumption mining, and a canonicalized, community-detected knowledge graph. Every layer above runs without any external network call, combining classical dependency parsing (spaCy), zero-shot named-entity typing (GLiNER), transformer sentence embeddings (Sentence-BERT/KeyBERT), lexical scoring (BM25), and cross-encoder reranking for a companion hybrid-retrieval question-answering interface; an optional cloud large-language-model call is used only as a disclosed, non-required enrichment step. We describe the system architecture and each extraction method in detail and present a qualitative case study on a peer-reviewed genome-editing review article paired with an introductory background text, illustrating the system's output across all analytical layers. We discuss the pipeline's design rationale and current limitations — most notably the absence of a labeled benchmark corpus for formal precision/recall evaluation — and outline the human-annotation study required before the extraction-accuracy claims in this manuscript can be quantitatively substantiated.</w:t>
      </w:r>
    </w:p>
    <w:p>
      <w:pPr>
        <w:spacing w:after="120"/>
      </w:pPr>
      <w:r>
        <w:rPr>
          <w:i/>
        </w:rPr>
        <w:t>Keywords: natural language processing; named entity recognition; zero-shot entity typing; open relation extraction; causal chain mining; contradiction detection; assumption mining; knowledge graph construction; hybrid retrieval; retrieval-augmented question answering; document understanding</w:t>
      </w:r>
    </w:p>
    <w:p>
      <w:r>
        <w:br w:type="page"/>
      </w:r>
    </w:p>
    <w:p>
      <w:pPr>
        <w:pStyle w:val="Heading1"/>
      </w:pPr>
      <w:r>
        <w:t>1. Introduction</w:t>
      </w:r>
    </w:p>
    <w:p>
      <w:pPr>
        <w:pStyle w:val="Heading2"/>
      </w:pPr>
      <w:r>
        <w:t>1.1 Motivation</w:t>
      </w:r>
    </w:p>
    <w:p>
      <w:pPr>
        <w:spacing w:after="120"/>
      </w:pPr>
      <w:r>
        <w:rPr>
          <w:i w:val="0"/>
        </w:rPr>
        <w:t>Readers of technical reports, scientific reviews, regulatory filings, and long-form business documents are routinely expected to identify not only what a document states, but what it assumes, what quantitative claims it makes, how its stated mechanisms causally chain together, and — critically — where it contradicts itself or acknowledges a trade-off without resolving it. Manually performed, this kind of audit does not scale: a single peer-reviewed review article can contain hundreds of entity mentions, dozens of quantitative claims, and causal chains spanning several intermediate steps, any of which may be revised, retracted, or superseded elsewhere in the same document.</w:t>
      </w:r>
    </w:p>
    <w:p>
      <w:pPr>
        <w:spacing w:after="120"/>
      </w:pPr>
      <w:r>
        <w:rPr>
          <w:i w:val="0"/>
        </w:rPr>
        <w:t>Large language models can perform many of these tasks directly, but at the cost of opacity (the reasoning behind an extracted claim is not inspectable), non-determinism (repeated runs may disagree), and a dependency on a paid, rate-limited, internet-connected API — properties that are undesirable when the goal is a reproducible, auditable analysis artifact suitable for institutional or regulatory use. We instead ask: how much of this structured-extraction task can be accomplished with a fully offline, deterministic pipeline built from well-established NLP components — dependency parsing, zero-shot NER, transformer sentence embeddings, lexical retrieval — with a large language model used, if at all, only as an optional and disclosed supplementary step?</w:t>
      </w:r>
    </w:p>
    <w:p>
      <w:pPr>
        <w:pStyle w:val="Heading2"/>
      </w:pPr>
      <w:r>
        <w:t>1.2 Contributions</w:t>
      </w:r>
    </w:p>
    <w:p>
      <w:pPr>
        <w:spacing w:after="120"/>
      </w:pPr>
      <w:r>
        <w:rPr>
          <w:i w:val="0"/>
        </w:rPr>
        <w:t>This paper makes the following contributions:</w:t>
      </w:r>
    </w:p>
    <w:p>
      <w:pPr>
        <w:pStyle w:val="ListBullet"/>
        <w:spacing w:line="276" w:lineRule="auto" w:after="80"/>
      </w:pPr>
      <w:r>
        <w:t>A fully offline, deterministic, multi-stage document-extraction pipeline that combines classical dependency parsing (spaCy), zero-shot typed named-entity recognition (GLiNER), transformer-embedding keyphrase ranking (KeyBERT), and a pattern-based library for quantitative variable extraction, all seeded from a single shared parse pass over the source document.</w:t>
      </w:r>
    </w:p>
    <w:p>
      <w:pPr>
        <w:pStyle w:val="ListBullet"/>
        <w:spacing w:line="276" w:lineRule="auto" w:after="80"/>
      </w:pPr>
      <w:r>
        <w:t>A confidence-scored, per-triple relationship-extraction method (Section 4.6) and a graph-canonicalization procedure — embedding-based node merging plus a curated causal-verb whitelist — that allows a sparse set of directly labeled causal relations to be densified into multi-hop causal chains (Section 4.8).</w:t>
      </w:r>
    </w:p>
    <w:p>
      <w:pPr>
        <w:pStyle w:val="ListBullet"/>
        <w:spacing w:line="276" w:lineRule="auto" w:after="80"/>
      </w:pPr>
      <w:r>
        <w:t>A contradiction-detection module composed of four complementary strategies: context-gated variable-value conflicts, negation/antonym relationship conflicts, discourse-marker contrastive-claim detection, and axis-based benefit–cost trade-off detection (e.g., precision-versus-off-target, speed-versus-safety) (Section 4.10).</w:t>
      </w:r>
    </w:p>
    <w:p>
      <w:pPr>
        <w:pStyle w:val="ListBullet"/>
        <w:spacing w:line="276" w:lineRule="auto" w:after="80"/>
      </w:pPr>
      <w:r>
        <w:t>An implicit-assumption detector that combines an extensible lexical-marker table with a thematic co-occurrence heuristic to surface unstated premises about delivery, specificity, scalability, and safety (Section 4.11).</w:t>
      </w:r>
    </w:p>
    <w:p>
      <w:pPr>
        <w:pStyle w:val="ListBullet"/>
        <w:spacing w:line="276" w:lineRule="auto" w:after="80"/>
      </w:pPr>
      <w:r>
        <w:t>A resolved, community-detected knowledge-graph construction procedure with salience-protected node pruning — so that low-degree but conceptually important nodes are not discarded by naive degree-based pruning — and transitive- and similarity-based edge inference (Section 4.12).</w:t>
      </w:r>
    </w:p>
    <w:p>
      <w:pPr>
        <w:pStyle w:val="ListBullet"/>
        <w:spacing w:line="276" w:lineRule="auto" w:after="80"/>
      </w:pPr>
      <w:r>
        <w:t>A hybrid lexical (BM25) plus semantic (sentence-embedding) plus cross-encoder reranked retrieval interface for natural-language question answering over the extracted analysis, preceded by a battery of deterministic fast-path intent handlers for common query types (Section 4.14–4.15).</w:t>
      </w:r>
    </w:p>
    <w:p>
      <w:pPr>
        <w:pStyle w:val="ListBullet"/>
        <w:spacing w:line="276" w:lineRule="auto" w:after="80"/>
      </w:pPr>
      <w:r>
        <w:t>A qualitative case study (Section 6) applying the full pipeline to a peer-reviewed genome-editing review article, illustrating system output across every analytical layer, together with an honest discussion of the evaluation methodology's current limitations (Section 7).</w:t>
      </w:r>
    </w:p>
    <w:p>
      <w:pPr>
        <w:pStyle w:val="Heading2"/>
      </w:pPr>
      <w:r>
        <w:t>1.3 Paper Organization</w:t>
      </w:r>
    </w:p>
    <w:p>
      <w:pPr>
        <w:spacing w:after="120"/>
      </w:pPr>
      <w:r>
        <w:rPr>
          <w:i w:val="0"/>
        </w:rPr>
        <w:t>Section 2 situates this work relative to prior work in named entity recognition, keyphrase extraction, open relation and causal extraction, contradiction and stance detection, assumption mining, knowledge-graph construction, and retrieval-augmented question answering. Section 3 gives a system-level overview of the architecture. Section 4 details each extraction method. Section 5 describes the implementation and deployment model. Section 6 presents the qualitative case study. Section 7 discusses limitations, threats to validity, and ethical considerations. Section 8 concludes and outlines future work.</w:t>
      </w:r>
    </w:p>
    <w:p>
      <w:pPr>
        <w:pStyle w:val="Heading1"/>
      </w:pPr>
      <w:r>
        <w:t>2. Related Work</w:t>
      </w:r>
    </w:p>
    <w:p>
      <w:pPr>
        <w:pStyle w:val="Heading2"/>
      </w:pPr>
      <w:r>
        <w:t>2.1 Named Entity Recognition and Zero-Shot Entity Typing</w:t>
      </w:r>
    </w:p>
    <w:p>
      <w:pPr>
        <w:spacing w:after="120"/>
      </w:pPr>
      <w:r>
        <w:rPr>
          <w:i w:val="0"/>
        </w:rPr>
        <w:t>Statistical and neural named entity recognition (NER) has long relied on supervised sequence labeling over a fixed label inventory; spaCy's convolutional/transition-based parser [1] is representative of this mature, fast, and widely deployed approach and forms the backbone of our sentence segmentation, dependency parsing, and base entity extraction. A complementary, more recent line of work reframes NER as a zero-shot span-classification problem so that arbitrary label sets can be supplied at inference time without retraining; GLiNER [3] is one such generalist model and is used here to extract typed entities (job titles, products, events) that fall outside spaCy's fixed label inventory. Our pipeline further re-types spaCy's generic labels using cosine similarity between sentence-embedded entity context and per-label description corpora, an inexpensive alternative to fine-tuning a domain-specific NER model.</w:t>
      </w:r>
    </w:p>
    <w:p>
      <w:pPr>
        <w:pStyle w:val="Heading2"/>
      </w:pPr>
      <w:r>
        <w:t>2.2 Keyphrase and Concept Extraction</w:t>
      </w:r>
    </w:p>
    <w:p>
      <w:pPr>
        <w:spacing w:after="120"/>
      </w:pPr>
      <w:r>
        <w:rPr>
          <w:i w:val="0"/>
        </w:rPr>
        <w:t>KeyBERT [2] extracts keyphrases by embedding candidate n-grams and the document (or a local context window) with a Sentence-BERT-style encoder [4] and ranking candidates by cosine similarity to the document embedding. We build on this by adding an importance-ranking and percentile-based tiering layer (Core / Supporting / Derived) and a lightweight thematic-clustering pass so that the resulting concept list can be grouped and prioritized rather than presented as an unranked bag of keyphrases.</w:t>
      </w:r>
    </w:p>
    <w:p>
      <w:pPr>
        <w:pStyle w:val="Heading2"/>
      </w:pPr>
      <w:r>
        <w:t>2.3 Open Relation Extraction and Causal Relation Mining</w:t>
      </w:r>
    </w:p>
    <w:p>
      <w:pPr>
        <w:spacing w:after="120"/>
      </w:pPr>
      <w:r>
        <w:rPr>
          <w:i w:val="0"/>
        </w:rPr>
        <w:t>Open information extraction typically derives subject-predicate-object triples from a dependency parse, trading recall against the fixed-schema precision of supervised relation extraction. We follow this dependency-parse-based approach for our general relationship layer, and additionally maintain a separate, narrower set of regex-anchored causal patterns (e.g., X causes Y, X leads to Y, X requires Y) with hand-calibrated per-pattern confidence. Because causal mentions in natural prose are frequently only two hops long and fragmented across paraphrased surface forms, we further densify the causal graph by (a) admitting high-confidence general-relationship triples whose predicate is drawn from a curated causal/enablement verb set, and (b) merging synonymous node surface forms via embedding-based canonicalization before searching for longest paths - a lightweight, fully offline alternative to learned event-causality models.</w:t>
      </w:r>
    </w:p>
    <w:p>
      <w:pPr>
        <w:pStyle w:val="Heading2"/>
      </w:pPr>
      <w:r>
        <w:t>2.4 Contradiction, Stance, and Conflict Detection</w:t>
      </w:r>
    </w:p>
    <w:p>
      <w:pPr>
        <w:spacing w:after="120"/>
      </w:pPr>
      <w:r>
        <w:rPr>
          <w:i w:val="0"/>
        </w:rPr>
        <w:t>Contradiction detection is closely related to natural language inference (NLI), which typically classifies a hypothesis-premise pair as entailment, contradiction, or neutral using a supervised classifier. Rather than deploying a general-purpose NLI model - which can be brittle outside its training distribution and offers no explanation for why two statements conflict - we decompose contradiction detection into four inspectable, rule-governed strategies operating over the already-extracted variables and relationships: semantically-gated variable-value conflicts, negation/antonym relationship conflicts, discourse-marker-triggered contrastive-claim detection, and axis-based benefit-cost trade-off detection. The last of these is, to our knowledge, an underexplored detection target: many technical documents assert a benefit (precision, speed, efficiency) in one passage and acknowledge its corresponding cost (off-target effects, safety risk, a limitation) in another, without the two statements ever sharing a subject or object - a pattern the first three strategies, by construction, cannot catch.</w:t>
      </w:r>
    </w:p>
    <w:p>
      <w:pPr>
        <w:pStyle w:val="Heading2"/>
      </w:pPr>
      <w:r>
        <w:t>2.5 Assumption and Premise Mining</w:t>
      </w:r>
    </w:p>
    <w:p>
      <w:pPr>
        <w:spacing w:after="120"/>
      </w:pPr>
      <w:r>
        <w:rPr>
          <w:i w:val="0"/>
        </w:rPr>
        <w:t>Argumentation mining and epistemic-stance detection literatures study how authors signal certainty, hedging, and unstated premises via lexical and syntactic cues (modal verbs, hedge words, conditional constructions). Our assumption detector follows this lexical-cue tradition, combined with a co-occurrence gate against a small set of domain-agnostic risk themes (delivery, specificity, scalability, safety, accuracy, clinical/production use) so that a bare modal verb does not, on its own, trigger a flagged assumption.</w:t>
      </w:r>
    </w:p>
    <w:p>
      <w:pPr>
        <w:pStyle w:val="Heading2"/>
      </w:pPr>
      <w:r>
        <w:t>2.6 Knowledge Graph Construction from Text</w:t>
      </w:r>
    </w:p>
    <w:p>
      <w:pPr>
        <w:spacing w:after="120"/>
      </w:pPr>
      <w:r>
        <w:rPr>
          <w:i w:val="0"/>
        </w:rPr>
        <w:t>Automatic knowledge-graph construction from unstructured text must address entity resolution (merging surface-form variants of the same node), edge sparsity (most extracted graphs are far sparser than the underlying semantic graph), and - for interactive use - a principled way to keep a large extracted graph within a renderable node budget. We address entity resolution with agglomerative, cosine-similarity clustering over node-label embeddings; edge sparsity with a transitive-closure and embedding-similarity-bridging inference pass; and node-budget pruning with a salience-protection rule that exempts problem participants, named entities, top-ranked concepts, and user-editable domain seed terms from an otherwise pure degree-based cut. Community structure is computed with greedy modularity maximization [8], as implemented in NetworkX [9].</w:t>
      </w:r>
    </w:p>
    <w:p>
      <w:pPr>
        <w:pStyle w:val="Heading2"/>
      </w:pPr>
      <w:r>
        <w:t>2.7 Retrieval-Augmented Question Answering and Hybrid Retrieval</w:t>
      </w:r>
    </w:p>
    <w:p>
      <w:pPr>
        <w:spacing w:after="120"/>
      </w:pPr>
      <w:r>
        <w:rPr>
          <w:i w:val="0"/>
        </w:rPr>
        <w:t>Retrieval-augmented generation typically pairs a dense or sparse retriever with a generative reader. Our question-answering interface omits the generative reader for its primary path - deterministic intent handlers answer common query types (variable lookup, contact lookup, acronym definition, yes/no problem queries, whole-paragraph retrieval, document summarization) directly from the structured extraction - and falls back to a general retrieval path only for open-ended questions. That general path follows established hybrid information-retrieval practice: BM25 [5] lexical scoring and dense sentence-embedding cosine similarity are combined via Reciprocal Rank Fusion, and the resulting candidate pool is reranked with a cross-encoder [6] trained on the MS MARCO passage-ranking dataset [7], a combination known in the information-retrieval literature to outperform either signal alone.</w:t>
      </w:r>
    </w:p>
    <w:p>
      <w:pPr>
        <w:pStyle w:val="Heading1"/>
      </w:pPr>
      <w:r>
        <w:t>3. System Architecture Overview</w:t>
      </w:r>
    </w:p>
    <w:p>
      <w:pPr>
        <w:spacing w:after="120"/>
      </w:pPr>
      <w:r>
        <w:rPr>
          <w:i w:val="0"/>
        </w:rPr>
        <w:t>DocAnalyzer is a Flask-based web application. A single analysis request proceeds through five stages: (i) multi-format ingestion and text normalization; (ii) one shared spaCy parse producing sentence segmentation, named entities, and subject-verb-object triples, which every downstream stage consumes rather than re-parsing the document; (iii) a set of independent extraction modules (typed entities, concepts, variables, structured data) that run against the same parsed representation; (iv) a set of reasoning modules (dependencies, causal chains, problems, contradictions, assumptions, knowledge graph, executive insights) that consume the outputs of stage (iii); and (v) presentation - a JSON result object rendered as a tabbed, resizable dual-panel web interface, an exportable Markdown/Excel report, and a companion question-answering endpoint over the same result object.</w:t>
      </w:r>
    </w:p>
    <w:p>
      <w:pPr>
        <w:spacing w:before="200" w:line="240" w:lineRule="auto"/>
      </w:pPr>
      <w:r>
        <w:rPr>
          <w:b/>
          <w:sz w:val="22"/>
        </w:rPr>
        <w:t>Table 1. Pipeline stages, representative operations, and primary techniques.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Stage</w:t>
            </w:r>
          </w:p>
        </w:tc>
        <w:tc>
          <w:tcPr>
            <w:tcW w:type="dxa" w:w="2880"/>
          </w:tcPr>
          <w:p>
            <w:r/>
            <w:r>
              <w:rPr>
                <w:rFonts w:ascii="Times New Roman" w:hAnsi="Times New Roman"/>
                <w:b/>
                <w:sz w:val="20"/>
              </w:rPr>
              <w:t>Representative operations</w:t>
            </w:r>
          </w:p>
        </w:tc>
        <w:tc>
          <w:tcPr>
            <w:tcW w:type="dxa" w:w="2880"/>
          </w:tcPr>
          <w:p>
            <w:r/>
            <w:r>
              <w:rPr>
                <w:rFonts w:ascii="Times New Roman" w:hAnsi="Times New Roman"/>
                <w:b/>
                <w:sz w:val="20"/>
              </w:rPr>
              <w:t>Primary technique(s)</w:t>
            </w:r>
          </w:p>
        </w:tc>
      </w:tr>
      <w:tr>
        <w:tc>
          <w:tcPr>
            <w:tcW w:type="dxa" w:w="2880"/>
          </w:tcPr>
          <w:p>
            <w:r/>
            <w:r>
              <w:rPr>
                <w:rFonts w:ascii="Times New Roman" w:hAnsi="Times New Roman"/>
                <w:sz w:val="20"/>
              </w:rPr>
              <w:t>Ingestion</w:t>
            </w:r>
          </w:p>
        </w:tc>
        <w:tc>
          <w:tcPr>
            <w:tcW w:type="dxa" w:w="2880"/>
          </w:tcPr>
          <w:p>
            <w:r/>
            <w:r>
              <w:rPr>
                <w:rFonts w:ascii="Times New Roman" w:hAnsi="Times New Roman"/>
                <w:sz w:val="20"/>
              </w:rPr>
              <w:t>PDF / DOCX / Markdown / plain-text to normalized UTF-8 text</w:t>
            </w:r>
          </w:p>
        </w:tc>
        <w:tc>
          <w:tcPr>
            <w:tcW w:type="dxa" w:w="2880"/>
          </w:tcPr>
          <w:p>
            <w:r/>
            <w:r>
              <w:rPr>
                <w:rFonts w:ascii="Times New Roman" w:hAnsi="Times New Roman"/>
                <w:sz w:val="20"/>
              </w:rPr>
              <w:t>markitdown; pdfplumber; python-docx</w:t>
            </w:r>
          </w:p>
        </w:tc>
      </w:tr>
      <w:tr>
        <w:tc>
          <w:tcPr>
            <w:tcW w:type="dxa" w:w="2880"/>
          </w:tcPr>
          <w:p>
            <w:r/>
            <w:r>
              <w:rPr>
                <w:rFonts w:ascii="Times New Roman" w:hAnsi="Times New Roman"/>
                <w:sz w:val="20"/>
              </w:rPr>
              <w:t>Shared parse</w:t>
            </w:r>
          </w:p>
        </w:tc>
        <w:tc>
          <w:tcPr>
            <w:tcW w:type="dxa" w:w="2880"/>
          </w:tcPr>
          <w:p>
            <w:r/>
            <w:r>
              <w:rPr>
                <w:rFonts w:ascii="Times New Roman" w:hAnsi="Times New Roman"/>
                <w:sz w:val="20"/>
              </w:rPr>
              <w:t>Sentence segmentation; named entities; SVO triples</w:t>
            </w:r>
          </w:p>
        </w:tc>
        <w:tc>
          <w:tcPr>
            <w:tcW w:type="dxa" w:w="2880"/>
          </w:tcPr>
          <w:p>
            <w:r/>
            <w:r>
              <w:rPr>
                <w:rFonts w:ascii="Times New Roman" w:hAnsi="Times New Roman"/>
                <w:sz w:val="20"/>
              </w:rPr>
              <w:t>spaCy (en_core_web_lg)</w:t>
            </w:r>
          </w:p>
        </w:tc>
      </w:tr>
      <w:tr>
        <w:tc>
          <w:tcPr>
            <w:tcW w:type="dxa" w:w="2880"/>
          </w:tcPr>
          <w:p>
            <w:r/>
            <w:r>
              <w:rPr>
                <w:rFonts w:ascii="Times New Roman" w:hAnsi="Times New Roman"/>
                <w:sz w:val="20"/>
              </w:rPr>
              <w:t>Typed entities</w:t>
            </w:r>
          </w:p>
        </w:tc>
        <w:tc>
          <w:tcPr>
            <w:tcW w:type="dxa" w:w="2880"/>
          </w:tcPr>
          <w:p>
            <w:r/>
            <w:r>
              <w:rPr>
                <w:rFonts w:ascii="Times New Roman" w:hAnsi="Times New Roman"/>
                <w:sz w:val="20"/>
              </w:rPr>
              <w:t>Zero-shot job title / product / event spans</w:t>
            </w:r>
          </w:p>
        </w:tc>
        <w:tc>
          <w:tcPr>
            <w:tcW w:type="dxa" w:w="2880"/>
          </w:tcPr>
          <w:p>
            <w:r/>
            <w:r>
              <w:rPr>
                <w:rFonts w:ascii="Times New Roman" w:hAnsi="Times New Roman"/>
                <w:sz w:val="20"/>
              </w:rPr>
              <w:t>GLiNER (gliner_small-v2.1)</w:t>
            </w:r>
          </w:p>
        </w:tc>
      </w:tr>
      <w:tr>
        <w:tc>
          <w:tcPr>
            <w:tcW w:type="dxa" w:w="2880"/>
          </w:tcPr>
          <w:p>
            <w:r/>
            <w:r>
              <w:rPr>
                <w:rFonts w:ascii="Times New Roman" w:hAnsi="Times New Roman"/>
                <w:sz w:val="20"/>
              </w:rPr>
              <w:t>Concepts</w:t>
            </w:r>
          </w:p>
        </w:tc>
        <w:tc>
          <w:tcPr>
            <w:tcW w:type="dxa" w:w="2880"/>
          </w:tcPr>
          <w:p>
            <w:r/>
            <w:r>
              <w:rPr>
                <w:rFonts w:ascii="Times New Roman" w:hAnsi="Times New Roman"/>
                <w:sz w:val="20"/>
              </w:rPr>
              <w:t>Keyphrase candidates; importance ranking; tiering; clustering</w:t>
            </w:r>
          </w:p>
        </w:tc>
        <w:tc>
          <w:tcPr>
            <w:tcW w:type="dxa" w:w="2880"/>
          </w:tcPr>
          <w:p>
            <w:r/>
            <w:r>
              <w:rPr>
                <w:rFonts w:ascii="Times New Roman" w:hAnsi="Times New Roman"/>
                <w:sz w:val="20"/>
              </w:rPr>
              <w:t>KeyBERT (all-MiniLM-L6-v2)</w:t>
            </w:r>
          </w:p>
        </w:tc>
      </w:tr>
      <w:tr>
        <w:tc>
          <w:tcPr>
            <w:tcW w:type="dxa" w:w="2880"/>
          </w:tcPr>
          <w:p>
            <w:r/>
            <w:r>
              <w:rPr>
                <w:rFonts w:ascii="Times New Roman" w:hAnsi="Times New Roman"/>
                <w:sz w:val="20"/>
              </w:rPr>
              <w:t>Variables / structured data</w:t>
            </w:r>
          </w:p>
        </w:tc>
        <w:tc>
          <w:tcPr>
            <w:tcW w:type="dxa" w:w="2880"/>
          </w:tcPr>
          <w:p>
            <w:r/>
            <w:r>
              <w:rPr>
                <w:rFonts w:ascii="Times New Roman" w:hAnsi="Times New Roman"/>
                <w:sz w:val="20"/>
              </w:rPr>
              <w:t>Name=value patterns; molecular quantities; emails, URLs, acronyms, citations</w:t>
            </w:r>
          </w:p>
        </w:tc>
        <w:tc>
          <w:tcPr>
            <w:tcW w:type="dxa" w:w="2880"/>
          </w:tcPr>
          <w:p>
            <w:r/>
            <w:r>
              <w:rPr>
                <w:rFonts w:ascii="Times New Roman" w:hAnsi="Times New Roman"/>
                <w:sz w:val="20"/>
              </w:rPr>
              <w:t>Regular expressions</w:t>
            </w:r>
          </w:p>
        </w:tc>
      </w:tr>
      <w:tr>
        <w:tc>
          <w:tcPr>
            <w:tcW w:type="dxa" w:w="2880"/>
          </w:tcPr>
          <w:p>
            <w:r/>
            <w:r>
              <w:rPr>
                <w:rFonts w:ascii="Times New Roman" w:hAnsi="Times New Roman"/>
                <w:sz w:val="20"/>
              </w:rPr>
              <w:t>Relationships</w:t>
            </w:r>
          </w:p>
        </w:tc>
        <w:tc>
          <w:tcPr>
            <w:tcW w:type="dxa" w:w="2880"/>
          </w:tcPr>
          <w:p>
            <w:r/>
            <w:r>
              <w:rPr>
                <w:rFonts w:ascii="Times New Roman" w:hAnsi="Times New Roman"/>
                <w:sz w:val="20"/>
              </w:rPr>
              <w:t>SVO triples; causal-pattern regex; per-triple confidence</w:t>
            </w:r>
          </w:p>
        </w:tc>
        <w:tc>
          <w:tcPr>
            <w:tcW w:type="dxa" w:w="2880"/>
          </w:tcPr>
          <w:p>
            <w:r/>
            <w:r>
              <w:rPr>
                <w:rFonts w:ascii="Times New Roman" w:hAnsi="Times New Roman"/>
                <w:sz w:val="20"/>
              </w:rPr>
              <w:t>Dependency parse + regex + heuristic scoring</w:t>
            </w:r>
          </w:p>
        </w:tc>
      </w:tr>
      <w:tr>
        <w:tc>
          <w:tcPr>
            <w:tcW w:type="dxa" w:w="2880"/>
          </w:tcPr>
          <w:p>
            <w:r/>
            <w:r>
              <w:rPr>
                <w:rFonts w:ascii="Times New Roman" w:hAnsi="Times New Roman"/>
                <w:sz w:val="20"/>
              </w:rPr>
              <w:t>Dependencies / causal chains</w:t>
            </w:r>
          </w:p>
        </w:tc>
        <w:tc>
          <w:tcPr>
            <w:tcW w:type="dxa" w:w="2880"/>
          </w:tcPr>
          <w:p>
            <w:r/>
            <w:r>
              <w:rPr>
                <w:rFonts w:ascii="Times New Roman" w:hAnsi="Times New Roman"/>
                <w:sz w:val="20"/>
              </w:rPr>
              <w:t>Directed graph construction; cycle detection; longest-path search</w:t>
            </w:r>
          </w:p>
        </w:tc>
        <w:tc>
          <w:tcPr>
            <w:tcW w:type="dxa" w:w="2880"/>
          </w:tcPr>
          <w:p>
            <w:r/>
            <w:r>
              <w:rPr>
                <w:rFonts w:ascii="Times New Roman" w:hAnsi="Times New Roman"/>
                <w:sz w:val="20"/>
              </w:rPr>
              <w:t>NetworkX</w:t>
            </w:r>
          </w:p>
        </w:tc>
      </w:tr>
      <w:tr>
        <w:tc>
          <w:tcPr>
            <w:tcW w:type="dxa" w:w="2880"/>
          </w:tcPr>
          <w:p>
            <w:r/>
            <w:r>
              <w:rPr>
                <w:rFonts w:ascii="Times New Roman" w:hAnsi="Times New Roman"/>
                <w:sz w:val="20"/>
              </w:rPr>
              <w:t>Problems / contradictions / assumptions</w:t>
            </w:r>
          </w:p>
        </w:tc>
        <w:tc>
          <w:tcPr>
            <w:tcW w:type="dxa" w:w="2880"/>
          </w:tcPr>
          <w:p>
            <w:r/>
            <w:r>
              <w:rPr>
                <w:rFonts w:ascii="Times New Roman" w:hAnsi="Times New Roman"/>
                <w:sz w:val="20"/>
              </w:rPr>
              <w:t>Severity tiering; four-strategy conflict detection; marker + thematic mining</w:t>
            </w:r>
          </w:p>
        </w:tc>
        <w:tc>
          <w:tcPr>
            <w:tcW w:type="dxa" w:w="2880"/>
          </w:tcPr>
          <w:p>
            <w:r/>
            <w:r>
              <w:rPr>
                <w:rFonts w:ascii="Times New Roman" w:hAnsi="Times New Roman"/>
                <w:sz w:val="20"/>
              </w:rPr>
              <w:t>Rule-based, embedding-gated heuristics</w:t>
            </w:r>
          </w:p>
        </w:tc>
      </w:tr>
      <w:tr>
        <w:tc>
          <w:tcPr>
            <w:tcW w:type="dxa" w:w="2880"/>
          </w:tcPr>
          <w:p>
            <w:r/>
            <w:r>
              <w:rPr>
                <w:rFonts w:ascii="Times New Roman" w:hAnsi="Times New Roman"/>
                <w:sz w:val="20"/>
              </w:rPr>
              <w:t>Knowledge graph</w:t>
            </w:r>
          </w:p>
        </w:tc>
        <w:tc>
          <w:tcPr>
            <w:tcW w:type="dxa" w:w="2880"/>
          </w:tcPr>
          <w:p>
            <w:r/>
            <w:r>
              <w:rPr>
                <w:rFonts w:ascii="Times New Roman" w:hAnsi="Times New Roman"/>
                <w:sz w:val="20"/>
              </w:rPr>
              <w:t>Node canonicalization; salience-protected pruning; transitive/similarity inference; community detection</w:t>
            </w:r>
          </w:p>
        </w:tc>
        <w:tc>
          <w:tcPr>
            <w:tcW w:type="dxa" w:w="2880"/>
          </w:tcPr>
          <w:p>
            <w:r/>
            <w:r>
              <w:rPr>
                <w:rFonts w:ascii="Times New Roman" w:hAnsi="Times New Roman"/>
                <w:sz w:val="20"/>
              </w:rPr>
              <w:t>Sentence embeddings + NetworkX</w:t>
            </w:r>
          </w:p>
        </w:tc>
      </w:tr>
      <w:tr>
        <w:tc>
          <w:tcPr>
            <w:tcW w:type="dxa" w:w="2880"/>
          </w:tcPr>
          <w:p>
            <w:r/>
            <w:r>
              <w:rPr>
                <w:rFonts w:ascii="Times New Roman" w:hAnsi="Times New Roman"/>
                <w:sz w:val="20"/>
              </w:rPr>
              <w:t>Executive insights</w:t>
            </w:r>
          </w:p>
        </w:tc>
        <w:tc>
          <w:tcPr>
            <w:tcW w:type="dxa" w:w="2880"/>
          </w:tcPr>
          <w:p>
            <w:r/>
            <w:r>
              <w:rPr>
                <w:rFonts w:ascii="Times New Roman" w:hAnsi="Times New Roman"/>
                <w:sz w:val="20"/>
              </w:rPr>
              <w:t>Deterministic template roll-up incl. competing-interests risk alert</w:t>
            </w:r>
          </w:p>
        </w:tc>
        <w:tc>
          <w:tcPr>
            <w:tcW w:type="dxa" w:w="2880"/>
          </w:tcPr>
          <w:p>
            <w:r/>
            <w:r>
              <w:rPr>
                <w:rFonts w:ascii="Times New Roman" w:hAnsi="Times New Roman"/>
                <w:sz w:val="20"/>
              </w:rPr>
              <w:t>Rule-based</w:t>
            </w:r>
          </w:p>
        </w:tc>
      </w:tr>
      <w:tr>
        <w:tc>
          <w:tcPr>
            <w:tcW w:type="dxa" w:w="2880"/>
          </w:tcPr>
          <w:p>
            <w:r/>
            <w:r>
              <w:rPr>
                <w:rFonts w:ascii="Times New Roman" w:hAnsi="Times New Roman"/>
                <w:sz w:val="20"/>
              </w:rPr>
              <w:t>Question answering</w:t>
            </w:r>
          </w:p>
        </w:tc>
        <w:tc>
          <w:tcPr>
            <w:tcW w:type="dxa" w:w="2880"/>
          </w:tcPr>
          <w:p>
            <w:r/>
            <w:r>
              <w:rPr>
                <w:rFonts w:ascii="Times New Roman" w:hAnsi="Times New Roman"/>
                <w:sz w:val="20"/>
              </w:rPr>
              <w:t>Deterministic intent handlers; hybrid BM25/semantic/cross-encoder general retrieval</w:t>
            </w:r>
          </w:p>
        </w:tc>
        <w:tc>
          <w:tcPr>
            <w:tcW w:type="dxa" w:w="2880"/>
          </w:tcPr>
          <w:p>
            <w:r/>
            <w:r>
              <w:rPr>
                <w:rFonts w:ascii="Times New Roman" w:hAnsi="Times New Roman"/>
                <w:sz w:val="20"/>
              </w:rPr>
              <w:t>rank_bm25 + Sentence-BERT + cross-encoder</w:t>
            </w:r>
          </w:p>
        </w:tc>
      </w:tr>
    </w:tbl>
    <w:p>
      <w:pPr>
        <w:spacing w:after="40"/>
      </w:pPr>
    </w:p>
    <w:p>
      <w:pPr>
        <w:spacing w:after="120"/>
      </w:pPr>
      <w:r>
        <w:rPr>
          <w:i w:val="0"/>
        </w:rPr>
        <w:t>All core stages in Table 1 execute locally with no network dependency. A single optional stage - AI-assisted problem/acronym enrichment via the Anthropic API - is gated behind an environment-variable API key and is skipped (with the deterministic result returned unchanged) whenever the key is absent or the call fails; it is not required to reproduce any result reported in this manuscript (see Section 7.3, Reproducibility).</w:t>
      </w:r>
    </w:p>
    <w:p>
      <w:pPr>
        <w:pStyle w:val="Heading1"/>
      </w:pPr>
      <w:r>
        <w:t>4. Methods</w:t>
      </w:r>
    </w:p>
    <w:p>
      <w:pPr>
        <w:pStyle w:val="Heading2"/>
      </w:pPr>
      <w:r>
        <w:t>4.1 Document Ingestion and Preprocessing</w:t>
      </w:r>
    </w:p>
    <w:p>
      <w:pPr>
        <w:spacing w:after="120"/>
      </w:pPr>
      <w:r>
        <w:rPr>
          <w:i w:val="0"/>
        </w:rPr>
        <w:t>Uploaded files are converted to normalized text via format-specific readers (pdfplumber for PDF, python-docx for Word, and a general Markdown/plain-text path), concatenated across multiple uploaded files, and passed through a text-cleaning stage that collapses whitespace, repairs common PDF-extraction artifacts (ftfy), and isolates Markdown headings so that short, all-Title-Case heading lines are not mis-parsed as sentences by the downstream NER stage. The combined text is capped at 400,000 characters per analysis request.</w:t>
      </w:r>
    </w:p>
    <w:p>
      <w:pPr>
        <w:pStyle w:val="Heading2"/>
      </w:pPr>
      <w:r>
        <w:t>4.2 Named Entity Extraction and Tiering</w:t>
      </w:r>
    </w:p>
    <w:p>
      <w:pPr>
        <w:spacing w:after="120"/>
      </w:pPr>
      <w:r>
        <w:rPr>
          <w:i w:val="0"/>
        </w:rPr>
        <w:t>A single spaCy (en_core_web_lg) pass over the document yields sentence boundaries, named entities, and dependency parses in one traversal, which every subsequent stage reuses. Entities are filtered to remove PDF-extraction noise, citation-year false positives, and bare numeric/percentage/money spans (already captured by the structured-data layer, Section 4.5). Surviving entities are ranked by an importance score and partitioned into three tiers by rank percentile: Primary (top 20%), Secondary (next 35%), and Supporting (remainder).</w:t>
      </w:r>
    </w:p>
    <w:p>
      <w:pPr>
        <w:spacing w:after="120"/>
      </w:pPr>
      <w:r>
        <w:rPr>
          <w:i w:val="0"/>
        </w:rPr>
        <w:t>spaCy's label set is generic (e.g., ORG, PERSON, GPE) and frequently mis-classifies domain-specific terms. We re-type each entity by embedding its surface text plus surrounding context (KeyBERT's underlying all-MiniLM-L6-v2 encoder) and computing cosine similarity against a small library of hand-written descriptions for each candidate domain label (e.g., PROTEIN, GENE_SYSTEM, PATHWAY, INSTITUTION). A small override table takes precedence for terms the embedding step is known to consistently mis-classify due to name ambiguity.</w:t>
      </w:r>
    </w:p>
    <w:p>
      <w:pPr>
        <w:pStyle w:val="Heading2"/>
      </w:pPr>
      <w:r>
        <w:t>4.3 Zero-Shot Typed Entity Extraction</w:t>
      </w:r>
    </w:p>
    <w:p>
      <w:pPr>
        <w:spacing w:after="120"/>
      </w:pPr>
      <w:r>
        <w:rPr>
          <w:i w:val="0"/>
        </w:rPr>
        <w:t>GLiNER (gliner_small-v2.1) is queried in a zero-shot span-classification mode for three labels not covered by spaCy's inventory - job title, product, and event - over 1,200-character chunks (GLiNER's preferred window size) at a minimum confidence threshold of 0.5. Duplicate spans are deduplicated by (normalized text, label), keeping the highest-confidence occurrence.</w:t>
      </w:r>
    </w:p>
    <w:p>
      <w:pPr>
        <w:pStyle w:val="Heading2"/>
      </w:pPr>
      <w:r>
        <w:t>4.4 Key Concept Extraction</w:t>
      </w:r>
    </w:p>
    <w:p>
      <w:pPr>
        <w:spacing w:after="120"/>
      </w:pPr>
      <w:r>
        <w:rPr>
          <w:i w:val="0"/>
        </w:rPr>
        <w:t>KeyBERT (all-MiniLM-L6-v2) proposes keyphrase candidates from the document text; a surrounding reasoning layer filters low-frequency or stopword-only candidates, merges near-duplicate phrasings, and computes an importance score combining KeyBERT's relevance score with frequency and entity co-occurrence. Concepts are ranked and partitioned into three tiers by rank percentile - Core (top 30%), Supporting (next 40%), Derived (remainder) - and grouped into theme clusters for the executive-insight roll-up (Section 4.13).</w:t>
      </w:r>
    </w:p>
    <w:p>
      <w:pPr>
        <w:pStyle w:val="Heading2"/>
      </w:pPr>
      <w:r>
        <w:t>4.5 Structured Data and Variable Extraction</w:t>
      </w:r>
    </w:p>
    <w:p>
      <w:pPr>
        <w:spacing w:after="120"/>
      </w:pPr>
      <w:r>
        <w:rPr>
          <w:i w:val="0"/>
        </w:rPr>
        <w:t>A library of regular-expression patterns extracts three families of quantitative and structured content that a general-purpose NER model does not reliably capture: (a) generic name=value / name: value constructions (e.g., "sequence length (nt) = 20"); (b) domain-agnostic scientific measurement patterns for density and biomass-style values; and (c) inline molecular-biology quantities that do not fit a name=value template but are the primary numerical claims in genomics-style text (e.g., "~2,000 genes", "20-nt spacer", "90% inheritance"). A parallel structured-data extractor identifies emails, URLs, phone numbers, percentages, currency amounts, citations/DOIs, and in-text acronym definitions. Each extracted item carries a source-sentence context string (up to 400 characters) for provenance.</w:t>
      </w:r>
    </w:p>
    <w:p>
      <w:pPr>
        <w:pStyle w:val="Heading2"/>
      </w:pPr>
      <w:r>
        <w:t>4.6 Relationship Extraction and Confidence Scoring</w:t>
      </w:r>
    </w:p>
    <w:p>
      <w:pPr>
        <w:spacing w:after="120"/>
      </w:pPr>
      <w:r>
        <w:rPr>
          <w:i w:val="0"/>
        </w:rPr>
        <w:t>General relationships are extracted as subject-verb-object (SVO) triples from the dependency parse produced in the shared spaCy pass. Each triple is scored by a confidence heuristic that starts from a baseline of 55 and adjusts for signals available at parse time: +8 if the subject is a multi-word noun phrase, +8 if the object is a multi-word noun phrase, +10 if the verb is not drawn from a small list of semantically empty verbs (is, has, gets, ...), -8 if either argument is trivially short (three characters or fewer), -10 for sentences longer than 45 tokens (where dependency parses are more error-prone), and +4 for sentences of 25 tokens or fewer; the result is clamped to the range [40, 90]. A separate, narrower causal-relationship extractor applies a curated set of causal regular-expression patterns (causes, leads to, results in, requires, prevents, enables, ...), each with a hand-calibrated confidence in the same numeric range. Relationships whose source sentence contains an explicit negation adjacent to the extracted predicate are flagged with a 'negated' hallucination-risk marker rather than silently reported as asserted fact.</w:t>
      </w:r>
    </w:p>
    <w:p>
      <w:pPr>
        <w:pStyle w:val="Heading2"/>
      </w:pPr>
      <w:r>
        <w:t>4.7 Dependency Graph Construction</w:t>
      </w:r>
    </w:p>
    <w:p>
      <w:pPr>
        <w:spacing w:after="120"/>
      </w:pPr>
      <w:r>
        <w:rPr>
          <w:i w:val="0"/>
        </w:rPr>
        <w:t>Relationships whose predicate matches a curated set of dependency-indicating verbs (depends on, requires, needs, relies on, ...) are compiled into a directed graph. Simple-cycle detection over this graph flags nodes participating in a circular dependency - i.e., a node that (directly or indirectly) depends on itself - a pattern that is reported to the user as an explicit 'Circular?' column and treated as a signal of fragile or tangled reasoning.</w:t>
      </w:r>
    </w:p>
    <w:p>
      <w:pPr>
        <w:pStyle w:val="Heading2"/>
      </w:pPr>
      <w:r>
        <w:t>4.8 Causal Chain Construction</w:t>
      </w:r>
    </w:p>
    <w:p>
      <w:pPr>
        <w:spacing w:after="120"/>
      </w:pPr>
      <w:r>
        <w:rPr>
          <w:i w:val="0"/>
        </w:rPr>
        <w:t>Causal relationships alone are typically sparse (on the order of a dozen pairs in a several-thousand-word document) and, taken at face value, form mostly disconnected two-node edges. We address this in two ways. First, the causal edge set is enriched with high-confidence (&gt;= 75) general relationships whose predicate verb is drawn from a curated causal/enablement whitelist (enable, require, lead, cause, produce, allow, drive, trigger, generate, provide, expedite, ensure, improve, reduce, increase, enhance, affect, impact, and their inflections), so that a strong SVO relationship such as 'X enables Y' can extend a chain even when it was not tagged by the narrower causal-pattern extractor. Second, node labels are canonicalized via the same embedding-based agglomerative merging used for the knowledge graph (Section 4.12) before the graph is built, so that near-synonymous surface forms (e.g., 'efficiency of viral vector' and 'efficiency of viral vector packaging') collapse to one node and no longer break an otherwise-continuous chain. Cycles are removed, and for each root node (in-degree zero) an iterative depth-first search finds the longest simple path to a sink; the resulting chains are deduplicated, sorted by (length, mean edge confidence) descending, and capped at 60.</w:t>
      </w:r>
    </w:p>
    <w:p>
      <w:pPr>
        <w:pStyle w:val="Heading2"/>
      </w:pPr>
      <w:r>
        <w:t>4.9 Problem and Risk Identification</w:t>
      </w:r>
    </w:p>
    <w:p>
      <w:pPr>
        <w:spacing w:after="120"/>
      </w:pPr>
      <w:r>
        <w:rPr>
          <w:i w:val="0"/>
        </w:rPr>
        <w:t>Every general relationship triple is scored against curated security/safety and generic problem-keyword vocabularies. A triple whose subject, predicate, and object jointly intersect the security vocabulary is tagged Critical severity; a match against the broader problem vocabulary (gated by a context check to avoid single-keyword false positives) is tagged High; participation in a dependency cycle (Section 4.7) is tagged Medium; and a problem-vocabulary match confined to the surrounding sentence context alone is tagged Low. For each flagged problem, up to three root-cause ancestors are looked up in the causal graph, and up to four co-mentioned named entities in the same source sentence are recorded as affected entities. A direct sentence scan additionally flags conservation/ecological risk phrasing not otherwise captured by the relationship-based path.</w:t>
      </w:r>
    </w:p>
    <w:p>
      <w:pPr>
        <w:pStyle w:val="Heading2"/>
      </w:pPr>
      <w:r>
        <w:t>4.10 Contradiction Detection</w:t>
      </w:r>
    </w:p>
    <w:p>
      <w:pPr>
        <w:spacing w:after="120"/>
      </w:pPr>
      <w:r>
        <w:rPr>
          <w:i w:val="0"/>
        </w:rPr>
        <w:t>Four complementary, independently-triggered strategies populate the contradiction table:</w:t>
      </w:r>
    </w:p>
    <w:p>
      <w:pPr>
        <w:pStyle w:val="ListNumber"/>
        <w:spacing w:line="276" w:lineRule="auto" w:after="80"/>
      </w:pPr>
      <w:r>
        <w:t>Variable-value conflicts. When the same variable name is assigned two different values, the two surrounding sentence contexts are embedded and compared by cosine similarity; a similarity below 0.60 indicates the two values describe different subjects sharing a coincidental label (e.g., a 20-nt guide-target segment versus an 80-nt full synthesized guide) and is suppressed, while near-identical contexts (similarity &gt; 0.95) are additionally checked for subset language ('including', 'of which', 'conserved across') that would indicate one value is a strict subset of the other rather than a genuine conflict. Surviving conflicts are assigned High or Medium severity by similarity strength.</w:t>
      </w:r>
    </w:p>
    <w:p>
      <w:pPr>
        <w:pStyle w:val="ListNumber"/>
        <w:spacing w:line="276" w:lineRule="auto" w:after="80"/>
      </w:pPr>
      <w:r>
        <w:t>Negation and antonym conflicts. Relationship triples sharing the same (subject, object) pair are compared pairwise: identical predicates with differing negation status, or predicates that are curated antonym pairs (increase/decrease, enable/prevent, support/contradict, ...), are reported as High-severity conflicts.</w:t>
      </w:r>
    </w:p>
    <w:p>
      <w:pPr>
        <w:pStyle w:val="ListNumber"/>
        <w:spacing w:line="276" w:lineRule="auto" w:after="80"/>
      </w:pPr>
      <w:r>
        <w:t>Contrastive discourse markers. Sentences containing an explicit contrastive discourse marker (however, nevertheless, in contrast, although, whereas, on the other hand, ...) together with a negation cue are paired with their immediately preceding sentence as an author-flagged tension.</w:t>
      </w:r>
    </w:p>
    <w:p>
      <w:pPr>
        <w:pStyle w:val="ListNumber"/>
        <w:spacing w:line="276" w:lineRule="auto" w:after="80"/>
      </w:pPr>
      <w:r>
        <w:t>Benefit-cost trade-off axes. Three axes - precision versus off-target, speed/efficiency versus safety, and benefit versus limitation - are each defined by a pair of regular expressions for the upside and downside vocabulary. A single sentence asserting both sides is reported as a High-severity, author-acknowledged trade-off; two separate sentences, one per side, are reported as a Medium-severity trade-off. This strategy targets cross-cutting tensions that do not share a subject or object and are therefore invisible to strategies (1)-(3).</w:t>
      </w:r>
    </w:p>
    <w:p>
      <w:pPr>
        <w:pStyle w:val="Heading2"/>
      </w:pPr>
      <w:r>
        <w:t>4.11 Assumption Detection</w:t>
      </w:r>
    </w:p>
    <w:p>
      <w:pPr>
        <w:spacing w:after="120"/>
      </w:pPr>
      <w:r>
        <w:rPr>
          <w:i w:val="0"/>
        </w:rPr>
        <w:t>Sentences are matched against an extensible table of assumption markers (it is assumed, we assume, presumably, given that, should be, provided that, in principle, it is conceivable, ...), each carrying a hand-assigned confidence that determines whether the sentence is reported as an Explicit or Implicit assumption. A second, thematic pass flags sentences that combine a modal/expectation cue (will, would, should, expect, likely, sufficient, ...) with a domain-agnostic risk theme (delivery, specificity, off-target, scalability, efficiency, safety, accuracy, clinical/production use, dosage), surfacing premises such as 'delivery methods will scale to human use' that a pure marker-matching approach would miss because no single marker phrase is present.</w:t>
      </w:r>
    </w:p>
    <w:p>
      <w:pPr>
        <w:pStyle w:val="Heading2"/>
      </w:pPr>
      <w:r>
        <w:t>4.12 Knowledge Graph Construction</w:t>
      </w:r>
    </w:p>
    <w:p>
      <w:pPr>
        <w:spacing w:after="120"/>
      </w:pPr>
      <w:r>
        <w:rPr>
          <w:i w:val="0"/>
        </w:rPr>
        <w:t>Relationship subjects and objects become graph nodes; node labels are canonicalized by an agglomerative clustering procedure that merges two labels when either their sentence-embedding cosine similarity exceeds 0.85 or one label's token set is a subset of the other's, with the most frequent surface form in each cluster chosen as the canonical label. Nodes are annotated with entity type (where available) and a weight proportional to mention count; edges carry the source relationship label, type, source sentence, and a boolean flag for whether the edge also appears in the problems table. Because a purely degree-based pruning rule to a fixed node budget (150 nodes) would discard low-degree but conceptually salient terms, a protected-node set is computed first - covering problem-table participants, all named entities, the top 30 ranked key concepts, and a small, user-editable set of seed domain terms - and exempted from the degree cut. The pruned graph is then densified by two offline inference passes: transitive closure over a curated set of transitive-safe predicates (depends on, requires, contains, leads to, results in, causes), and similarity-bridging, which connects otherwise disconnected components via their highest cross-component embedding similarity. Community structure is computed by greedy modularity maximization [8] over the undirected projection, and degree and betweenness centrality are reported per node.</w:t>
      </w:r>
    </w:p>
    <w:p>
      <w:pPr>
        <w:pStyle w:val="Heading2"/>
      </w:pPr>
      <w:r>
        <w:t>4.13 Executive Insight Summarization</w:t>
      </w:r>
    </w:p>
    <w:p>
      <w:pPr>
        <w:spacing w:after="120"/>
      </w:pPr>
      <w:r>
        <w:rPr>
          <w:i w:val="0"/>
        </w:rPr>
        <w:t>A deterministic template layer condenses the analysis into a short, human-readable insight list: the most important concept and primary entity, the most severe problem, the most influential and highest-betweenness graph nodes, the dominant theme cluster, counts of contradictions and high-confidence assumptions, the root cause of the longest causal chain, and recommended actions (e.g., prioritize mitigation of high/critical problems, reconcile contradictions before acting). This layer additionally scans all extracted relationships for competing- or conflicting-financial-interest disclosure language; when present and not negated (e.g., 'declares no competing interests'), it is surfaced as an explicit 'Risk - Competing Interests' insight rather than left buried in the relationship table, on the premise that governance-relevant disclosures merit a dedicated, hard-to-miss flag in an audit-oriented tool.</w:t>
      </w:r>
    </w:p>
    <w:p>
      <w:pPr>
        <w:pStyle w:val="Heading2"/>
      </w:pPr>
      <w:r>
        <w:t>4.14 Hybrid-Retrieval Question Answering</w:t>
      </w:r>
    </w:p>
    <w:p>
      <w:pPr>
        <w:spacing w:after="120"/>
      </w:pPr>
      <w:r>
        <w:rPr>
          <w:i w:val="0"/>
        </w:rPr>
        <w:t>A companion question-answering endpoint accepts a free-text question about the analyzed document. Before falling back to general retrieval, the question is tried against an ordered battery of deterministic fast-path intent handlers keyed on trigger phrases and structured-data lookups: variable/count queries, contact (email/URL) queries, yes/no problem queries, acronym definitions, entity lookups, contradiction queries, whole-paragraph retrieval (Section 4.15), and document summarization. Only if no fast-path handler fires does the pipeline construct a flattened knowledge base of chunks spanning every analytical layer (raw sentences, entities, concepts, problems, relationships, causal chains, insights, variables, structured data), embed the question and every chunk, and rank chunks by a Reciprocal Rank Fusion (k=60) of semantic cosine similarity and BM25 lexical score. The top hybrid candidates are reranked by a cross-encoder (ms-marco-MiniLM-L-6-v2) for a final relevance ordering, and the top match is presented as the primary answer with supporting evidence grouped by analytical category.</w:t>
      </w:r>
    </w:p>
    <w:p>
      <w:pPr>
        <w:pStyle w:val="Heading2"/>
      </w:pPr>
      <w:r>
        <w:t>4.15 Full-Paragraph Retrieval</w:t>
      </w:r>
    </w:p>
    <w:p>
      <w:pPr>
        <w:spacing w:after="120"/>
      </w:pPr>
      <w:r>
        <w:rPr>
          <w:i w:val="0"/>
        </w:rPr>
        <w:t>Requests that explicitly ask for verbatim source text (full source paragraph, exact passage, original wording, word-for-word, ...) are routed to a dedicated handler that operates on whole paragraphs rather than single sentences, so that the returned text is never truncated to a fragment. Request boilerplate and stopwords are stripped from the question to isolate its search topic (e.g., 'give the full source paragraph that mentions the gene counts' reduces to 'gene counts'), and the resulting topic is used to rank whole paragraphs by the same hybrid BM25/semantic/cross-encoder pipeline described in Section 4.14. Paragraphs whose colon-terminated lead-in introduces a numbered or bulleted list are automatically expanded to include the list items that complete them, and the top two ranked paragraphs are returned verbatim.</w:t>
      </w:r>
    </w:p>
    <w:p>
      <w:pPr>
        <w:pStyle w:val="Heading1"/>
      </w:pPr>
      <w:r>
        <w:t>5. Implementation</w:t>
      </w:r>
    </w:p>
    <w:p>
      <w:pPr>
        <w:spacing w:after="120"/>
      </w:pPr>
      <w:r>
        <w:rPr>
          <w:i w:val="0"/>
        </w:rPr>
        <w:t>The system is implemented in Python 3 as a single Flask application. Table 2 lists the principal third-party components and the role each plays; all are open-source and run on commodity CPU hardware without a GPU requirement, though inference is faster with one available.</w:t>
      </w:r>
    </w:p>
    <w:p>
      <w:pPr>
        <w:spacing w:before="200" w:line="240" w:lineRule="auto"/>
      </w:pPr>
      <w:r>
        <w:rPr>
          <w:b/>
          <w:sz w:val="22"/>
        </w:rPr>
        <w:t>Table 2. Principal software components and their role in the pipeline.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Component</w:t>
            </w:r>
          </w:p>
        </w:tc>
        <w:tc>
          <w:tcPr>
            <w:tcW w:type="dxa" w:w="4320"/>
          </w:tcPr>
          <w:p>
            <w:r/>
            <w:r>
              <w:rPr>
                <w:rFonts w:ascii="Times New Roman" w:hAnsi="Times New Roman"/>
                <w:b/>
                <w:sz w:val="20"/>
              </w:rPr>
              <w:t>Role</w:t>
            </w:r>
          </w:p>
        </w:tc>
      </w:tr>
      <w:tr>
        <w:tc>
          <w:tcPr>
            <w:tcW w:type="dxa" w:w="4320"/>
          </w:tcPr>
          <w:p>
            <w:r/>
            <w:r>
              <w:rPr>
                <w:rFonts w:ascii="Times New Roman" w:hAnsi="Times New Roman"/>
                <w:sz w:val="20"/>
              </w:rPr>
              <w:t>spaCy (en_core_web_lg)</w:t>
            </w:r>
          </w:p>
        </w:tc>
        <w:tc>
          <w:tcPr>
            <w:tcW w:type="dxa" w:w="4320"/>
          </w:tcPr>
          <w:p>
            <w:r/>
            <w:r>
              <w:rPr>
                <w:rFonts w:ascii="Times New Roman" w:hAnsi="Times New Roman"/>
                <w:sz w:val="20"/>
              </w:rPr>
              <w:t>Sentence segmentation, dependency parsing, base named entity recognition</w:t>
            </w:r>
          </w:p>
        </w:tc>
      </w:tr>
      <w:tr>
        <w:tc>
          <w:tcPr>
            <w:tcW w:type="dxa" w:w="4320"/>
          </w:tcPr>
          <w:p>
            <w:r/>
            <w:r>
              <w:rPr>
                <w:rFonts w:ascii="Times New Roman" w:hAnsi="Times New Roman"/>
                <w:sz w:val="20"/>
              </w:rPr>
              <w:t>GLiNER (gliner_small-v2.1)</w:t>
            </w:r>
          </w:p>
        </w:tc>
        <w:tc>
          <w:tcPr>
            <w:tcW w:type="dxa" w:w="4320"/>
          </w:tcPr>
          <w:p>
            <w:r/>
            <w:r>
              <w:rPr>
                <w:rFonts w:ascii="Times New Roman" w:hAnsi="Times New Roman"/>
                <w:sz w:val="20"/>
              </w:rPr>
              <w:t>Zero-shot typed entity extraction</w:t>
            </w:r>
          </w:p>
        </w:tc>
      </w:tr>
      <w:tr>
        <w:tc>
          <w:tcPr>
            <w:tcW w:type="dxa" w:w="4320"/>
          </w:tcPr>
          <w:p>
            <w:r/>
            <w:r>
              <w:rPr>
                <w:rFonts w:ascii="Times New Roman" w:hAnsi="Times New Roman"/>
                <w:sz w:val="20"/>
              </w:rPr>
              <w:t>KeyBERT (all-MiniLM-L6-v2)</w:t>
            </w:r>
          </w:p>
        </w:tc>
        <w:tc>
          <w:tcPr>
            <w:tcW w:type="dxa" w:w="4320"/>
          </w:tcPr>
          <w:p>
            <w:r/>
            <w:r>
              <w:rPr>
                <w:rFonts w:ascii="Times New Roman" w:hAnsi="Times New Roman"/>
                <w:sz w:val="20"/>
              </w:rPr>
              <w:t>Keyphrase/concept candidate generation and embedding backbone reused for entity re-typing, node canonicalization, and semantic retrieval</w:t>
            </w:r>
          </w:p>
        </w:tc>
      </w:tr>
      <w:tr>
        <w:tc>
          <w:tcPr>
            <w:tcW w:type="dxa" w:w="4320"/>
          </w:tcPr>
          <w:p>
            <w:r/>
            <w:r>
              <w:rPr>
                <w:rFonts w:ascii="Times New Roman" w:hAnsi="Times New Roman"/>
                <w:sz w:val="20"/>
              </w:rPr>
              <w:t>sentence-transformers cross-encoder (ms-marco-MiniLM-L-6-v2)</w:t>
            </w:r>
          </w:p>
        </w:tc>
        <w:tc>
          <w:tcPr>
            <w:tcW w:type="dxa" w:w="4320"/>
          </w:tcPr>
          <w:p>
            <w:r/>
            <w:r>
              <w:rPr>
                <w:rFonts w:ascii="Times New Roman" w:hAnsi="Times New Roman"/>
                <w:sz w:val="20"/>
              </w:rPr>
              <w:t>Reranking for question answering and paragraph retrieval</w:t>
            </w:r>
          </w:p>
        </w:tc>
      </w:tr>
      <w:tr>
        <w:tc>
          <w:tcPr>
            <w:tcW w:type="dxa" w:w="4320"/>
          </w:tcPr>
          <w:p>
            <w:r/>
            <w:r>
              <w:rPr>
                <w:rFonts w:ascii="Times New Roman" w:hAnsi="Times New Roman"/>
                <w:sz w:val="20"/>
              </w:rPr>
              <w:t>rank_bm25</w:t>
            </w:r>
          </w:p>
        </w:tc>
        <w:tc>
          <w:tcPr>
            <w:tcW w:type="dxa" w:w="4320"/>
          </w:tcPr>
          <w:p>
            <w:r/>
            <w:r>
              <w:rPr>
                <w:rFonts w:ascii="Times New Roman" w:hAnsi="Times New Roman"/>
                <w:sz w:val="20"/>
              </w:rPr>
              <w:t>Lexical (BM25) scoring for hybrid retrieval</w:t>
            </w:r>
          </w:p>
        </w:tc>
      </w:tr>
      <w:tr>
        <w:tc>
          <w:tcPr>
            <w:tcW w:type="dxa" w:w="4320"/>
          </w:tcPr>
          <w:p>
            <w:r/>
            <w:r>
              <w:rPr>
                <w:rFonts w:ascii="Times New Roman" w:hAnsi="Times New Roman"/>
                <w:sz w:val="20"/>
              </w:rPr>
              <w:t>NetworkX</w:t>
            </w:r>
          </w:p>
        </w:tc>
        <w:tc>
          <w:tcPr>
            <w:tcW w:type="dxa" w:w="4320"/>
          </w:tcPr>
          <w:p>
            <w:r/>
            <w:r>
              <w:rPr>
                <w:rFonts w:ascii="Times New Roman" w:hAnsi="Times New Roman"/>
                <w:sz w:val="20"/>
              </w:rPr>
              <w:t>Directed/undirected graph construction, cycle detection, longest-path search, community detection, centrality</w:t>
            </w:r>
          </w:p>
        </w:tc>
      </w:tr>
      <w:tr>
        <w:tc>
          <w:tcPr>
            <w:tcW w:type="dxa" w:w="4320"/>
          </w:tcPr>
          <w:p>
            <w:r/>
            <w:r>
              <w:rPr>
                <w:rFonts w:ascii="Times New Roman" w:hAnsi="Times New Roman"/>
                <w:sz w:val="20"/>
              </w:rPr>
              <w:t>scikit-learn</w:t>
            </w:r>
          </w:p>
        </w:tc>
        <w:tc>
          <w:tcPr>
            <w:tcW w:type="dxa" w:w="4320"/>
          </w:tcPr>
          <w:p>
            <w:r/>
            <w:r>
              <w:rPr>
                <w:rFonts w:ascii="Times New Roman" w:hAnsi="Times New Roman"/>
                <w:sz w:val="20"/>
              </w:rPr>
              <w:t>Cosine similarity computation</w:t>
            </w:r>
          </w:p>
        </w:tc>
      </w:tr>
      <w:tr>
        <w:tc>
          <w:tcPr>
            <w:tcW w:type="dxa" w:w="4320"/>
          </w:tcPr>
          <w:p>
            <w:r/>
            <w:r>
              <w:rPr>
                <w:rFonts w:ascii="Times New Roman" w:hAnsi="Times New Roman"/>
                <w:sz w:val="20"/>
              </w:rPr>
              <w:t>markitdown, pdfplumber, python-docx</w:t>
            </w:r>
          </w:p>
        </w:tc>
        <w:tc>
          <w:tcPr>
            <w:tcW w:type="dxa" w:w="4320"/>
          </w:tcPr>
          <w:p>
            <w:r/>
            <w:r>
              <w:rPr>
                <w:rFonts w:ascii="Times New Roman" w:hAnsi="Times New Roman"/>
                <w:sz w:val="20"/>
              </w:rPr>
              <w:t>Multi-format document ingestion</w:t>
            </w:r>
          </w:p>
        </w:tc>
      </w:tr>
      <w:tr>
        <w:tc>
          <w:tcPr>
            <w:tcW w:type="dxa" w:w="4320"/>
          </w:tcPr>
          <w:p>
            <w:r/>
            <w:r>
              <w:rPr>
                <w:rFonts w:ascii="Times New Roman" w:hAnsi="Times New Roman"/>
                <w:sz w:val="20"/>
              </w:rPr>
              <w:t>pandas, openpyxl</w:t>
            </w:r>
          </w:p>
        </w:tc>
        <w:tc>
          <w:tcPr>
            <w:tcW w:type="dxa" w:w="4320"/>
          </w:tcPr>
          <w:p>
            <w:r/>
            <w:r>
              <w:rPr>
                <w:rFonts w:ascii="Times New Roman" w:hAnsi="Times New Roman"/>
                <w:sz w:val="20"/>
              </w:rPr>
              <w:t>Markdown/Excel report export</w:t>
            </w:r>
          </w:p>
        </w:tc>
      </w:tr>
      <w:tr>
        <w:tc>
          <w:tcPr>
            <w:tcW w:type="dxa" w:w="4320"/>
          </w:tcPr>
          <w:p>
            <w:r/>
            <w:r>
              <w:rPr>
                <w:rFonts w:ascii="Times New Roman" w:hAnsi="Times New Roman"/>
                <w:sz w:val="20"/>
              </w:rPr>
              <w:t>Anthropic API (optional)</w:t>
            </w:r>
          </w:p>
        </w:tc>
        <w:tc>
          <w:tcPr>
            <w:tcW w:type="dxa" w:w="4320"/>
          </w:tcPr>
          <w:p>
            <w:r/>
            <w:r>
              <w:rPr>
                <w:rFonts w:ascii="Times New Roman" w:hAnsi="Times New Roman"/>
                <w:sz w:val="20"/>
              </w:rPr>
              <w:t>Supplementary, disclosed problem/acronym enrichment; not required for core functionality</w:t>
            </w:r>
          </w:p>
        </w:tc>
      </w:tr>
    </w:tbl>
    <w:p>
      <w:pPr>
        <w:spacing w:after="40"/>
      </w:pPr>
    </w:p>
    <w:p>
      <w:pPr>
        <w:spacing w:after="120"/>
      </w:pPr>
      <w:r>
        <w:rPr>
          <w:i w:val="0"/>
        </w:rPr>
        <w:t>The web front end is a single-page vanilla-JavaScript interface. Results are presented in two coordinated regions: a horizontal tab bar for document-level risk categories (Problems, Dependencies, Contradictions, Assumptions), and a resizable dual-panel split view separating higher-level analysis (Key Concepts, Relationships, Causal Chains, Insights, Knowledge Graph) from raw extracted layers (Entities, Typed Entities, Structured Data, Variables). Column order within each table is fixed per tab (rather than inferred from row key order) so that the most decision-relevant field is always presented first, and column headers for non-obvious metrics (e.g., 'Circular?', 'Hallucination Risk', 'Avg Confidence') carry an inline hover explanation. The knowledge graph is rendered as an interactive force-directed network (vis.js) with node size proportional to connectivity and color keyed to detected community.</w:t>
      </w:r>
    </w:p>
    <w:p>
      <w:pPr>
        <w:pStyle w:val="Heading1"/>
      </w:pPr>
      <w:r>
        <w:t>6. Case Study: Qualitative Evaluation</w:t>
      </w:r>
    </w:p>
    <w:p>
      <w:pPr>
        <w:pStyle w:val="Heading2"/>
      </w:pPr>
      <w:r>
        <w:t>6.1 Corpus</w:t>
      </w:r>
    </w:p>
    <w:p>
      <w:pPr>
        <w:spacing w:after="120"/>
      </w:pPr>
      <w:r>
        <w:rPr>
          <w:i w:val="0"/>
        </w:rPr>
        <w:t>We applied the full pipeline to a two-document corpus totaling 11,047 words: an introductory background text (crispr_microbiology_background.md, 642 words) and a peer-reviewed review article, Barrangou and Doudna, 'Applications of CRISPR technologies in research and beyond,' Nature Biotechnology 34(9):933-941, 2016 [10] (10,405 words). This corpus was chosen because it combines an accessible tutorial register with a dense, citation-heavy scientific-review register in the same analysis run, and because the review article's own text supplied several of the ground-truth reference points used to develop and debug the extraction rules described in Section 4 over the course of this project.</w:t>
      </w:r>
    </w:p>
    <w:p>
      <w:pPr>
        <w:pStyle w:val="Heading2"/>
      </w:pPr>
      <w:r>
        <w:t>6.2 Summary Statistics</w:t>
      </w:r>
    </w:p>
    <w:p>
      <w:pPr>
        <w:spacing w:after="120"/>
      </w:pPr>
      <w:r>
        <w:rPr>
          <w:i w:val="0"/>
        </w:rPr>
        <w:t>Table 3 reports the summary metrics produced by an end-to-end run of the pipeline on the corpus described above.</w:t>
      </w:r>
    </w:p>
    <w:p>
      <w:pPr>
        <w:spacing w:before="200" w:line="240" w:lineRule="auto"/>
      </w:pPr>
      <w:r>
        <w:rPr>
          <w:b/>
          <w:sz w:val="22"/>
        </w:rPr>
        <w:t>Table 3. Summary statistics for the two-document case-study corpus.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Metric</w:t>
            </w:r>
          </w:p>
        </w:tc>
        <w:tc>
          <w:tcPr>
            <w:tcW w:type="dxa" w:w="4320"/>
          </w:tcPr>
          <w:p>
            <w:r/>
            <w:r>
              <w:rPr>
                <w:rFonts w:ascii="Times New Roman" w:hAnsi="Times New Roman"/>
                <w:b/>
                <w:sz w:val="20"/>
              </w:rPr>
              <w:t>Value</w:t>
            </w:r>
          </w:p>
        </w:tc>
      </w:tr>
      <w:tr>
        <w:tc>
          <w:tcPr>
            <w:tcW w:type="dxa" w:w="4320"/>
          </w:tcPr>
          <w:p>
            <w:r/>
            <w:r>
              <w:rPr>
                <w:rFonts w:ascii="Times New Roman" w:hAnsi="Times New Roman"/>
                <w:sz w:val="20"/>
              </w:rPr>
              <w:t>Files analyzed</w:t>
            </w:r>
          </w:p>
        </w:tc>
        <w:tc>
          <w:tcPr>
            <w:tcW w:type="dxa" w:w="4320"/>
          </w:tcPr>
          <w:p>
            <w:r/>
            <w:r>
              <w:rPr>
                <w:rFonts w:ascii="Times New Roman" w:hAnsi="Times New Roman"/>
                <w:sz w:val="20"/>
              </w:rPr>
              <w:t>2</w:t>
            </w:r>
          </w:p>
        </w:tc>
      </w:tr>
      <w:tr>
        <w:tc>
          <w:tcPr>
            <w:tcW w:type="dxa" w:w="4320"/>
          </w:tcPr>
          <w:p>
            <w:r/>
            <w:r>
              <w:rPr>
                <w:rFonts w:ascii="Times New Roman" w:hAnsi="Times New Roman"/>
                <w:sz w:val="20"/>
              </w:rPr>
              <w:t>Total words</w:t>
            </w:r>
          </w:p>
        </w:tc>
        <w:tc>
          <w:tcPr>
            <w:tcW w:type="dxa" w:w="4320"/>
          </w:tcPr>
          <w:p>
            <w:r/>
            <w:r>
              <w:rPr>
                <w:rFonts w:ascii="Times New Roman" w:hAnsi="Times New Roman"/>
                <w:sz w:val="20"/>
              </w:rPr>
              <w:t>11,047</w:t>
            </w:r>
          </w:p>
        </w:tc>
      </w:tr>
      <w:tr>
        <w:tc>
          <w:tcPr>
            <w:tcW w:type="dxa" w:w="4320"/>
          </w:tcPr>
          <w:p>
            <w:r/>
            <w:r>
              <w:rPr>
                <w:rFonts w:ascii="Times New Roman" w:hAnsi="Times New Roman"/>
                <w:sz w:val="20"/>
              </w:rPr>
              <w:t>Named entities</w:t>
            </w:r>
          </w:p>
        </w:tc>
        <w:tc>
          <w:tcPr>
            <w:tcW w:type="dxa" w:w="4320"/>
          </w:tcPr>
          <w:p>
            <w:r/>
            <w:r>
              <w:rPr>
                <w:rFonts w:ascii="Times New Roman" w:hAnsi="Times New Roman"/>
                <w:sz w:val="20"/>
              </w:rPr>
              <w:t>59</w:t>
            </w:r>
          </w:p>
        </w:tc>
      </w:tr>
      <w:tr>
        <w:tc>
          <w:tcPr>
            <w:tcW w:type="dxa" w:w="4320"/>
          </w:tcPr>
          <w:p>
            <w:r/>
            <w:r>
              <w:rPr>
                <w:rFonts w:ascii="Times New Roman" w:hAnsi="Times New Roman"/>
                <w:sz w:val="20"/>
              </w:rPr>
              <w:t>Typed entities</w:t>
            </w:r>
          </w:p>
        </w:tc>
        <w:tc>
          <w:tcPr>
            <w:tcW w:type="dxa" w:w="4320"/>
          </w:tcPr>
          <w:p>
            <w:r/>
            <w:r>
              <w:rPr>
                <w:rFonts w:ascii="Times New Roman" w:hAnsi="Times New Roman"/>
                <w:sz w:val="20"/>
              </w:rPr>
              <w:t>16</w:t>
            </w:r>
          </w:p>
        </w:tc>
      </w:tr>
      <w:tr>
        <w:tc>
          <w:tcPr>
            <w:tcW w:type="dxa" w:w="4320"/>
          </w:tcPr>
          <w:p>
            <w:r/>
            <w:r>
              <w:rPr>
                <w:rFonts w:ascii="Times New Roman" w:hAnsi="Times New Roman"/>
                <w:sz w:val="20"/>
              </w:rPr>
              <w:t>Structured data items</w:t>
            </w:r>
          </w:p>
        </w:tc>
        <w:tc>
          <w:tcPr>
            <w:tcW w:type="dxa" w:w="4320"/>
          </w:tcPr>
          <w:p>
            <w:r/>
            <w:r>
              <w:rPr>
                <w:rFonts w:ascii="Times New Roman" w:hAnsi="Times New Roman"/>
                <w:sz w:val="20"/>
              </w:rPr>
              <w:t>23</w:t>
            </w:r>
          </w:p>
        </w:tc>
      </w:tr>
      <w:tr>
        <w:tc>
          <w:tcPr>
            <w:tcW w:type="dxa" w:w="4320"/>
          </w:tcPr>
          <w:p>
            <w:r/>
            <w:r>
              <w:rPr>
                <w:rFonts w:ascii="Times New Roman" w:hAnsi="Times New Roman"/>
                <w:sz w:val="20"/>
              </w:rPr>
              <w:t>Key concepts</w:t>
            </w:r>
          </w:p>
        </w:tc>
        <w:tc>
          <w:tcPr>
            <w:tcW w:type="dxa" w:w="4320"/>
          </w:tcPr>
          <w:p>
            <w:r/>
            <w:r>
              <w:rPr>
                <w:rFonts w:ascii="Times New Roman" w:hAnsi="Times New Roman"/>
                <w:sz w:val="20"/>
              </w:rPr>
              <w:t>13</w:t>
            </w:r>
          </w:p>
        </w:tc>
      </w:tr>
      <w:tr>
        <w:tc>
          <w:tcPr>
            <w:tcW w:type="dxa" w:w="4320"/>
          </w:tcPr>
          <w:p>
            <w:r/>
            <w:r>
              <w:rPr>
                <w:rFonts w:ascii="Times New Roman" w:hAnsi="Times New Roman"/>
                <w:sz w:val="20"/>
              </w:rPr>
              <w:t>Variables detected</w:t>
            </w:r>
          </w:p>
        </w:tc>
        <w:tc>
          <w:tcPr>
            <w:tcW w:type="dxa" w:w="4320"/>
          </w:tcPr>
          <w:p>
            <w:r/>
            <w:r>
              <w:rPr>
                <w:rFonts w:ascii="Times New Roman" w:hAnsi="Times New Roman"/>
                <w:sz w:val="20"/>
              </w:rPr>
              <w:t>5</w:t>
            </w:r>
          </w:p>
        </w:tc>
      </w:tr>
      <w:tr>
        <w:tc>
          <w:tcPr>
            <w:tcW w:type="dxa" w:w="4320"/>
          </w:tcPr>
          <w:p>
            <w:r/>
            <w:r>
              <w:rPr>
                <w:rFonts w:ascii="Times New Roman" w:hAnsi="Times New Roman"/>
                <w:sz w:val="20"/>
              </w:rPr>
              <w:t>Relationships mapped</w:t>
            </w:r>
          </w:p>
        </w:tc>
        <w:tc>
          <w:tcPr>
            <w:tcW w:type="dxa" w:w="4320"/>
          </w:tcPr>
          <w:p>
            <w:r/>
            <w:r>
              <w:rPr>
                <w:rFonts w:ascii="Times New Roman" w:hAnsi="Times New Roman"/>
                <w:sz w:val="20"/>
              </w:rPr>
              <w:t>179</w:t>
            </w:r>
          </w:p>
        </w:tc>
      </w:tr>
      <w:tr>
        <w:tc>
          <w:tcPr>
            <w:tcW w:type="dxa" w:w="4320"/>
          </w:tcPr>
          <w:p>
            <w:r/>
            <w:r>
              <w:rPr>
                <w:rFonts w:ascii="Times New Roman" w:hAnsi="Times New Roman"/>
                <w:sz w:val="20"/>
              </w:rPr>
              <w:t>Dependencies</w:t>
            </w:r>
          </w:p>
        </w:tc>
        <w:tc>
          <w:tcPr>
            <w:tcW w:type="dxa" w:w="4320"/>
          </w:tcPr>
          <w:p>
            <w:r/>
            <w:r>
              <w:rPr>
                <w:rFonts w:ascii="Times New Roman" w:hAnsi="Times New Roman"/>
                <w:sz w:val="20"/>
              </w:rPr>
              <w:t>22</w:t>
            </w:r>
          </w:p>
        </w:tc>
      </w:tr>
      <w:tr>
        <w:tc>
          <w:tcPr>
            <w:tcW w:type="dxa" w:w="4320"/>
          </w:tcPr>
          <w:p>
            <w:r/>
            <w:r>
              <w:rPr>
                <w:rFonts w:ascii="Times New Roman" w:hAnsi="Times New Roman"/>
                <w:sz w:val="20"/>
              </w:rPr>
              <w:t>Causal chains</w:t>
            </w:r>
          </w:p>
        </w:tc>
        <w:tc>
          <w:tcPr>
            <w:tcW w:type="dxa" w:w="4320"/>
          </w:tcPr>
          <w:p>
            <w:r/>
            <w:r>
              <w:rPr>
                <w:rFonts w:ascii="Times New Roman" w:hAnsi="Times New Roman"/>
                <w:sz w:val="20"/>
              </w:rPr>
              <w:t>15</w:t>
            </w:r>
          </w:p>
        </w:tc>
      </w:tr>
      <w:tr>
        <w:tc>
          <w:tcPr>
            <w:tcW w:type="dxa" w:w="4320"/>
          </w:tcPr>
          <w:p>
            <w:r/>
            <w:r>
              <w:rPr>
                <w:rFonts w:ascii="Times New Roman" w:hAnsi="Times New Roman"/>
                <w:sz w:val="20"/>
              </w:rPr>
              <w:t>Problems</w:t>
            </w:r>
          </w:p>
        </w:tc>
        <w:tc>
          <w:tcPr>
            <w:tcW w:type="dxa" w:w="4320"/>
          </w:tcPr>
          <w:p>
            <w:r/>
            <w:r>
              <w:rPr>
                <w:rFonts w:ascii="Times New Roman" w:hAnsi="Times New Roman"/>
                <w:sz w:val="20"/>
              </w:rPr>
              <w:t>7</w:t>
            </w:r>
          </w:p>
        </w:tc>
      </w:tr>
      <w:tr>
        <w:tc>
          <w:tcPr>
            <w:tcW w:type="dxa" w:w="4320"/>
          </w:tcPr>
          <w:p>
            <w:r/>
            <w:r>
              <w:rPr>
                <w:rFonts w:ascii="Times New Roman" w:hAnsi="Times New Roman"/>
                <w:sz w:val="20"/>
              </w:rPr>
              <w:t>Contradictions</w:t>
            </w:r>
          </w:p>
        </w:tc>
        <w:tc>
          <w:tcPr>
            <w:tcW w:type="dxa" w:w="4320"/>
          </w:tcPr>
          <w:p>
            <w:r/>
            <w:r>
              <w:rPr>
                <w:rFonts w:ascii="Times New Roman" w:hAnsi="Times New Roman"/>
                <w:sz w:val="20"/>
              </w:rPr>
              <w:t>5</w:t>
            </w:r>
          </w:p>
        </w:tc>
      </w:tr>
      <w:tr>
        <w:tc>
          <w:tcPr>
            <w:tcW w:type="dxa" w:w="4320"/>
          </w:tcPr>
          <w:p>
            <w:r/>
            <w:r>
              <w:rPr>
                <w:rFonts w:ascii="Times New Roman" w:hAnsi="Times New Roman"/>
                <w:sz w:val="20"/>
              </w:rPr>
              <w:t>Assumptions</w:t>
            </w:r>
          </w:p>
        </w:tc>
        <w:tc>
          <w:tcPr>
            <w:tcW w:type="dxa" w:w="4320"/>
          </w:tcPr>
          <w:p>
            <w:r/>
            <w:r>
              <w:rPr>
                <w:rFonts w:ascii="Times New Roman" w:hAnsi="Times New Roman"/>
                <w:sz w:val="20"/>
              </w:rPr>
              <w:t>2</w:t>
            </w:r>
          </w:p>
        </w:tc>
      </w:tr>
      <w:tr>
        <w:tc>
          <w:tcPr>
            <w:tcW w:type="dxa" w:w="4320"/>
          </w:tcPr>
          <w:p>
            <w:r/>
            <w:r>
              <w:rPr>
                <w:rFonts w:ascii="Times New Roman" w:hAnsi="Times New Roman"/>
                <w:sz w:val="20"/>
              </w:rPr>
              <w:t>Knowledge graph nodes</w:t>
            </w:r>
          </w:p>
        </w:tc>
        <w:tc>
          <w:tcPr>
            <w:tcW w:type="dxa" w:w="4320"/>
          </w:tcPr>
          <w:p>
            <w:r/>
            <w:r>
              <w:rPr>
                <w:rFonts w:ascii="Times New Roman" w:hAnsi="Times New Roman"/>
                <w:sz w:val="20"/>
              </w:rPr>
              <w:t>119</w:t>
            </w:r>
          </w:p>
        </w:tc>
      </w:tr>
      <w:tr>
        <w:tc>
          <w:tcPr>
            <w:tcW w:type="dxa" w:w="4320"/>
          </w:tcPr>
          <w:p>
            <w:r/>
            <w:r>
              <w:rPr>
                <w:rFonts w:ascii="Times New Roman" w:hAnsi="Times New Roman"/>
                <w:sz w:val="20"/>
              </w:rPr>
              <w:t>Knowledge graph edges</w:t>
            </w:r>
          </w:p>
        </w:tc>
        <w:tc>
          <w:tcPr>
            <w:tcW w:type="dxa" w:w="4320"/>
          </w:tcPr>
          <w:p>
            <w:r/>
            <w:r>
              <w:rPr>
                <w:rFonts w:ascii="Times New Roman" w:hAnsi="Times New Roman"/>
                <w:sz w:val="20"/>
              </w:rPr>
              <w:t>102</w:t>
            </w:r>
          </w:p>
        </w:tc>
      </w:tr>
    </w:tbl>
    <w:p>
      <w:pPr>
        <w:spacing w:after="40"/>
      </w:pPr>
    </w:p>
    <w:p>
      <w:pPr>
        <w:spacing w:after="120"/>
      </w:pPr>
      <w:r>
        <w:rPr>
          <w:i w:val="0"/>
        </w:rPr>
        <w:t>As discussed in Section 7.2, this run reflects a pipeline snapshot captured immediately prior to the causal-chain densification, salience-protected graph pruning, benefit-cost trade-off contradiction axis, thematic-assumption pass, and competing-interests executive-insight alert described in Sections 4.8, 4.10, 4.11, and 4.13. We report it as-is, together with the specific observations that motivated each of those four enhancements, rather than retrofitting numbers that were not actually produced by a single pipeline run; a refreshed end-to-end run incorporating all of Section 4 is the immediate next step before submission.</w:t>
      </w:r>
    </w:p>
    <w:p>
      <w:pPr>
        <w:pStyle w:val="Heading2"/>
      </w:pPr>
      <w:r>
        <w:t>6.3 Representative Extraction Examples</w:t>
      </w:r>
    </w:p>
    <w:p>
      <w:pPr>
        <w:spacing w:after="120"/>
      </w:pPr>
      <w:r>
        <w:rPr>
          <w:i w:val="0"/>
        </w:rPr>
        <w:t>Table 4 gives one representative example per analytical layer, quoted directly from the case-study run, to illustrate output granularity and provenance.</w:t>
      </w:r>
    </w:p>
    <w:p>
      <w:pPr>
        <w:spacing w:before="200" w:line="240" w:lineRule="auto"/>
      </w:pPr>
      <w:r>
        <w:rPr>
          <w:b/>
          <w:sz w:val="22"/>
        </w:rPr>
        <w:t>Table 4. Representative extraction output, one example per analytical layer.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Layer</w:t>
            </w:r>
          </w:p>
        </w:tc>
        <w:tc>
          <w:tcPr>
            <w:tcW w:type="dxa" w:w="4320"/>
          </w:tcPr>
          <w:p>
            <w:r/>
            <w:r>
              <w:rPr>
                <w:rFonts w:ascii="Times New Roman" w:hAnsi="Times New Roman"/>
                <w:b/>
                <w:sz w:val="20"/>
              </w:rPr>
              <w:t>Example output</w:t>
            </w:r>
          </w:p>
        </w:tc>
      </w:tr>
      <w:tr>
        <w:tc>
          <w:tcPr>
            <w:tcW w:type="dxa" w:w="4320"/>
          </w:tcPr>
          <w:p>
            <w:r/>
            <w:r>
              <w:rPr>
                <w:rFonts w:ascii="Times New Roman" w:hAnsi="Times New Roman"/>
                <w:sz w:val="20"/>
              </w:rPr>
              <w:t>Named entity</w:t>
            </w:r>
          </w:p>
        </w:tc>
        <w:tc>
          <w:tcPr>
            <w:tcW w:type="dxa" w:w="4320"/>
          </w:tcPr>
          <w:p>
            <w:r/>
            <w:r>
              <w:rPr>
                <w:rFonts w:ascii="Times New Roman" w:hAnsi="Times New Roman"/>
                <w:sz w:val="20"/>
              </w:rPr>
              <w:t>CRISPR - GENE_SYSTEM, 57 occurrences, tier Primary</w:t>
            </w:r>
          </w:p>
        </w:tc>
      </w:tr>
      <w:tr>
        <w:tc>
          <w:tcPr>
            <w:tcW w:type="dxa" w:w="4320"/>
          </w:tcPr>
          <w:p>
            <w:r/>
            <w:r>
              <w:rPr>
                <w:rFonts w:ascii="Times New Roman" w:hAnsi="Times New Roman"/>
                <w:sz w:val="20"/>
              </w:rPr>
              <w:t>Typed entity</w:t>
            </w:r>
          </w:p>
        </w:tc>
        <w:tc>
          <w:tcPr>
            <w:tcW w:type="dxa" w:w="4320"/>
          </w:tcPr>
          <w:p>
            <w:r/>
            <w:r>
              <w:rPr>
                <w:rFonts w:ascii="Times New Roman" w:hAnsi="Times New Roman"/>
                <w:sz w:val="20"/>
              </w:rPr>
              <w:t>"CRISPR-Cas9" - product, confidence 0.847</w:t>
            </w:r>
          </w:p>
        </w:tc>
      </w:tr>
      <w:tr>
        <w:tc>
          <w:tcPr>
            <w:tcW w:type="dxa" w:w="4320"/>
          </w:tcPr>
          <w:p>
            <w:r/>
            <w:r>
              <w:rPr>
                <w:rFonts w:ascii="Times New Roman" w:hAnsi="Times New Roman"/>
                <w:sz w:val="20"/>
              </w:rPr>
              <w:t>Structured data</w:t>
            </w:r>
          </w:p>
        </w:tc>
        <w:tc>
          <w:tcPr>
            <w:tcW w:type="dxa" w:w="4320"/>
          </w:tcPr>
          <w:p>
            <w:r/>
            <w:r>
              <w:rPr>
                <w:rFonts w:ascii="Times New Roman" w:hAnsi="Times New Roman"/>
                <w:sz w:val="20"/>
              </w:rPr>
              <w:t>Acronym: PAM = "protospacer adjacent motif"</w:t>
            </w:r>
          </w:p>
        </w:tc>
      </w:tr>
      <w:tr>
        <w:tc>
          <w:tcPr>
            <w:tcW w:type="dxa" w:w="4320"/>
          </w:tcPr>
          <w:p>
            <w:r/>
            <w:r>
              <w:rPr>
                <w:rFonts w:ascii="Times New Roman" w:hAnsi="Times New Roman"/>
                <w:sz w:val="20"/>
              </w:rPr>
              <w:t>Variable</w:t>
            </w:r>
          </w:p>
        </w:tc>
        <w:tc>
          <w:tcPr>
            <w:tcW w:type="dxa" w:w="4320"/>
          </w:tcPr>
          <w:p>
            <w:r/>
            <w:r>
              <w:rPr>
                <w:rFonts w:ascii="Times New Roman" w:hAnsi="Times New Roman"/>
                <w:sz w:val="20"/>
              </w:rPr>
              <w:t>gene count = "2,000 genes" (molecular quantity)</w:t>
            </w:r>
          </w:p>
        </w:tc>
      </w:tr>
      <w:tr>
        <w:tc>
          <w:tcPr>
            <w:tcW w:type="dxa" w:w="4320"/>
          </w:tcPr>
          <w:p>
            <w:r/>
            <w:r>
              <w:rPr>
                <w:rFonts w:ascii="Times New Roman" w:hAnsi="Times New Roman"/>
                <w:sz w:val="20"/>
              </w:rPr>
              <w:t>Relationship</w:t>
            </w:r>
          </w:p>
        </w:tc>
        <w:tc>
          <w:tcPr>
            <w:tcW w:type="dxa" w:w="4320"/>
          </w:tcPr>
          <w:p>
            <w:r/>
            <w:r>
              <w:rPr>
                <w:rFonts w:ascii="Times New Roman" w:hAnsi="Times New Roman"/>
                <w:sz w:val="20"/>
              </w:rPr>
              <w:t>"Guide RNA" -directs-&gt; "Cas9" (syntactic SVO, confidence 77)</w:t>
            </w:r>
          </w:p>
        </w:tc>
      </w:tr>
      <w:tr>
        <w:tc>
          <w:tcPr>
            <w:tcW w:type="dxa" w:w="4320"/>
          </w:tcPr>
          <w:p>
            <w:r/>
            <w:r>
              <w:rPr>
                <w:rFonts w:ascii="Times New Roman" w:hAnsi="Times New Roman"/>
                <w:sz w:val="20"/>
              </w:rPr>
              <w:t>Dependency</w:t>
            </w:r>
          </w:p>
        </w:tc>
        <w:tc>
          <w:tcPr>
            <w:tcW w:type="dxa" w:w="4320"/>
          </w:tcPr>
          <w:p>
            <w:r/>
            <w:r>
              <w:rPr>
                <w:rFonts w:ascii="Times New Roman" w:hAnsi="Times New Roman"/>
                <w:sz w:val="20"/>
              </w:rPr>
              <w:t>"cas proteins" depends on "guide rna"</w:t>
            </w:r>
          </w:p>
        </w:tc>
      </w:tr>
      <w:tr>
        <w:tc>
          <w:tcPr>
            <w:tcW w:type="dxa" w:w="4320"/>
          </w:tcPr>
          <w:p>
            <w:r/>
            <w:r>
              <w:rPr>
                <w:rFonts w:ascii="Times New Roman" w:hAnsi="Times New Roman"/>
                <w:sz w:val="20"/>
              </w:rPr>
              <w:t>Causal chain (pre-enhancement)</w:t>
            </w:r>
          </w:p>
        </w:tc>
        <w:tc>
          <w:tcPr>
            <w:tcW w:type="dxa" w:w="4320"/>
          </w:tcPr>
          <w:p>
            <w:r/>
            <w:r>
              <w:rPr>
                <w:rFonts w:ascii="Times New Roman" w:hAnsi="Times New Roman"/>
                <w:sz w:val="20"/>
              </w:rPr>
              <w:t>"earlier technologies" -&gt; "new protein design" (length 2, confidence 80.0)</w:t>
            </w:r>
          </w:p>
        </w:tc>
      </w:tr>
      <w:tr>
        <w:tc>
          <w:tcPr>
            <w:tcW w:type="dxa" w:w="4320"/>
          </w:tcPr>
          <w:p>
            <w:r/>
            <w:r>
              <w:rPr>
                <w:rFonts w:ascii="Times New Roman" w:hAnsi="Times New Roman"/>
                <w:sz w:val="20"/>
              </w:rPr>
              <w:t>Problem</w:t>
            </w:r>
          </w:p>
        </w:tc>
        <w:tc>
          <w:tcPr>
            <w:tcW w:type="dxa" w:w="4320"/>
          </w:tcPr>
          <w:p>
            <w:r/>
            <w:r>
              <w:rPr>
                <w:rFonts w:ascii="Times New Roman" w:hAnsi="Times New Roman"/>
                <w:sz w:val="20"/>
              </w:rPr>
              <w:t>[High] "Current limitations include: - Off-target mutations - Delivery difficulties - Ethical concerns ..."</w:t>
            </w:r>
          </w:p>
        </w:tc>
      </w:tr>
      <w:tr>
        <w:tc>
          <w:tcPr>
            <w:tcW w:type="dxa" w:w="4320"/>
          </w:tcPr>
          <w:p>
            <w:r/>
            <w:r>
              <w:rPr>
                <w:rFonts w:ascii="Times New Roman" w:hAnsi="Times New Roman"/>
                <w:sz w:val="20"/>
              </w:rPr>
              <w:t>Contradiction</w:t>
            </w:r>
          </w:p>
        </w:tc>
        <w:tc>
          <w:tcPr>
            <w:tcW w:type="dxa" w:w="4320"/>
          </w:tcPr>
          <w:p>
            <w:r/>
            <w:r>
              <w:rPr>
                <w:rFonts w:ascii="Times New Roman" w:hAnsi="Times New Roman"/>
                <w:sz w:val="20"/>
              </w:rPr>
              <w:t>Contrastive claim (Medium): ZFN/TALEN protein-engineering burden versus CRISPR's guide-synthesis-only requirement</w:t>
            </w:r>
          </w:p>
        </w:tc>
      </w:tr>
      <w:tr>
        <w:tc>
          <w:tcPr>
            <w:tcW w:type="dxa" w:w="4320"/>
          </w:tcPr>
          <w:p>
            <w:r/>
            <w:r>
              <w:rPr>
                <w:rFonts w:ascii="Times New Roman" w:hAnsi="Times New Roman"/>
                <w:sz w:val="20"/>
              </w:rPr>
              <w:t>Assumption</w:t>
            </w:r>
          </w:p>
        </w:tc>
        <w:tc>
          <w:tcPr>
            <w:tcW w:type="dxa" w:w="4320"/>
          </w:tcPr>
          <w:p>
            <w:r/>
            <w:r>
              <w:rPr>
                <w:rFonts w:ascii="Times New Roman" w:hAnsi="Times New Roman"/>
                <w:sz w:val="20"/>
              </w:rPr>
              <w:t>Implicit (marker "should be", confidence 50): whether germline-cell applications should be considered given associated ethical issues</w:t>
            </w:r>
          </w:p>
        </w:tc>
      </w:tr>
      <w:tr>
        <w:tc>
          <w:tcPr>
            <w:tcW w:type="dxa" w:w="4320"/>
          </w:tcPr>
          <w:p>
            <w:r/>
            <w:r>
              <w:rPr>
                <w:rFonts w:ascii="Times New Roman" w:hAnsi="Times New Roman"/>
                <w:sz w:val="20"/>
              </w:rPr>
              <w:t>Executive insight</w:t>
            </w:r>
          </w:p>
        </w:tc>
        <w:tc>
          <w:tcPr>
            <w:tcW w:type="dxa" w:w="4320"/>
          </w:tcPr>
          <w:p>
            <w:r/>
            <w:r>
              <w:rPr>
                <w:rFonts w:ascii="Times New Roman" w:hAnsi="Times New Roman"/>
                <w:sz w:val="20"/>
              </w:rPr>
              <w:t>Root Cause: "earlier technologies" initiates the longest causal chain</w:t>
            </w:r>
          </w:p>
        </w:tc>
      </w:tr>
    </w:tbl>
    <w:p>
      <w:pPr>
        <w:spacing w:after="40"/>
      </w:pPr>
    </w:p>
    <w:p>
      <w:pPr>
        <w:pStyle w:val="Heading2"/>
      </w:pPr>
      <w:r>
        <w:t>6.4 Question-Answering Behavior</w:t>
      </w:r>
    </w:p>
    <w:p>
      <w:pPr>
        <w:spacing w:after="120"/>
      </w:pPr>
      <w:r>
        <w:rPr>
          <w:i w:val="0"/>
        </w:rPr>
        <w:t>Four illustrative questions were posed against the analyzed corpus. A grounding question ('Does the document mention any clinical trials for CRISPR-based cancer therapies in Europe?') correctly retrieved the passage stating that two such trials were approved in China and the United States and did not fabricate a European trial the source text does not support - a desirable property for an audit-oriented tool, where declining to assert an unsupported claim is preferable to a fluent but ungrounded answer. A paragraph-retrieval question ('Give the full source paragraph that mentions the gene counts') correctly returned the paragraph describing the CRISPR-based screen that identified approximately 2,000 core fitness genes, verbatim and in full, rather than a single truncated sentence.</w:t>
      </w:r>
    </w:p>
    <w:p>
      <w:pPr>
        <w:spacing w:after="120"/>
      </w:pPr>
      <w:r>
        <w:rPr>
          <w:i w:val="0"/>
        </w:rPr>
        <w:t>A broader, more open-ended question ('What are the main non-medical applications of CRISPR mentioned in the documents?') was intercepted by the deterministic entity-lookup fast-path handler (Section 4.14) and answered with a generic entity description rather than a synthesized list of the agricultural, food-science, and antimicrobial applications the source text actually discusses at length. This is a genuine limitation of the current intent-routing order rather than a retrieval failure: the fast-path handlers are intentionally tried before general retrieval to guarantee fast, exact answers for the query types they cover, but a broad, multi-topic question can still match a narrower handler's trigger pattern before it reaches the hybrid-retrieval path that would otherwise assemble a more complete answer. We discuss this trade-off further in Section 7.1.</w:t>
      </w:r>
    </w:p>
    <w:p>
      <w:pPr>
        <w:pStyle w:val="Heading1"/>
      </w:pPr>
      <w:r>
        <w:t>7. Discussion</w:t>
      </w:r>
    </w:p>
    <w:p>
      <w:pPr>
        <w:pStyle w:val="Heading2"/>
      </w:pPr>
      <w:r>
        <w:t>7.1 Design Rationale and Observed Trade-offs</w:t>
      </w:r>
    </w:p>
    <w:p>
      <w:pPr>
        <w:spacing w:after="120"/>
      </w:pPr>
      <w:r>
        <w:rPr>
          <w:i w:val="0"/>
        </w:rPr>
        <w:t>The central design decision in this system is to prefer many small, inspectable, rule-governed extraction and detection modules over a single end-to-end learned or LLM-driven model. This yields determinism (the same document produces the same output on every run), auditability (every extracted item traces to a specific rule, pattern, or confidence computation), and independence from a paid or rate-limited external API for the core pipeline. The cost, illustrated concretely in Section 6.4, is that an ordered battery of narrow intent handlers can occasionally intercept a broad question before a more holistic retrieval path would have produced a better answer; and that rule-governed detectors (Section 4.10-4.11) trade recall for precision relative to a general-purpose NLI or LLM-based classifier, by design.</w:t>
      </w:r>
    </w:p>
    <w:p>
      <w:pPr>
        <w:pStyle w:val="Heading2"/>
      </w:pPr>
      <w:r>
        <w:t>7.2 Limitations and Threats to Validity</w:t>
      </w:r>
    </w:p>
    <w:p>
      <w:pPr>
        <w:pStyle w:val="ListBullet"/>
        <w:spacing w:line="276" w:lineRule="auto" w:after="80"/>
      </w:pPr>
      <w:r>
        <w:t>No labeled benchmark. The case study in Section 6 is a single, qualitatively-inspected corpus. We have not constructed a labeled reference set against which precision, recall, or F1 can be computed for any extraction layer, and no claim in this manuscript should be read as a quantitative accuracy claim.</w:t>
      </w:r>
    </w:p>
    <w:p>
      <w:pPr>
        <w:pStyle w:val="ListBullet"/>
        <w:spacing w:line="276" w:lineRule="auto" w:after="80"/>
      </w:pPr>
      <w:r>
        <w:t>Snapshot mismatch. As noted in Section 6.2, the reported case-study numbers predate four enhancements described in Section 4 (deeper causal chains, salience-protected graph pruning, trade-off contradiction detection, thematic assumption mining). A single refreshed end-to-end run reflecting all of Section 4 together is required before submission.</w:t>
      </w:r>
    </w:p>
    <w:p>
      <w:pPr>
        <w:pStyle w:val="ListBullet"/>
        <w:spacing w:line="276" w:lineRule="auto" w:after="80"/>
      </w:pPr>
      <w:r>
        <w:t>Single-domain corpus. The case study is drawn from biomedical/genome-editing text. Several extraction components (the molecular-quantity regex library, the risk-theme vocabulary used by the thematic assumption pass, the trade-off axis vocabularies) were developed and tuned against this domain and its vocabulary; generalization to other domains (legal, financial, engineering) has not been evaluated and may require additional or re-weighted lexical resources.</w:t>
      </w:r>
    </w:p>
    <w:p>
      <w:pPr>
        <w:pStyle w:val="ListBullet"/>
        <w:spacing w:line="276" w:lineRule="auto" w:after="80"/>
      </w:pPr>
      <w:r>
        <w:t>Confidence scores are heuristic, not calibrated. The per-triple relationship confidence (Section 4.6) and per-pattern causal confidence are hand-calibrated numeric scores intended to rank extractions relative to one another; they are not probabilities calibrated against ground truth and should not be interpreted as such.</w:t>
      </w:r>
    </w:p>
    <w:p>
      <w:pPr>
        <w:pStyle w:val="ListBullet"/>
        <w:spacing w:line="276" w:lineRule="auto" w:after="80"/>
      </w:pPr>
      <w:r>
        <w:t>Fast-path/retrieval interaction. As illustrated in Section 6.4, the ordered intent-handler design can occasionally produce a narrower answer than the general retrieval path would have for broad, multi-topic questions.</w:t>
      </w:r>
    </w:p>
    <w:p>
      <w:pPr>
        <w:pStyle w:val="ListBullet"/>
        <w:spacing w:line="276" w:lineRule="auto" w:after="80"/>
      </w:pPr>
      <w:r>
        <w:t>Embedding-based canonicalization can over- or under-merge. Cosine-similarity node merging (Sections 4.8, 4.12) is threshold-based and can, in principle, either merge two genuinely distinct entities with similar phrasing or fail to merge two paraphrases of the same entity; we have not measured the rate of either error.</w:t>
      </w:r>
    </w:p>
    <w:p>
      <w:pPr>
        <w:pStyle w:val="Heading2"/>
      </w:pPr>
      <w:r>
        <w:t>7.3 Reproducibility</w:t>
      </w:r>
    </w:p>
    <w:p>
      <w:pPr>
        <w:spacing w:after="120"/>
      </w:pPr>
      <w:r>
        <w:rPr>
          <w:i w:val="0"/>
        </w:rPr>
        <w:t>Every result reported in Section 6 was produced by the deterministic core pipeline described in Sections 4.1-4.15, none of which requires network access or an API key. The single optional cloud-LLM enrichment stage (Section 3) is disclosed, off by default in the absence of an API key, and was not used to produce any figure in this manuscript. Re-running the pipeline on the same input document with the same library versions should reproduce the same entities, relationships, and structured data; the knowledge-graph community-detection step (greedy modularity maximization) and any downstream tie-breaking are, to the best of our knowledge, deterministic given a fixed NetworkX version, but this has not been independently verified across library versions and is noted here as an item for the reproducibility checklist accompanying formal submission.</w:t>
      </w:r>
    </w:p>
    <w:p>
      <w:pPr>
        <w:pStyle w:val="Heading2"/>
      </w:pPr>
      <w:r>
        <w:t>7.4 Ethical Considerations</w:t>
      </w:r>
    </w:p>
    <w:p>
      <w:pPr>
        <w:spacing w:after="120"/>
      </w:pPr>
      <w:r>
        <w:rPr>
          <w:i w:val="0"/>
        </w:rPr>
        <w:t>A tool that automatically flags 'problems,' 'contradictions,' and 'assumptions' in a source document carries a risk of over-claiming: a severity label of Critical or High is a heuristic classification, not an authoritative judgment about the source document's scientific validity, and should be presented to end users with that caveat. The competing-interests insight (Section 4.13) is a governance-relevant example of this same concern in the opposite direction: surfacing a disclosure prominently is intended to aid a human reviewer, not to imply misconduct, and the detector is explicitly negation-aware so that a normal 'no competing interests' disclosure is not mis-flagged as a risk.</w:t>
      </w:r>
    </w:p>
    <w:p>
      <w:pPr>
        <w:pStyle w:val="Heading1"/>
      </w:pPr>
      <w:r>
        <w:t>8. Conclusion and Future Work</w:t>
      </w:r>
    </w:p>
    <w:p>
      <w:pPr>
        <w:spacing w:after="120"/>
      </w:pPr>
      <w:r>
        <w:rPr>
          <w:i w:val="0"/>
        </w:rPr>
        <w:t>We have described DocAnalyzer, a fully offline, modular pipeline that extracts eleven linked analytical layers from an arbitrary input document, and a companion hybrid-retrieval question-answering interface, without requiring a paid or network-dependent large language model for any core-pipeline result. A qualitative case study on a peer-reviewed genome-editing review article demonstrates the system's output across every layer and surfaces concrete, honestly-reported limitations - most notably the current absence of a labeled benchmark corpus.</w:t>
      </w:r>
    </w:p>
    <w:p>
      <w:pPr>
        <w:spacing w:after="120"/>
      </w:pPr>
      <w:r>
        <w:rPr>
          <w:i w:val="0"/>
        </w:rPr>
        <w:t>Immediate priorities before this manuscript is submitted for review are:</w:t>
      </w:r>
    </w:p>
    <w:p>
      <w:pPr>
        <w:pStyle w:val="ListNumber"/>
        <w:spacing w:line="276" w:lineRule="auto" w:after="80"/>
      </w:pPr>
      <w:r>
        <w:t>A refreshed end-to-end case-study run incorporating all Section 4 enhancements together, replacing the pre-enhancement snapshot in Section 6.</w:t>
      </w:r>
    </w:p>
    <w:p>
      <w:pPr>
        <w:pStyle w:val="ListNumber"/>
        <w:spacing w:line="276" w:lineRule="auto" w:after="80"/>
      </w:pPr>
      <w:r>
        <w:t>Construction of a small labeled evaluation set (entity, relationship, and contradiction annotations by at least two independent annotators with inter-annotator agreement reported) sufficient to report precision/recall for the highest-stakes extraction layers (problems, contradictions, assumptions).</w:t>
      </w:r>
    </w:p>
    <w:p>
      <w:pPr>
        <w:pStyle w:val="ListNumber"/>
        <w:spacing w:line="276" w:lineRule="auto" w:after="80"/>
      </w:pPr>
      <w:r>
        <w:t>Evaluation on at least one additional, non-biomedical document domain to assess generalization of the domain-tunable vocabularies identified in Section 7.2.</w:t>
      </w:r>
    </w:p>
    <w:p>
      <w:pPr>
        <w:pStyle w:val="ListNumber"/>
        <w:spacing w:line="276" w:lineRule="auto" w:after="80"/>
      </w:pPr>
      <w:r>
        <w:t>A user study measuring whether the fast-path/retrieval intent-routing design (Section 7.1) helps or hinders real users on open-ended questions, relative to always routing through general hybrid retrieval.</w:t>
      </w:r>
    </w:p>
    <w:p>
      <w:r>
        <w:br w:type="page"/>
      </w:r>
    </w:p>
    <w:p>
      <w:pPr>
        <w:pStyle w:val="Heading1"/>
      </w:pPr>
      <w:r>
        <w:t>Acknowledgments</w:t>
      </w:r>
    </w:p>
    <w:p>
      <w:pPr>
        <w:spacing w:after="120"/>
      </w:pPr>
      <w:r>
        <w:rPr>
          <w:i/>
        </w:rPr>
        <w:t>[To be completed by the author(s).]</w:t>
      </w:r>
    </w:p>
    <w:p>
      <w:pPr>
        <w:pStyle w:val="Heading1"/>
      </w:pPr>
      <w:r>
        <w:t>References</w:t>
      </w:r>
    </w:p>
    <w:p>
      <w:pPr>
        <w:spacing w:after="120"/>
      </w:pPr>
      <w:r>
        <w:rPr>
          <w:i/>
        </w:rPr>
        <w:t>Citations below correspond to the underlying methods, models, and datasets employed by the pipeline components described in Sections 4-5, and to the case-study source document (Section 6). Exact citation formatting, volume/page details, and completeness should be verified and adjusted to the target journal's required citation style before submission.</w:t>
      </w:r>
    </w:p>
    <w:p>
      <w:pPr>
        <w:spacing w:line="276" w:lineRule="auto" w:after="120"/>
        <w:ind w:left="432" w:hanging="432"/>
      </w:pPr>
      <w:r>
        <w:t>[1] Honnibal, M., &amp; Montani, I. (2017). spaCy 2: Natural language understanding with Bloom embeddings, convolutional neural networks and incremental parsing.</w:t>
      </w:r>
    </w:p>
    <w:p>
      <w:pPr>
        <w:spacing w:line="276" w:lineRule="auto" w:after="120"/>
        <w:ind w:left="432" w:hanging="432"/>
      </w:pPr>
      <w:r>
        <w:t>[2] Grootendorst, M. (2020). KeyBERT: Minimal keyword extraction with BERT. Zenodo. https://doi.org/10.5281/zenodo.4461265</w:t>
      </w:r>
    </w:p>
    <w:p>
      <w:pPr>
        <w:spacing w:line="276" w:lineRule="auto" w:after="120"/>
        <w:ind w:left="432" w:hanging="432"/>
      </w:pPr>
      <w:r>
        <w:t>[3] Zaratiana, U., Tomeh, N., Holat, P., &amp; Charnois, T. (2023). GLiNER: Generalist model for named entity recognition using bidirectional transformer. arXiv:2311.08526.</w:t>
      </w:r>
    </w:p>
    <w:p>
      <w:pPr>
        <w:spacing w:line="276" w:lineRule="auto" w:after="120"/>
        <w:ind w:left="432" w:hanging="432"/>
      </w:pPr>
      <w:r>
        <w:t>[4] Reimers, N., &amp; Gurevych, I. (2019). Sentence-BERT: Sentence embeddings using Siamese BERT-networks. Proceedings of EMNLP-IJCNLP 2019, 3982-3992.</w:t>
      </w:r>
    </w:p>
    <w:p>
      <w:pPr>
        <w:spacing w:line="276" w:lineRule="auto" w:after="120"/>
        <w:ind w:left="432" w:hanging="432"/>
      </w:pPr>
      <w:r>
        <w:t>[5] Robertson, S., &amp; Zaragoza, H. (2009). The probabilistic relevance framework: BM25 and beyond. Foundations and Trends in Information Retrieval, 3(4), 333-389.</w:t>
      </w:r>
    </w:p>
    <w:p>
      <w:pPr>
        <w:spacing w:line="276" w:lineRule="auto" w:after="120"/>
        <w:ind w:left="432" w:hanging="432"/>
      </w:pPr>
      <w:r>
        <w:t>[6] Nogueira, R., &amp; Cho, K. (2019). Passage re-ranking with BERT. arXiv:1901.04085.</w:t>
      </w:r>
    </w:p>
    <w:p>
      <w:pPr>
        <w:spacing w:line="276" w:lineRule="auto" w:after="120"/>
        <w:ind w:left="432" w:hanging="432"/>
      </w:pPr>
      <w:r>
        <w:t>[7] Bajaj, P., Campos, D., Craswell, N., et al. (2016). MS MARCO: A human generated machine reading comprehension dataset. arXiv:1611.09268.</w:t>
      </w:r>
    </w:p>
    <w:p>
      <w:pPr>
        <w:spacing w:line="276" w:lineRule="auto" w:after="120"/>
        <w:ind w:left="432" w:hanging="432"/>
      </w:pPr>
      <w:r>
        <w:t>[8] Clauset, A., Newman, M. E. J., &amp; Moore, C. (2004). Finding community structure in very large networks. Physical Review E, 70(6), 066111.</w:t>
      </w:r>
    </w:p>
    <w:p>
      <w:pPr>
        <w:spacing w:line="276" w:lineRule="auto" w:after="120"/>
        <w:ind w:left="432" w:hanging="432"/>
      </w:pPr>
      <w:r>
        <w:t>[9] Hagberg, A. A., Schult, D. A., &amp; Swart, P. J. (2008). Exploring network structure, dynamics, and function using NetworkX. Proceedings of the 7th Python in Science Conference (SciPy2008), 11-15.</w:t>
      </w:r>
    </w:p>
    <w:p>
      <w:pPr>
        <w:spacing w:line="276" w:lineRule="auto" w:after="120"/>
        <w:ind w:left="432" w:hanging="432"/>
      </w:pPr>
      <w:r>
        <w:t>[10] Barrangou, R., &amp; Doudna, J. A. (2016). Applications of CRISPR technologies in research and beyond. Nature Biotechnology, 34(9), 933-941. https://doi.org/10.1038/nbt.3659</w:t>
      </w:r>
    </w:p>
    <w:p>
      <w:r>
        <w:br w:type="page"/>
      </w:r>
    </w:p>
    <w:p>
      <w:pPr>
        <w:pStyle w:val="Heading1"/>
      </w:pPr>
      <w:r>
        <w:t>Appendix A: Result Schema Reference</w:t>
      </w:r>
    </w:p>
    <w:p>
      <w:pPr>
        <w:spacing w:after="120"/>
      </w:pPr>
      <w:r>
        <w:rPr>
          <w:i w:val="0"/>
        </w:rPr>
        <w:t>Every analysis produces a single JSON result object; Table 5 lists its top-level categories and the fields reported for each row.</w:t>
      </w:r>
    </w:p>
    <w:p>
      <w:pPr>
        <w:spacing w:before="200" w:line="240" w:lineRule="auto"/>
      </w:pPr>
      <w:r>
        <w:rPr>
          <w:b/>
          <w:sz w:val="22"/>
        </w:rPr>
        <w:t>Table 5. Top-level result-object categories and representative fields.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Category</w:t>
            </w:r>
          </w:p>
        </w:tc>
        <w:tc>
          <w:tcPr>
            <w:tcW w:type="dxa" w:w="4320"/>
          </w:tcPr>
          <w:p>
            <w:r/>
            <w:r>
              <w:rPr>
                <w:rFonts w:ascii="Times New Roman" w:hAnsi="Times New Roman"/>
                <w:b/>
                <w:sz w:val="20"/>
              </w:rPr>
              <w:t>Representative fields</w:t>
            </w:r>
          </w:p>
        </w:tc>
      </w:tr>
      <w:tr>
        <w:tc>
          <w:tcPr>
            <w:tcW w:type="dxa" w:w="4320"/>
          </w:tcPr>
          <w:p>
            <w:r/>
            <w:r>
              <w:rPr>
                <w:rFonts w:ascii="Times New Roman" w:hAnsi="Times New Roman"/>
                <w:sz w:val="20"/>
              </w:rPr>
              <w:t>entities</w:t>
            </w:r>
          </w:p>
        </w:tc>
        <w:tc>
          <w:tcPr>
            <w:tcW w:type="dxa" w:w="4320"/>
          </w:tcPr>
          <w:p>
            <w:r/>
            <w:r>
              <w:rPr>
                <w:rFonts w:ascii="Times New Roman" w:hAnsi="Times New Roman"/>
                <w:sz w:val="20"/>
              </w:rPr>
              <w:t>Entity, Type, Description, Tier, Importance, Occurrences, Context</w:t>
            </w:r>
          </w:p>
        </w:tc>
      </w:tr>
      <w:tr>
        <w:tc>
          <w:tcPr>
            <w:tcW w:type="dxa" w:w="4320"/>
          </w:tcPr>
          <w:p>
            <w:r/>
            <w:r>
              <w:rPr>
                <w:rFonts w:ascii="Times New Roman" w:hAnsi="Times New Roman"/>
                <w:sz w:val="20"/>
              </w:rPr>
              <w:t>typed_entities</w:t>
            </w:r>
          </w:p>
        </w:tc>
        <w:tc>
          <w:tcPr>
            <w:tcW w:type="dxa" w:w="4320"/>
          </w:tcPr>
          <w:p>
            <w:r/>
            <w:r>
              <w:rPr>
                <w:rFonts w:ascii="Times New Roman" w:hAnsi="Times New Roman"/>
                <w:sz w:val="20"/>
              </w:rPr>
              <w:t>Entity, Label, Confidence, Context</w:t>
            </w:r>
          </w:p>
        </w:tc>
      </w:tr>
      <w:tr>
        <w:tc>
          <w:tcPr>
            <w:tcW w:type="dxa" w:w="4320"/>
          </w:tcPr>
          <w:p>
            <w:r/>
            <w:r>
              <w:rPr>
                <w:rFonts w:ascii="Times New Roman" w:hAnsi="Times New Roman"/>
                <w:sz w:val="20"/>
              </w:rPr>
              <w:t>concepts</w:t>
            </w:r>
          </w:p>
        </w:tc>
        <w:tc>
          <w:tcPr>
            <w:tcW w:type="dxa" w:w="4320"/>
          </w:tcPr>
          <w:p>
            <w:r/>
            <w:r>
              <w:rPr>
                <w:rFonts w:ascii="Times New Roman" w:hAnsi="Times New Roman"/>
                <w:sz w:val="20"/>
              </w:rPr>
              <w:t>Concept, Type, Importance, Relevance Score, Theme/Cluster, Frequency, Related Entities, Description</w:t>
            </w:r>
          </w:p>
        </w:tc>
      </w:tr>
      <w:tr>
        <w:tc>
          <w:tcPr>
            <w:tcW w:type="dxa" w:w="4320"/>
          </w:tcPr>
          <w:p>
            <w:r/>
            <w:r>
              <w:rPr>
                <w:rFonts w:ascii="Times New Roman" w:hAnsi="Times New Roman"/>
                <w:sz w:val="20"/>
              </w:rPr>
              <w:t>structured</w:t>
            </w:r>
          </w:p>
        </w:tc>
        <w:tc>
          <w:tcPr>
            <w:tcW w:type="dxa" w:w="4320"/>
          </w:tcPr>
          <w:p>
            <w:r/>
            <w:r>
              <w:rPr>
                <w:rFonts w:ascii="Times New Roman" w:hAnsi="Times New Roman"/>
                <w:sz w:val="20"/>
              </w:rPr>
              <w:t>Type, Value, Detail, Context</w:t>
            </w:r>
          </w:p>
        </w:tc>
      </w:tr>
      <w:tr>
        <w:tc>
          <w:tcPr>
            <w:tcW w:type="dxa" w:w="4320"/>
          </w:tcPr>
          <w:p>
            <w:r/>
            <w:r>
              <w:rPr>
                <w:rFonts w:ascii="Times New Roman" w:hAnsi="Times New Roman"/>
                <w:sz w:val="20"/>
              </w:rPr>
              <w:t>variables</w:t>
            </w:r>
          </w:p>
        </w:tc>
        <w:tc>
          <w:tcPr>
            <w:tcW w:type="dxa" w:w="4320"/>
          </w:tcPr>
          <w:p>
            <w:r/>
            <w:r>
              <w:rPr>
                <w:rFonts w:ascii="Times New Roman" w:hAnsi="Times New Roman"/>
                <w:sz w:val="20"/>
              </w:rPr>
              <w:t>Variable/Parameter, Value, Type, Context</w:t>
            </w:r>
          </w:p>
        </w:tc>
      </w:tr>
      <w:tr>
        <w:tc>
          <w:tcPr>
            <w:tcW w:type="dxa" w:w="4320"/>
          </w:tcPr>
          <w:p>
            <w:r/>
            <w:r>
              <w:rPr>
                <w:rFonts w:ascii="Times New Roman" w:hAnsi="Times New Roman"/>
                <w:sz w:val="20"/>
              </w:rPr>
              <w:t>relationships</w:t>
            </w:r>
          </w:p>
        </w:tc>
        <w:tc>
          <w:tcPr>
            <w:tcW w:type="dxa" w:w="4320"/>
          </w:tcPr>
          <w:p>
            <w:r/>
            <w:r>
              <w:rPr>
                <w:rFonts w:ascii="Times New Roman" w:hAnsi="Times New Roman"/>
                <w:sz w:val="20"/>
              </w:rPr>
              <w:t>Subject, Relationship, Object, Rel. Type, Confidence, Source Sentence, Hallucination Risk</w:t>
            </w:r>
          </w:p>
        </w:tc>
      </w:tr>
      <w:tr>
        <w:tc>
          <w:tcPr>
            <w:tcW w:type="dxa" w:w="4320"/>
          </w:tcPr>
          <w:p>
            <w:r/>
            <w:r>
              <w:rPr>
                <w:rFonts w:ascii="Times New Roman" w:hAnsi="Times New Roman"/>
                <w:sz w:val="20"/>
              </w:rPr>
              <w:t>problems</w:t>
            </w:r>
          </w:p>
        </w:tc>
        <w:tc>
          <w:tcPr>
            <w:tcW w:type="dxa" w:w="4320"/>
          </w:tcPr>
          <w:p>
            <w:r/>
            <w:r>
              <w:rPr>
                <w:rFonts w:ascii="Times New Roman" w:hAnsi="Times New Roman"/>
                <w:sz w:val="20"/>
              </w:rPr>
              <w:t>Problem Type, Object, Affected Entities, Subject, Relationship, Severity, Root Causes, Source Sentence</w:t>
            </w:r>
          </w:p>
        </w:tc>
      </w:tr>
      <w:tr>
        <w:tc>
          <w:tcPr>
            <w:tcW w:type="dxa" w:w="4320"/>
          </w:tcPr>
          <w:p>
            <w:r/>
            <w:r>
              <w:rPr>
                <w:rFonts w:ascii="Times New Roman" w:hAnsi="Times New Roman"/>
                <w:sz w:val="20"/>
              </w:rPr>
              <w:t>dependencies</w:t>
            </w:r>
          </w:p>
        </w:tc>
        <w:tc>
          <w:tcPr>
            <w:tcW w:type="dxa" w:w="4320"/>
          </w:tcPr>
          <w:p>
            <w:r/>
            <w:r>
              <w:rPr>
                <w:rFonts w:ascii="Times New Roman" w:hAnsi="Times New Roman"/>
                <w:sz w:val="20"/>
              </w:rPr>
              <w:t>Node, Depends On, Direct Deps, Total (incl. indirect), Strength, Circular?</w:t>
            </w:r>
          </w:p>
        </w:tc>
      </w:tr>
      <w:tr>
        <w:tc>
          <w:tcPr>
            <w:tcW w:type="dxa" w:w="4320"/>
          </w:tcPr>
          <w:p>
            <w:r/>
            <w:r>
              <w:rPr>
                <w:rFonts w:ascii="Times New Roman" w:hAnsi="Times New Roman"/>
                <w:sz w:val="20"/>
              </w:rPr>
              <w:t>causal_chains</w:t>
            </w:r>
          </w:p>
        </w:tc>
        <w:tc>
          <w:tcPr>
            <w:tcW w:type="dxa" w:w="4320"/>
          </w:tcPr>
          <w:p>
            <w:r/>
            <w:r>
              <w:rPr>
                <w:rFonts w:ascii="Times New Roman" w:hAnsi="Times New Roman"/>
                <w:sz w:val="20"/>
              </w:rPr>
              <w:t>Causal Chain, Length, Root Cause, Final Outcome, Avg Confidence</w:t>
            </w:r>
          </w:p>
        </w:tc>
      </w:tr>
      <w:tr>
        <w:tc>
          <w:tcPr>
            <w:tcW w:type="dxa" w:w="4320"/>
          </w:tcPr>
          <w:p>
            <w:r/>
            <w:r>
              <w:rPr>
                <w:rFonts w:ascii="Times New Roman" w:hAnsi="Times New Roman"/>
                <w:sz w:val="20"/>
              </w:rPr>
              <w:t>contradictions</w:t>
            </w:r>
          </w:p>
        </w:tc>
        <w:tc>
          <w:tcPr>
            <w:tcW w:type="dxa" w:w="4320"/>
          </w:tcPr>
          <w:p>
            <w:r/>
            <w:r>
              <w:rPr>
                <w:rFonts w:ascii="Times New Roman" w:hAnsi="Times New Roman"/>
                <w:sz w:val="20"/>
              </w:rPr>
              <w:t>Statement A, Statement B, Conflict Type, Severity</w:t>
            </w:r>
          </w:p>
        </w:tc>
      </w:tr>
      <w:tr>
        <w:tc>
          <w:tcPr>
            <w:tcW w:type="dxa" w:w="4320"/>
          </w:tcPr>
          <w:p>
            <w:r/>
            <w:r>
              <w:rPr>
                <w:rFonts w:ascii="Times New Roman" w:hAnsi="Times New Roman"/>
                <w:sz w:val="20"/>
              </w:rPr>
              <w:t>assumptions</w:t>
            </w:r>
          </w:p>
        </w:tc>
        <w:tc>
          <w:tcPr>
            <w:tcW w:type="dxa" w:w="4320"/>
          </w:tcPr>
          <w:p>
            <w:r/>
            <w:r>
              <w:rPr>
                <w:rFonts w:ascii="Times New Roman" w:hAnsi="Times New Roman"/>
                <w:sz w:val="20"/>
              </w:rPr>
              <w:t>Assumption, Type, Marker, Confidence, Impact if False</w:t>
            </w:r>
          </w:p>
        </w:tc>
      </w:tr>
      <w:tr>
        <w:tc>
          <w:tcPr>
            <w:tcW w:type="dxa" w:w="4320"/>
          </w:tcPr>
          <w:p>
            <w:r/>
            <w:r>
              <w:rPr>
                <w:rFonts w:ascii="Times New Roman" w:hAnsi="Times New Roman"/>
                <w:sz w:val="20"/>
              </w:rPr>
              <w:t>insights</w:t>
            </w:r>
          </w:p>
        </w:tc>
        <w:tc>
          <w:tcPr>
            <w:tcW w:type="dxa" w:w="4320"/>
          </w:tcPr>
          <w:p>
            <w:r/>
            <w:r>
              <w:rPr>
                <w:rFonts w:ascii="Times New Roman" w:hAnsi="Times New Roman"/>
                <w:sz w:val="20"/>
              </w:rPr>
              <w:t>Category, Finding</w:t>
            </w:r>
          </w:p>
        </w:tc>
      </w:tr>
      <w:tr>
        <w:tc>
          <w:tcPr>
            <w:tcW w:type="dxa" w:w="4320"/>
          </w:tcPr>
          <w:p>
            <w:r/>
            <w:r>
              <w:rPr>
                <w:rFonts w:ascii="Times New Roman" w:hAnsi="Times New Roman"/>
                <w:sz w:val="20"/>
              </w:rPr>
              <w:t>graph</w:t>
            </w:r>
          </w:p>
        </w:tc>
        <w:tc>
          <w:tcPr>
            <w:tcW w:type="dxa" w:w="4320"/>
          </w:tcPr>
          <w:p>
            <w:r/>
            <w:r>
              <w:rPr>
                <w:rFonts w:ascii="Times New Roman" w:hAnsi="Times New Roman"/>
                <w:sz w:val="20"/>
              </w:rPr>
              <w:t>nodes[] (id, label, type, size, centrality, betweenness, influence, group), edges[] (from, to, label, rtype, sentence, problem, inferred, weight), stats</w:t>
            </w:r>
          </w:p>
        </w:tc>
      </w:tr>
      <w:tr>
        <w:tc>
          <w:tcPr>
            <w:tcW w:type="dxa" w:w="4320"/>
          </w:tcPr>
          <w:p>
            <w:r/>
            <w:r>
              <w:rPr>
                <w:rFonts w:ascii="Times New Roman" w:hAnsi="Times New Roman"/>
                <w:sz w:val="20"/>
              </w:rPr>
              <w:t>summary</w:t>
            </w:r>
          </w:p>
        </w:tc>
        <w:tc>
          <w:tcPr>
            <w:tcW w:type="dxa" w:w="4320"/>
          </w:tcPr>
          <w:p>
            <w:r/>
            <w:r>
              <w:rPr>
                <w:rFonts w:ascii="Times New Roman" w:hAnsi="Times New Roman"/>
                <w:sz w:val="20"/>
              </w:rPr>
              <w:t>Per-category counts and model identifiers</w:t>
            </w:r>
          </w:p>
        </w:tc>
      </w:tr>
    </w:tbl>
    <w:p>
      <w:pPr>
        <w:spacing w:after="40"/>
      </w:pPr>
    </w:p>
    <w:p>
      <w:pPr>
        <w:pStyle w:val="Heading1"/>
      </w:pPr>
      <w:r>
        <w:t>Appendix B: Reproducibility Environment</w:t>
      </w:r>
    </w:p>
    <w:p>
      <w:pPr>
        <w:spacing w:after="120"/>
      </w:pPr>
      <w:r>
        <w:rPr>
          <w:i w:val="0"/>
        </w:rPr>
        <w:t>The pipeline was implemented and the case study in Section 6 was produced using the Python package versions (minimum bounds) listed below. Exact pinned versions used for the final submitted case-study run should be recorded via 'pip freeze' at the time that run is executed.</w:t>
      </w:r>
    </w:p>
    <w:p>
      <w:pPr>
        <w:pStyle w:val="ListBullet"/>
        <w:spacing w:line="276" w:lineRule="auto" w:after="80"/>
      </w:pPr>
      <w:r>
        <w:t>flask&gt;=3.0.0</w:t>
      </w:r>
    </w:p>
    <w:p>
      <w:pPr>
        <w:pStyle w:val="ListBullet"/>
        <w:spacing w:line="276" w:lineRule="auto" w:after="80"/>
      </w:pPr>
      <w:r>
        <w:t>spacy&gt;=3.7.0 (model: en_core_web_lg)</w:t>
      </w:r>
    </w:p>
    <w:p>
      <w:pPr>
        <w:pStyle w:val="ListBullet"/>
        <w:spacing w:line="276" w:lineRule="auto" w:after="80"/>
      </w:pPr>
      <w:r>
        <w:t>keybert&gt;=0.8.0</w:t>
      </w:r>
    </w:p>
    <w:p>
      <w:pPr>
        <w:pStyle w:val="ListBullet"/>
        <w:spacing w:line="276" w:lineRule="auto" w:after="80"/>
      </w:pPr>
      <w:r>
        <w:t>sentence-transformers&gt;=2.2.0</w:t>
      </w:r>
    </w:p>
    <w:p>
      <w:pPr>
        <w:pStyle w:val="ListBullet"/>
        <w:spacing w:line="276" w:lineRule="auto" w:after="80"/>
      </w:pPr>
      <w:r>
        <w:t>markitdown[all]&gt;=0.0.2</w:t>
      </w:r>
    </w:p>
    <w:p>
      <w:pPr>
        <w:pStyle w:val="ListBullet"/>
        <w:spacing w:line="276" w:lineRule="auto" w:after="80"/>
      </w:pPr>
      <w:r>
        <w:t>gliner&gt;=0.2.0 (model: urchade/gliner_small-v2.1)</w:t>
      </w:r>
    </w:p>
    <w:p>
      <w:pPr>
        <w:pStyle w:val="ListBullet"/>
        <w:spacing w:line="276" w:lineRule="auto" w:after="80"/>
      </w:pPr>
      <w:r>
        <w:t>phonenumbers&gt;=9.0.0</w:t>
      </w:r>
    </w:p>
    <w:p>
      <w:pPr>
        <w:pStyle w:val="ListBullet"/>
        <w:spacing w:line="276" w:lineRule="auto" w:after="80"/>
      </w:pPr>
      <w:r>
        <w:t>tldextract&gt;=5.0.0</w:t>
      </w:r>
    </w:p>
    <w:p>
      <w:pPr>
        <w:pStyle w:val="ListBullet"/>
        <w:spacing w:line="276" w:lineRule="auto" w:after="80"/>
      </w:pPr>
      <w:r>
        <w:t>quantulum3&gt;=0.10.0</w:t>
      </w:r>
    </w:p>
    <w:p>
      <w:pPr>
        <w:pStyle w:val="ListBullet"/>
        <w:spacing w:line="276" w:lineRule="auto" w:after="80"/>
      </w:pPr>
      <w:r>
        <w:t>dateparser&gt;=1.2.0</w:t>
      </w:r>
    </w:p>
    <w:p>
      <w:pPr>
        <w:pStyle w:val="ListBullet"/>
        <w:spacing w:line="276" w:lineRule="auto" w:after="80"/>
      </w:pPr>
      <w:r>
        <w:t>price-parser&gt;=0.3.0</w:t>
      </w:r>
    </w:p>
    <w:p>
      <w:pPr>
        <w:pStyle w:val="ListBullet"/>
        <w:spacing w:line="276" w:lineRule="auto" w:after="80"/>
      </w:pPr>
      <w:r>
        <w:t>validators&gt;=0.30.0</w:t>
      </w:r>
    </w:p>
    <w:p>
      <w:pPr>
        <w:pStyle w:val="ListBullet"/>
        <w:spacing w:line="276" w:lineRule="auto" w:after="80"/>
      </w:pPr>
      <w:r>
        <w:t>scikit-learn&gt;=1.3.0</w:t>
      </w:r>
    </w:p>
    <w:p>
      <w:pPr>
        <w:pStyle w:val="ListBullet"/>
        <w:spacing w:line="276" w:lineRule="auto" w:after="80"/>
      </w:pPr>
      <w:r>
        <w:t>pdfplumber&gt;=0.10.0</w:t>
      </w:r>
    </w:p>
    <w:p>
      <w:pPr>
        <w:pStyle w:val="ListBullet"/>
        <w:spacing w:line="276" w:lineRule="auto" w:after="80"/>
      </w:pPr>
      <w:r>
        <w:t>python-docx&gt;=1.1.0</w:t>
      </w:r>
    </w:p>
    <w:p>
      <w:pPr>
        <w:pStyle w:val="ListBullet"/>
        <w:spacing w:line="276" w:lineRule="auto" w:after="80"/>
      </w:pPr>
      <w:r>
        <w:t>pandas&gt;=2.0.0</w:t>
      </w:r>
    </w:p>
    <w:p>
      <w:pPr>
        <w:pStyle w:val="ListBullet"/>
        <w:spacing w:line="276" w:lineRule="auto" w:after="80"/>
      </w:pPr>
      <w:r>
        <w:t>openpyxl&gt;=3.1.0</w:t>
      </w:r>
    </w:p>
    <w:p>
      <w:pPr>
        <w:pStyle w:val="ListBullet"/>
        <w:spacing w:line="276" w:lineRule="auto" w:after="80"/>
      </w:pPr>
      <w:r>
        <w:t>networkx&gt;=3.0</w:t>
      </w:r>
    </w:p>
    <w:p>
      <w:pPr>
        <w:pStyle w:val="ListBullet"/>
        <w:spacing w:line="276" w:lineRule="auto" w:after="80"/>
      </w:pPr>
      <w:r>
        <w:t>nltk&gt;=3.8.0</w:t>
      </w:r>
    </w:p>
    <w:p>
      <w:pPr>
        <w:pStyle w:val="ListBullet"/>
        <w:spacing w:line="276" w:lineRule="auto" w:after="80"/>
      </w:pPr>
      <w:r>
        <w:t>numpy&gt;=1.24.0</w:t>
      </w:r>
    </w:p>
    <w:p>
      <w:pPr>
        <w:pStyle w:val="ListBullet"/>
        <w:spacing w:line="276" w:lineRule="auto" w:after="80"/>
      </w:pPr>
      <w:r>
        <w:t>ftfy&gt;=6.0.0</w:t>
      </w:r>
    </w:p>
    <w:p>
      <w:pPr>
        <w:pStyle w:val="ListBullet"/>
        <w:spacing w:line="276" w:lineRule="auto" w:after="80"/>
      </w:pPr>
      <w:r>
        <w:t>anthropic&gt;=0.40.0 (optional, disclosed enrichment step only)</w:t>
      </w:r>
    </w:p>
    <w:p>
      <w:pPr>
        <w:pStyle w:val="ListBullet"/>
        <w:spacing w:line="276" w:lineRule="auto" w:after="80"/>
      </w:pPr>
      <w:r>
        <w:t>rank-bm25&gt;=0.2.2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Theme="majorHAnsi" w:eastAsiaTheme="majorEastAsia" w:hAnsiTheme="majorHAnsi" w:cstheme="majorBidi" w:ascii="Times New Roman" w:hAnsi="Times New Roman"/>
      <w:b/>
      <w:bCs/>
      <w:i w:val="0"/>
      <w:sz w:val="28"/>
      <w:szCs w:val="28"/>
      <w:color w:val="000000"/>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Times New Roman" w:hAnsi="Times New Roman"/>
      <w:b/>
      <w:bCs/>
      <w:i w:val="0"/>
      <w:sz w:val="26"/>
      <w:szCs w:val="26"/>
      <w:color w:val="000000"/>
    </w:rPr>
  </w:style>
  <w:style w:type="paragraph" w:styleId="Heading3">
    <w:name w:val="heading 3"/>
    <w:basedOn w:val="Normal"/>
    <w:next w:val="Normal"/>
    <w:link w:val="Heading3Char"/>
    <w:uiPriority w:val="9"/>
    <w:unhideWhenUsed/>
    <w:qFormat/>
    <w:rsid w:val="00FC693F"/>
    <w:pPr>
      <w:keepNext/>
      <w:keepLines/>
      <w:spacing w:before="360" w:after="120" w:line="240" w:lineRule="auto"/>
      <w:outlineLvl w:val="2"/>
    </w:pPr>
    <w:rPr>
      <w:rFonts w:asciiTheme="majorHAnsi" w:eastAsiaTheme="majorEastAsia" w:hAnsiTheme="majorHAnsi" w:cstheme="majorBidi" w:ascii="Times New Roman" w:hAnsi="Times New Roman"/>
      <w:b/>
      <w:bCs/>
      <w:i/>
      <w:sz w:val="24"/>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