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60"/>
      </w:pPr>
      <w:r>
        <w:rPr>
          <w:rFonts w:ascii="Cambria" w:cs="Cambria" w:eastAsia="Cambria" w:hAnsi="Cambria"/>
          <w:b/>
          <w:bCs/>
          <w:color w:val="0E2340"/>
          <w:sz w:val="68"/>
          <w:szCs w:val="68"/>
        </w:rPr>
        <w:t xml:space="preserve">MoolyaAura</w:t>
      </w:r>
    </w:p>
    <w:p>
      <w:pPr>
        <w:spacing w:after="200"/>
      </w:pPr>
      <w:r>
        <w:rPr>
          <w:rFonts w:ascii="Cambria" w:cs="Cambria" w:eastAsia="Cambria" w:hAnsi="Cambria"/>
          <w:color w:val="00786D"/>
          <w:sz w:val="34"/>
          <w:szCs w:val="34"/>
        </w:rPr>
        <w:t xml:space="preserve">Intelligent Test Automation Platform</w:t>
      </w:r>
    </w:p>
    <w:p>
      <w:pPr>
        <w:spacing w:after="420"/>
      </w:pPr>
      <w:r>
        <w:rPr>
          <w:rFonts w:ascii="Calibri" w:cs="Calibri" w:eastAsia="Calibri" w:hAnsi="Calibri"/>
          <w:b/>
          <w:bCs/>
          <w:color w:val="46586C"/>
          <w:spacing w:val="20"/>
          <w:sz w:val="19"/>
          <w:szCs w:val="19"/>
        </w:rPr>
        <w:t xml:space="preserve">RECORD ONCE   •   REUSE EVERYWHERE   •   VALIDATE BEFORE PROMOTION</w:t>
      </w:r>
    </w:p>
    <w:tbl>
      <w:tblPr>
        <w:tblW w:type="dxa" w:w="9360"/>
        <w:tblBorders>
          <w:top w:val="single" w:color="00A896" w:sz="4"/>
          <w:left w:val="single" w:color="00A896" w:sz="4"/>
          <w:bottom w:val="single" w:color="00A896" w:sz="4"/>
          <w:right w:val="single" w:color="00A896" w:sz="4"/>
          <w:insideH w:val="single" w:color="auto" w:sz="4"/>
          <w:insideV w:val="single" w:color="auto" w:sz="4"/>
        </w:tblBorders>
      </w:tblPr>
      <w:tblGrid>
        <w:gridCol w:w="9360"/>
      </w:tblGrid>
      <w:tr>
        <w:tc>
          <w:tcPr>
            <w:tcW w:type="dxa" w:w="9360"/>
            <w:shd w:fill="E6F6F3" w:color="auto" w:val="clear"/>
            <w:tcMar>
              <w:top w:type="dxa" w:w="160"/>
              <w:left w:type="dxa" w:w="200"/>
              <w:bottom w:type="dxa" w:w="160"/>
              <w:right w:type="dxa" w:w="200"/>
            </w:tcMar>
          </w:tcPr>
          <w:p>
            <w:pPr>
              <w:spacing w:after="100" w:before="0" w:line="280"/>
            </w:pPr>
            <w:r>
              <w:rPr>
                <w:rFonts w:ascii="Cambria" w:cs="Cambria" w:eastAsia="Cambria" w:hAnsi="Cambria"/>
                <w:b/>
                <w:bCs/>
                <w:i w:val="false"/>
                <w:iCs w:val="false"/>
                <w:caps w:val="false"/>
                <w:color w:val="0E2340"/>
                <w:sz w:val="26"/>
                <w:szCs w:val="26"/>
              </w:rPr>
              <w:t xml:space="preserve">A deterministic-first, evidence-driven test automation platform with controlled AI escalation.</w:t>
            </w:r>
          </w:p>
          <w:p>
            <w:pPr>
              <w:spacing w:after="0" w:before="0" w:line="280"/>
            </w:pPr>
            <w:r>
              <w:rPr>
                <w:rFonts w:ascii="Calibri" w:cs="Calibri" w:eastAsia="Calibri" w:hAnsi="Calibri"/>
                <w:b w:val="false"/>
                <w:bCs w:val="false"/>
                <w:i/>
                <w:iCs/>
                <w:caps w:val="false"/>
                <w:color w:val="00786D"/>
                <w:sz w:val="22"/>
                <w:szCs w:val="22"/>
              </w:rPr>
              <w:t xml:space="preserve">We don’t use AI because we can. We use AI only when we need it.</w:t>
            </w:r>
          </w:p>
        </w:tc>
      </w:tr>
    </w:tbl>
    <w:p>
      <w:pPr>
        <w:spacing w:after="700"/>
      </w:pPr>
    </w:p>
    <w:p>
      <w:pPr>
        <w:spacing w:after="60" w:before="0" w:line="280"/>
      </w:pPr>
      <w:r>
        <w:rPr>
          <w:rFonts w:ascii="Calibri" w:cs="Calibri" w:eastAsia="Calibri" w:hAnsi="Calibri"/>
          <w:b/>
          <w:bCs/>
          <w:i w:val="false"/>
          <w:iCs w:val="false"/>
          <w:caps w:val="false"/>
          <w:color w:val="0E2340"/>
          <w:sz w:val="22"/>
          <w:szCs w:val="22"/>
        </w:rPr>
        <w:t xml:space="preserve">Client Architecture &amp; Value Overview</w:t>
      </w:r>
    </w:p>
    <w:p>
      <w:pPr>
        <w:spacing w:after="60" w:before="0" w:line="280"/>
      </w:pPr>
      <w:r>
        <w:rPr>
          <w:rFonts w:ascii="Calibri" w:cs="Calibri" w:eastAsia="Calibri" w:hAnsi="Calibri"/>
          <w:b w:val="false"/>
          <w:bCs w:val="false"/>
          <w:i w:val="false"/>
          <w:iCs w:val="false"/>
          <w:caps w:val="false"/>
          <w:color w:val="46586C"/>
          <w:sz w:val="20"/>
          <w:szCs w:val="20"/>
        </w:rPr>
        <w:t xml:space="preserve">Prepared by Moolya  •  24 August 2026</w:t>
      </w:r>
    </w:p>
    <w:p>
      <w:pPr>
        <w:spacing w:after="0" w:before="0" w:line="280"/>
      </w:pPr>
      <w:r>
        <w:rPr>
          <w:rFonts w:ascii="Calibri" w:cs="Calibri" w:eastAsia="Calibri" w:hAnsi="Calibri"/>
          <w:b w:val="false"/>
          <w:bCs w:val="false"/>
          <w:i/>
          <w:iCs/>
          <w:caps w:val="false"/>
          <w:color w:val="46586C"/>
          <w:sz w:val="18"/>
          <w:szCs w:val="18"/>
        </w:rPr>
        <w:t xml:space="preserve">Status of all figures: current verified measurements taken from the MoolyaAura project. Bracketed values are placeholders to be completed from an agreed client baseline.</w:t>
      </w:r>
    </w:p>
    <w:p>
      <w:r>
        <w:br w:type="page"/>
      </w:r>
    </w:p>
    <w:p>
      <w:pPr>
        <w:pStyle w:val="Heading1"/>
        <w:spacing w:after="150" w:before="340"/>
      </w:pPr>
      <w:r>
        <w:rPr>
          <w:rFonts w:ascii="Cambria" w:cs="Cambria" w:eastAsia="Cambria" w:hAnsi="Cambria"/>
          <w:b/>
          <w:bCs/>
          <w:color w:val="0E2340"/>
          <w:sz w:val="30"/>
          <w:szCs w:val="30"/>
        </w:rPr>
        <w:t xml:space="preserve">1.  Executive Summary</w:t>
      </w:r>
    </w:p>
    <w:p>
      <w:pPr>
        <w:spacing w:after="140" w:before="0" w:line="280"/>
      </w:pPr>
      <w:r>
        <w:rPr>
          <w:rFonts w:ascii="Calibri" w:cs="Calibri" w:eastAsia="Calibri" w:hAnsi="Calibri"/>
          <w:b w:val="false"/>
          <w:bCs w:val="false"/>
          <w:i w:val="false"/>
          <w:iCs w:val="false"/>
          <w:caps w:val="false"/>
          <w:color w:val="2A3948"/>
          <w:sz w:val="21"/>
          <w:szCs w:val="21"/>
        </w:rPr>
        <w:t xml:space="preserve">MoolyaAura converts a real browser interaction into governed, maintainable test automation. A tester performs the journey once; the platform records what the browser actually showed at each step, reuses automation the project already owns, assembles a readable test, proves that test is capable of failing, runs it against the live application, and only then allows it to be promoted into the automated suite.</w:t>
      </w:r>
    </w:p>
    <w:p>
      <w:pPr>
        <w:spacing w:after="140" w:before="0" w:line="280"/>
      </w:pPr>
      <w:r>
        <w:rPr>
          <w:rFonts w:ascii="Calibri" w:cs="Calibri" w:eastAsia="Calibri" w:hAnsi="Calibri"/>
          <w:b w:val="false"/>
          <w:bCs w:val="false"/>
          <w:i w:val="false"/>
          <w:iCs w:val="false"/>
          <w:caps w:val="false"/>
          <w:color w:val="2A3948"/>
          <w:sz w:val="21"/>
          <w:szCs w:val="21"/>
        </w:rPr>
        <w:t xml:space="preserve">The platform is deterministic-first. "Deterministic" simply means it follows predefined, predictable rules rather than asking AI to make every decision. Reusing an existing automation capability, understanding an element from its surrounding user interface, and confirming identity against what the browser was observed to show are all rule-based mechanisms. AI is reserved as an escalation path for a small subset of cases where a question of meaning or ownership remains genuinely open — and any AI answer is re-checked by exactly the same rules that would have applied without it.</w:t>
      </w:r>
    </w:p>
    <w:p>
      <w:pPr>
        <w:spacing w:after="140" w:before="0" w:line="280"/>
      </w:pPr>
      <w:r>
        <w:rPr>
          <w:rFonts w:ascii="Calibri" w:cs="Calibri" w:eastAsia="Calibri" w:hAnsi="Calibri"/>
          <w:b w:val="false"/>
          <w:bCs w:val="false"/>
          <w:i w:val="false"/>
          <w:iCs w:val="false"/>
          <w:caps w:val="false"/>
          <w:color w:val="2A3948"/>
          <w:sz w:val="21"/>
          <w:szCs w:val="21"/>
        </w:rPr>
        <w:t xml:space="preserve">This matters commercially for three reasons. Automation is created faster because the journey is recorded rather than hand-written. Maintenance falls because reusable capabilities are preferred over new code, so one interface change is corrected in one place. And AI spend stays small and predictable, because AI is a narrow escalation layer rather than the engine.</w:t>
      </w:r>
    </w:p>
    <w:tbl>
      <w:tblPr>
        <w:tblW w:type="dxa" w:w="9360"/>
        <w:tblBorders>
          <w:top w:val="single" w:color="00786D" w:sz="4"/>
          <w:left w:val="single" w:color="00786D" w:sz="4"/>
          <w:bottom w:val="single" w:color="00786D" w:sz="4"/>
          <w:right w:val="single" w:color="00786D" w:sz="4"/>
          <w:insideH w:val="single" w:color="auto" w:sz="4"/>
          <w:insideV w:val="single" w:color="auto" w:sz="4"/>
        </w:tblBorders>
      </w:tblPr>
      <w:tblGrid>
        <w:gridCol w:w="9360"/>
      </w:tblGrid>
      <w:tr>
        <w:tc>
          <w:tcPr>
            <w:tcW w:type="dxa" w:w="9360"/>
            <w:shd w:fill="E6F6F3" w:color="auto" w:val="clear"/>
            <w:tcMar>
              <w:top w:type="dxa" w:w="160"/>
              <w:left w:type="dxa" w:w="200"/>
              <w:bottom w:type="dxa" w:w="160"/>
              <w:right w:type="dxa" w:w="200"/>
            </w:tcMar>
          </w:tcPr>
          <w:p>
            <w:pPr>
              <w:spacing w:after="70"/>
            </w:pPr>
            <w:r>
              <w:rPr>
                <w:rFonts w:ascii="Calibri" w:cs="Calibri" w:eastAsia="Calibri" w:hAnsi="Calibri"/>
                <w:b/>
                <w:bCs/>
                <w:caps/>
                <w:color w:val="00786D"/>
                <w:spacing w:val="12"/>
                <w:sz w:val="20"/>
                <w:szCs w:val="20"/>
              </w:rPr>
              <w:t xml:space="preserve">The safety principle</w:t>
            </w:r>
          </w:p>
          <w:p>
            <w:pPr>
              <w:spacing w:after="80" w:before="0" w:line="280"/>
            </w:pPr>
            <w:r>
              <w:rPr>
                <w:rFonts w:ascii="Calibri" w:cs="Calibri" w:eastAsia="Calibri" w:hAnsi="Calibri"/>
                <w:b/>
                <w:bCs/>
                <w:i w:val="false"/>
                <w:iCs w:val="false"/>
                <w:caps w:val="false"/>
                <w:color w:val="2A3948"/>
                <w:sz w:val="22"/>
                <w:szCs w:val="22"/>
              </w:rPr>
              <w:t xml:space="preserve">If the platform cannot sufficiently prove which element a test intended to act on, it does not guess. It stops and routes the case for review.</w:t>
            </w:r>
          </w:p>
          <w:p>
            <w:pPr>
              <w:spacing w:after="0" w:before="0" w:line="280"/>
            </w:pPr>
            <w:r>
              <w:rPr>
                <w:rFonts w:ascii="Calibri" w:cs="Calibri" w:eastAsia="Calibri" w:hAnsi="Calibri"/>
                <w:b w:val="false"/>
                <w:bCs w:val="false"/>
                <w:i w:val="false"/>
                <w:iCs w:val="false"/>
                <w:caps w:val="false"/>
                <w:color w:val="2A3948"/>
                <w:sz w:val="21"/>
                <w:szCs w:val="21"/>
              </w:rPr>
              <w:t xml:space="preserve">A test that quietly interacts with the wrong element is far more expensive than a case that asks for five minutes of a tester’s attention. This behaviour is a reliability and governance feature, not a limitation.</w:t>
            </w:r>
          </w:p>
        </w:tc>
      </w:tr>
    </w:tbl>
    <w:p>
      <w:pPr>
        <w:pStyle w:val="Heading1"/>
        <w:spacing w:after="150" w:before="340"/>
      </w:pPr>
      <w:r>
        <w:rPr>
          <w:rFonts w:ascii="Cambria" w:cs="Cambria" w:eastAsia="Cambria" w:hAnsi="Cambria"/>
          <w:b/>
          <w:bCs/>
          <w:color w:val="0E2340"/>
          <w:sz w:val="30"/>
          <w:szCs w:val="30"/>
        </w:rPr>
        <w:t xml:space="preserve">2.  The Business Problem</w:t>
      </w:r>
    </w:p>
    <w:p>
      <w:pPr>
        <w:spacing w:after="140" w:before="0" w:line="280"/>
      </w:pPr>
      <w:r>
        <w:rPr>
          <w:rFonts w:ascii="Calibri" w:cs="Calibri" w:eastAsia="Calibri" w:hAnsi="Calibri"/>
          <w:b w:val="false"/>
          <w:bCs w:val="false"/>
          <w:i w:val="false"/>
          <w:iCs w:val="false"/>
          <w:caps w:val="false"/>
          <w:color w:val="2A3948"/>
          <w:sz w:val="21"/>
          <w:szCs w:val="21"/>
        </w:rPr>
        <w:t xml:space="preserve">Conventional user-interface automation carries a set of costs that are widely accepted and rarely measured:</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Automation coding takes engineering time. Every scenario is hand-written, and much of that time is spent on plumbing rather than on test design.</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Element identification is repetitive. Working out how to reliably address a button, a row or a checkbox is done again and again, often by different engineers, for the same screens.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Duplicate automation increases maintenance. The same element ends up described in several places under several names, so one interface change becomes several fixes.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Interface changes create maintenance overhead. Suites decay quietly, and the cost surfaces as flaky failures close to a release.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Using AI for every decision raises cost and unpredictability. Model calls are charged per decision, and two runs of the same request can produce two different answers.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Choosing an element without sufficient evidence creates unreliable tests. A test that interacts with the wrong element can still pass, which is the most expensive failure of all because it is invisible in every report.</w:t>
      </w:r>
    </w:p>
    <w:p>
      <w:pPr>
        <w:spacing w:after="140" w:before="0" w:line="280"/>
      </w:pPr>
      <w:r>
        <w:rPr>
          <w:rFonts w:ascii="Calibri" w:cs="Calibri" w:eastAsia="Calibri" w:hAnsi="Calibri"/>
          <w:b w:val="false"/>
          <w:bCs w:val="false"/>
          <w:i w:val="false"/>
          <w:iCs w:val="false"/>
          <w:caps w:val="false"/>
          <w:color w:val="2A3948"/>
          <w:sz w:val="21"/>
          <w:szCs w:val="21"/>
        </w:rPr>
        <w:t xml:space="preserve">MoolyaAura is designed against exactly this list. Each of the six costs above maps to a specific mechanism in the platform, described in the sections that follow.</w:t>
      </w:r>
    </w:p>
    <w:p>
      <w:pPr>
        <w:pStyle w:val="Heading1"/>
        <w:spacing w:after="150" w:before="340"/>
      </w:pPr>
      <w:r>
        <w:rPr>
          <w:rFonts w:ascii="Cambria" w:cs="Cambria" w:eastAsia="Cambria" w:hAnsi="Cambria"/>
          <w:b/>
          <w:bCs/>
          <w:color w:val="0E2340"/>
          <w:sz w:val="30"/>
          <w:szCs w:val="30"/>
        </w:rPr>
        <w:t xml:space="preserve">3.  The MoolyaAura Solution</w:t>
      </w:r>
    </w:p>
    <w:p>
      <w:pPr>
        <w:spacing w:after="140" w:before="0" w:line="280"/>
      </w:pPr>
      <w:r>
        <w:rPr>
          <w:rFonts w:ascii="Calibri" w:cs="Calibri" w:eastAsia="Calibri" w:hAnsi="Calibri"/>
          <w:b w:val="false"/>
          <w:bCs w:val="false"/>
          <w:i w:val="false"/>
          <w:iCs w:val="false"/>
          <w:caps w:val="false"/>
          <w:color w:val="2A3948"/>
          <w:sz w:val="21"/>
          <w:szCs w:val="21"/>
        </w:rPr>
        <w:t xml:space="preserve">MoolyaAura is a platform, not a code generator. It is made up of four working parts:</w:t>
      </w:r>
    </w:p>
    <w:p>
      <w:pPr>
        <w:pStyle w:val="Heading2"/>
        <w:spacing w:after="110" w:before="240"/>
      </w:pPr>
      <w:r>
        <w:rPr>
          <w:rFonts w:ascii="Calibri" w:cs="Calibri" w:eastAsia="Calibri" w:hAnsi="Calibri"/>
          <w:b/>
          <w:bCs/>
          <w:color w:val="1F4370"/>
          <w:sz w:val="23"/>
          <w:szCs w:val="23"/>
        </w:rPr>
        <w:t xml:space="preserve">A control dashboard</w:t>
      </w:r>
    </w:p>
    <w:p>
      <w:pPr>
        <w:spacing w:after="140" w:before="0" w:line="280"/>
      </w:pPr>
      <w:r>
        <w:rPr>
          <w:rFonts w:ascii="Calibri" w:cs="Calibri" w:eastAsia="Calibri" w:hAnsi="Calibri"/>
          <w:b w:val="false"/>
          <w:bCs w:val="false"/>
          <w:i w:val="false"/>
          <w:iCs w:val="false"/>
          <w:caps w:val="false"/>
          <w:color w:val="2A3948"/>
          <w:sz w:val="21"/>
          <w:szCs w:val="21"/>
        </w:rPr>
        <w:t xml:space="preserve">A single place to author or import test cases, start a recording, generate, run, and read results — including per-step evidence with screenshots, video and a trace for every execution.</w:t>
      </w:r>
    </w:p>
    <w:p>
      <w:pPr>
        <w:pStyle w:val="Heading2"/>
        <w:spacing w:after="110" w:before="240"/>
      </w:pPr>
      <w:r>
        <w:rPr>
          <w:rFonts w:ascii="Calibri" w:cs="Calibri" w:eastAsia="Calibri" w:hAnsi="Calibri"/>
          <w:b/>
          <w:bCs/>
          <w:color w:val="1F4370"/>
          <w:sz w:val="23"/>
          <w:szCs w:val="23"/>
        </w:rPr>
        <w:t xml:space="preserve">A browser recorder with evidence capture</w:t>
      </w:r>
    </w:p>
    <w:p>
      <w:pPr>
        <w:spacing w:after="140" w:before="0" w:line="280"/>
      </w:pPr>
      <w:r>
        <w:rPr>
          <w:rFonts w:ascii="Calibri" w:cs="Calibri" w:eastAsia="Calibri" w:hAnsi="Calibri"/>
          <w:b w:val="false"/>
          <w:bCs w:val="false"/>
          <w:i w:val="false"/>
          <w:iCs w:val="false"/>
          <w:caps w:val="false"/>
          <w:color w:val="2A3948"/>
          <w:sz w:val="21"/>
          <w:szCs w:val="21"/>
        </w:rPr>
        <w:t xml:space="preserve">The tester performs the journey in a real browser. At the moment of each action the platform asks the browser what it actually showed — which candidate ways of addressing that element matched, how many elements each one matched, and whether the element matched was the element the tester touched. That captured information is called evidence, and it is what every later decision is judged against.</w:t>
      </w:r>
    </w:p>
    <w:p>
      <w:pPr>
        <w:pStyle w:val="Heading2"/>
        <w:spacing w:after="110" w:before="240"/>
      </w:pPr>
      <w:r>
        <w:rPr>
          <w:rFonts w:ascii="Calibri" w:cs="Calibri" w:eastAsia="Calibri" w:hAnsi="Calibri"/>
          <w:b/>
          <w:bCs/>
          <w:color w:val="1F4370"/>
          <w:sz w:val="23"/>
          <w:szCs w:val="23"/>
        </w:rPr>
        <w:t xml:space="preserve">A deterministic resolution and reuse engine</w:t>
      </w:r>
    </w:p>
    <w:p>
      <w:pPr>
        <w:spacing w:after="140" w:before="0" w:line="280"/>
      </w:pPr>
      <w:r>
        <w:rPr>
          <w:rFonts w:ascii="Calibri" w:cs="Calibri" w:eastAsia="Calibri" w:hAnsi="Calibri"/>
          <w:b w:val="false"/>
          <w:bCs w:val="false"/>
          <w:i w:val="false"/>
          <w:iCs w:val="false"/>
          <w:caps w:val="false"/>
          <w:color w:val="2A3948"/>
          <w:sz w:val="21"/>
          <w:szCs w:val="21"/>
        </w:rPr>
        <w:t xml:space="preserve">Before anything new is written, the platform looks for automation that already exists. Only when reuse is impossible does it work out identity from the captured evidence, preferring the element’s surrounding context over any positional shortcut.</w:t>
      </w:r>
    </w:p>
    <w:p>
      <w:pPr>
        <w:pStyle w:val="Heading2"/>
        <w:spacing w:after="110" w:before="240"/>
      </w:pPr>
      <w:r>
        <w:rPr>
          <w:rFonts w:ascii="Calibri" w:cs="Calibri" w:eastAsia="Calibri" w:hAnsi="Calibri"/>
          <w:b/>
          <w:bCs/>
          <w:color w:val="1F4370"/>
          <w:sz w:val="23"/>
          <w:szCs w:val="23"/>
        </w:rPr>
        <w:t xml:space="preserve">A governed promotion pipeline</w:t>
      </w:r>
    </w:p>
    <w:p>
      <w:pPr>
        <w:spacing w:after="140" w:before="0" w:line="280"/>
      </w:pPr>
      <w:r>
        <w:rPr>
          <w:rFonts w:ascii="Calibri" w:cs="Calibri" w:eastAsia="Calibri" w:hAnsi="Calibri"/>
          <w:b w:val="false"/>
          <w:bCs w:val="false"/>
          <w:i w:val="false"/>
          <w:iCs w:val="false"/>
          <w:caps w:val="false"/>
          <w:color w:val="2A3948"/>
          <w:sz w:val="21"/>
          <w:szCs w:val="21"/>
        </w:rPr>
        <w:t xml:space="preserve">A generated test is run twice — once as written, and once with its checks deliberately broken. It is kept only if it passes the first and fails the second, which proves it is actually checking something. It is then executed against the live application, and a test earns "Automated" status only from a green run.</w:t>
      </w:r>
    </w:p>
    <w:p>
      <w:pPr>
        <w:pStyle w:val="Heading1"/>
        <w:spacing w:after="150" w:before="340"/>
      </w:pPr>
      <w:r>
        <w:rPr>
          <w:rFonts w:ascii="Cambria" w:cs="Cambria" w:eastAsia="Cambria" w:hAnsi="Cambria"/>
          <w:b/>
          <w:bCs/>
          <w:color w:val="0E2340"/>
          <w:sz w:val="30"/>
          <w:szCs w:val="30"/>
        </w:rPr>
        <w:t xml:space="preserve">4.  End-to-End Workflow</w:t>
      </w:r>
    </w:p>
    <w:p>
      <w:pPr>
        <w:spacing w:after="140" w:before="0" w:line="280"/>
      </w:pPr>
      <w:r>
        <w:rPr>
          <w:rFonts w:ascii="Calibri" w:cs="Calibri" w:eastAsia="Calibri" w:hAnsi="Calibri"/>
          <w:b w:val="false"/>
          <w:bCs w:val="false"/>
          <w:i w:val="false"/>
          <w:iCs w:val="false"/>
          <w:caps w:val="false"/>
          <w:color w:val="2A3948"/>
          <w:sz w:val="21"/>
          <w:szCs w:val="21"/>
        </w:rPr>
        <w:t xml:space="preserve">Eight stages, each with its own exit condition. A case that cannot satisfy a stage does not silently continue.</w:t>
      </w:r>
    </w:p>
    <w:p>
      <w:pPr>
        <w:spacing w:after="60"/>
      </w:pPr>
    </w:p>
    <w:tbl>
      <w:tblPr>
        <w:tblW w:type="dxa" w:w="9360"/>
        <w:tblBorders>
          <w:top w:val="single" w:color="FFFFFF" w:sz="6"/>
          <w:left w:val="single" w:color="FFFFFF" w:sz="6"/>
          <w:bottom w:val="single" w:color="FFFFFF" w:sz="6"/>
          <w:right w:val="single" w:color="FFFFFF" w:sz="6"/>
          <w:insideH w:val="single" w:color="FFFFFF" w:sz="6"/>
          <w:insideV w:val="single" w:color="FFFFFF" w:sz="6"/>
        </w:tblBorders>
      </w:tblPr>
      <w:tblGrid>
        <w:gridCol w:w="620"/>
        <w:gridCol w:w="2700"/>
        <w:gridCol w:w="6040"/>
      </w:tblGrid>
      <w:tr>
        <w:tc>
          <w:tcPr>
            <w:tcW w:type="dxa" w:w="620"/>
            <w:shd w:fill="0E234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1</w:t>
            </w:r>
          </w:p>
        </w:tc>
        <w:tc>
          <w:tcPr>
            <w:tcW w:type="dxa" w:w="2700"/>
            <w:shd w:fill="0E234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Test Case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The scenario the tester already owns, written in plain business language.</w:t>
            </w:r>
          </w:p>
        </w:tc>
      </w:tr>
      <w:tr>
        <w:tc>
          <w:tcPr>
            <w:tcW w:type="dxa" w:w="620"/>
            <w:shd w:fill="0E234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2</w:t>
            </w:r>
          </w:p>
        </w:tc>
        <w:tc>
          <w:tcPr>
            <w:tcW w:type="dxa" w:w="2700"/>
            <w:shd w:fill="0E234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Record</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The tester performs the journey once in a real browser. Nothing is scripted by hand.</w:t>
            </w:r>
          </w:p>
        </w:tc>
      </w:tr>
      <w:tr>
        <w:tc>
          <w:tcPr>
            <w:tcW w:type="dxa" w:w="620"/>
            <w:shd w:fill="0E234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3</w:t>
            </w:r>
          </w:p>
        </w:tc>
        <w:tc>
          <w:tcPr>
            <w:tcW w:type="dxa" w:w="2700"/>
            <w:shd w:fill="0E234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Capture Evidence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At the moment of each action, the browser is asked what it actually showed.</w:t>
            </w:r>
          </w:p>
        </w:tc>
      </w:tr>
      <w:tr>
        <w:tc>
          <w:tcPr>
            <w:tcW w:type="dxa" w:w="620"/>
            <w:shd w:fill="00786D"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4</w:t>
            </w:r>
          </w:p>
        </w:tc>
        <w:tc>
          <w:tcPr>
            <w:tcW w:type="dxa" w:w="2700"/>
            <w:shd w:fill="00786D"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Resolve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Existing automation is reused first; identity is then established from the captured evidence.</w:t>
            </w:r>
          </w:p>
        </w:tc>
      </w:tr>
      <w:tr>
        <w:tc>
          <w:tcPr>
            <w:tcW w:type="dxa" w:w="620"/>
            <w:shd w:fill="00786D"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5</w:t>
            </w:r>
          </w:p>
        </w:tc>
        <w:tc>
          <w:tcPr>
            <w:tcW w:type="dxa" w:w="2700"/>
            <w:shd w:fill="00786D"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Generate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A readable, standards-based test is assembled — not a recording played back.</w:t>
            </w:r>
          </w:p>
        </w:tc>
      </w:tr>
      <w:tr>
        <w:tc>
          <w:tcPr>
            <w:tcW w:type="dxa" w:w="620"/>
            <w:shd w:fill="00786D"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6</w:t>
            </w:r>
          </w:p>
        </w:tc>
        <w:tc>
          <w:tcPr>
            <w:tcW w:type="dxa" w:w="2700"/>
            <w:shd w:fill="00786D"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Validate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The test must pass as written and fail when its checks are deliberately broken.</w:t>
            </w:r>
          </w:p>
        </w:tc>
      </w:tr>
      <w:tr>
        <w:tc>
          <w:tcPr>
            <w:tcW w:type="dxa" w:w="620"/>
            <w:shd w:fill="1F437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7</w:t>
            </w:r>
          </w:p>
        </w:tc>
        <w:tc>
          <w:tcPr>
            <w:tcW w:type="dxa" w:w="2700"/>
            <w:shd w:fill="1F437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Execute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It runs against the live application with screenshots, video and a trace.</w:t>
            </w:r>
          </w:p>
        </w:tc>
      </w:tr>
      <w:tr>
        <w:tc>
          <w:tcPr>
            <w:tcW w:type="dxa" w:w="620"/>
            <w:shd w:fill="1F437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8</w:t>
            </w:r>
          </w:p>
        </w:tc>
        <w:tc>
          <w:tcPr>
            <w:tcW w:type="dxa" w:w="2700"/>
            <w:shd w:fill="1F437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Promote</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Accepted, quarantined, or routed for review. Only a green run earns "Automated".</w:t>
            </w:r>
          </w:p>
        </w:tc>
      </w:tr>
    </w:tbl>
    <w:p>
      <w:pPr>
        <w:spacing w:after="140"/>
      </w:pPr>
    </w:p>
    <w:p>
      <w:pPr>
        <w:spacing w:after="140" w:before="0" w:line="280"/>
      </w:pPr>
      <w:r>
        <w:rPr>
          <w:rFonts w:ascii="Calibri" w:cs="Calibri" w:eastAsia="Calibri" w:hAnsi="Calibri"/>
          <w:b/>
          <w:bCs/>
          <w:i w:val="false"/>
          <w:iCs w:val="false"/>
          <w:caps w:val="false"/>
          <w:color w:val="2A3948"/>
          <w:sz w:val="21"/>
          <w:szCs w:val="21"/>
        </w:rPr>
        <w:t xml:space="preserve">The important stages for a client to understand are 3 and 6. </w:t>
      </w:r>
      <w:r>
        <w:rPr>
          <w:rFonts w:ascii="Calibri" w:cs="Calibri" w:eastAsia="Calibri" w:hAnsi="Calibri"/>
          <w:b w:val="false"/>
          <w:bCs w:val="false"/>
          <w:i w:val="false"/>
          <w:iCs w:val="false"/>
          <w:caps w:val="false"/>
          <w:color w:val="2A3948"/>
          <w:sz w:val="21"/>
          <w:szCs w:val="21"/>
        </w:rPr>
        <w:t xml:space="preserve">Stage 3 is why the platform’s decisions are trustworthy: they rest on what the browser demonstrably showed, rather than on a guess made afterwards. Stage 6 is why a green test can be believed: a test that cannot be made to fail is not testing anything, and MoolyaAura refuses to promote one.</w:t>
      </w:r>
    </w:p>
    <w:p>
      <w:pPr>
        <w:pStyle w:val="Heading1"/>
        <w:spacing w:after="150" w:before="340"/>
      </w:pPr>
      <w:r>
        <w:rPr>
          <w:rFonts w:ascii="Cambria" w:cs="Cambria" w:eastAsia="Cambria" w:hAnsi="Cambria"/>
          <w:b/>
          <w:bCs/>
          <w:color w:val="0E2340"/>
          <w:sz w:val="30"/>
          <w:szCs w:val="30"/>
        </w:rPr>
        <w:t xml:space="preserve">5.  Deterministic-First Automation Strategy</w:t>
      </w:r>
    </w:p>
    <w:p>
      <w:pPr>
        <w:spacing w:after="140" w:before="0" w:line="280"/>
      </w:pPr>
      <w:r>
        <w:rPr>
          <w:rFonts w:ascii="Calibri" w:cs="Calibri" w:eastAsia="Calibri" w:hAnsi="Calibri"/>
          <w:b w:val="false"/>
          <w:bCs w:val="false"/>
          <w:i w:val="false"/>
          <w:iCs w:val="false"/>
          <w:caps w:val="false"/>
          <w:color w:val="2A3948"/>
          <w:sz w:val="21"/>
          <w:szCs w:val="21"/>
        </w:rPr>
        <w:t xml:space="preserve">When the platform needs to decide how a test should address an element, it works through a fixed order of preference. Each option is attempted in turn; the next is reached only when the one above cannot settle the element safely.</w:t>
      </w:r>
    </w:p>
    <w:p>
      <w:pPr>
        <w:spacing w:after="60"/>
      </w:pPr>
    </w:p>
    <w:tbl>
      <w:tblPr>
        <w:tblW w:type="dxa" w:w="9360"/>
        <w:tblBorders>
          <w:top w:val="single" w:color="FFFFFF" w:sz="6"/>
          <w:left w:val="single" w:color="FFFFFF" w:sz="6"/>
          <w:bottom w:val="single" w:color="FFFFFF" w:sz="6"/>
          <w:right w:val="single" w:color="FFFFFF" w:sz="6"/>
          <w:insideH w:val="single" w:color="FFFFFF" w:sz="6"/>
          <w:insideV w:val="single" w:color="FFFFFF" w:sz="6"/>
        </w:tblBorders>
      </w:tblPr>
      <w:tblGrid>
        <w:gridCol w:w="620"/>
        <w:gridCol w:w="2700"/>
        <w:gridCol w:w="6040"/>
      </w:tblGrid>
      <w:tr>
        <w:tc>
          <w:tcPr>
            <w:tcW w:type="dxa" w:w="620"/>
            <w:shd w:fill="00A896"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1</w:t>
            </w:r>
          </w:p>
        </w:tc>
        <w:tc>
          <w:tcPr>
            <w:tcW w:type="dxa" w:w="2700"/>
            <w:shd w:fill="00A896"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Existing Page Object</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Reuse an automation capability the project already has.</w:t>
            </w:r>
          </w:p>
        </w:tc>
      </w:tr>
      <w:tr>
        <w:tc>
          <w:tcPr>
            <w:tcW w:type="dxa" w:w="620"/>
            <w:shd w:fill="00A896"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2</w:t>
            </w:r>
          </w:p>
        </w:tc>
        <w:tc>
          <w:tcPr>
            <w:tcW w:type="dxa" w:w="2700"/>
            <w:shd w:fill="00A896"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Parameterised Page Object</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Reuse the same capability with different test data.</w:t>
            </w:r>
          </w:p>
        </w:tc>
      </w:tr>
      <w:tr>
        <w:tc>
          <w:tcPr>
            <w:tcW w:type="dxa" w:w="620"/>
            <w:shd w:fill="17A2A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3</w:t>
            </w:r>
          </w:p>
        </w:tc>
        <w:tc>
          <w:tcPr>
            <w:tcW w:type="dxa" w:w="2700"/>
            <w:shd w:fill="17A2A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Contextual / Structural</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Identify the element by its surrounding user interface — its row, dialog, section or container.</w:t>
            </w:r>
          </w:p>
        </w:tc>
      </w:tr>
      <w:tr>
        <w:tc>
          <w:tcPr>
            <w:tcW w:type="dxa" w:w="620"/>
            <w:shd w:fill="2E7FA8"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4</w:t>
            </w:r>
          </w:p>
        </w:tc>
        <w:tc>
          <w:tcPr>
            <w:tcW w:type="dxa" w:w="2700"/>
            <w:shd w:fill="2E7FA8"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Semantic Resolution</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Identify it by what it represents — its role, name or business purpose.</w:t>
            </w:r>
          </w:p>
        </w:tc>
      </w:tr>
      <w:tr>
        <w:tc>
          <w:tcPr>
            <w:tcW w:type="dxa" w:w="620"/>
            <w:shd w:fill="D9922B"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5</w:t>
            </w:r>
          </w:p>
        </w:tc>
        <w:tc>
          <w:tcPr>
            <w:tcW w:type="dxa" w:w="2700"/>
            <w:shd w:fill="D9922B"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Controlled AI</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Only for eligible unresolved questions of meaning or ownership. Re-validated afterwards.</w:t>
            </w:r>
          </w:p>
        </w:tc>
      </w:tr>
      <w:tr>
        <w:tc>
          <w:tcPr>
            <w:tcW w:type="dxa" w:w="620"/>
            <w:shd w:fill="1F4370"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6</w:t>
            </w:r>
          </w:p>
        </w:tc>
        <w:tc>
          <w:tcPr>
            <w:tcW w:type="dxa" w:w="2700"/>
            <w:shd w:fill="1F4370"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Evidence-Backed Fallback</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Use only what the browser was observed to show — never an invented shortcut.</w:t>
            </w:r>
          </w:p>
        </w:tc>
      </w:tr>
      <w:tr>
        <w:tc>
          <w:tcPr>
            <w:tcW w:type="dxa" w:w="620"/>
            <w:shd w:fill="B4574F" w:color="auto" w:val="clear"/>
            <w:tcMar>
              <w:top w:type="dxa" w:w="90"/>
              <w:left w:type="dxa" w:w="80"/>
              <w:bottom w:type="dxa" w:w="90"/>
              <w:right w:type="dxa" w:w="80"/>
            </w:tcMar>
            <w:vAlign w:val="center"/>
          </w:tcPr>
          <w:p>
            <w:pPr>
              <w:spacing w:after="0"/>
              <w:jc w:val="center"/>
            </w:pPr>
            <w:r>
              <w:rPr>
                <w:rFonts w:ascii="Calibri" w:cs="Calibri" w:eastAsia="Calibri" w:hAnsi="Calibri"/>
                <w:b/>
                <w:bCs/>
                <w:color w:val="FFFFFF"/>
                <w:sz w:val="20"/>
                <w:szCs w:val="20"/>
              </w:rPr>
              <w:t xml:space="preserve">7</w:t>
            </w:r>
          </w:p>
        </w:tc>
        <w:tc>
          <w:tcPr>
            <w:tcW w:type="dxa" w:w="2700"/>
            <w:shd w:fill="B4574F" w:color="auto" w:val="clear"/>
            <w:tcMar>
              <w:top w:type="dxa" w:w="90"/>
              <w:left w:type="dxa" w:w="140"/>
              <w:bottom w:type="dxa" w:w="90"/>
              <w:right w:type="dxa" w:w="120"/>
            </w:tcMar>
            <w:vAlign w:val="center"/>
          </w:tcPr>
          <w:p>
            <w:pPr>
              <w:spacing w:after="0"/>
            </w:pPr>
            <w:r>
              <w:rPr>
                <w:rFonts w:ascii="Calibri" w:cs="Calibri" w:eastAsia="Calibri" w:hAnsi="Calibri"/>
                <w:b/>
                <w:bCs/>
                <w:color w:val="FFFFFF"/>
                <w:sz w:val="20"/>
                <w:szCs w:val="20"/>
              </w:rPr>
              <w:t xml:space="preserve">NEEDS_REVIEW</w:t>
            </w:r>
          </w:p>
        </w:tc>
        <w:tc>
          <w:tcPr>
            <w:tcW w:type="dxa" w:w="6040"/>
            <w:shd w:fill="FFFFFF" w:color="auto" w:val="clear"/>
            <w:tcMar>
              <w:top w:type="dxa" w:w="90"/>
              <w:left w:type="dxa" w:w="160"/>
              <w:bottom w:type="dxa" w:w="90"/>
              <w:right w:type="dxa" w:w="140"/>
            </w:tcMar>
            <w:vAlign w:val="center"/>
          </w:tcPr>
          <w:p>
            <w:pPr>
              <w:spacing w:after="0" w:line="250"/>
            </w:pPr>
            <w:r>
              <w:rPr>
                <w:rFonts w:ascii="Calibri" w:cs="Calibri" w:eastAsia="Calibri" w:hAnsi="Calibri"/>
                <w:color w:val="2A3948"/>
                <w:sz w:val="19"/>
                <w:szCs w:val="19"/>
              </w:rPr>
              <w:t xml:space="preserve">Identity cannot be proven. The platform stops safely instead of guessing.</w:t>
            </w:r>
          </w:p>
        </w:tc>
      </w:tr>
    </w:tbl>
    <w:p>
      <w:pPr>
        <w:spacing w:after="160"/>
      </w:pPr>
    </w:p>
    <w:p>
      <w:pPr>
        <w:spacing w:after="140" w:before="0" w:line="280"/>
      </w:pPr>
      <w:r>
        <w:rPr>
          <w:rFonts w:ascii="Calibri" w:cs="Calibri" w:eastAsia="Calibri" w:hAnsi="Calibri"/>
          <w:b w:val="false"/>
          <w:bCs w:val="false"/>
          <w:i w:val="false"/>
          <w:iCs w:val="false"/>
          <w:caps w:val="false"/>
          <w:color w:val="2A3948"/>
          <w:sz w:val="21"/>
          <w:szCs w:val="21"/>
        </w:rPr>
        <w:t xml:space="preserve">Three properties of this order are worth drawing out.</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Reuse comes before creation. </w:t>
      </w:r>
      <w:r>
        <w:rPr>
          <w:rFonts w:ascii="Calibri" w:cs="Calibri" w:eastAsia="Calibri" w:hAnsi="Calibri"/>
          <w:b w:val="false"/>
          <w:bCs w:val="false"/>
          <w:i w:val="false"/>
          <w:iCs w:val="false"/>
          <w:caps w:val="false"/>
          <w:color w:val="2A3948"/>
          <w:sz w:val="21"/>
          <w:szCs w:val="21"/>
        </w:rPr>
        <w:t xml:space="preserve">The platform is not permitted to create a new capability simply because it has met a new way of writing an element. It must first establish that no existing capability already covers it.</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Understanding comes before position. </w:t>
      </w:r>
      <w:r>
        <w:rPr>
          <w:rFonts w:ascii="Calibri" w:cs="Calibri" w:eastAsia="Calibri" w:hAnsi="Calibri"/>
          <w:b w:val="false"/>
          <w:bCs w:val="false"/>
          <w:i w:val="false"/>
          <w:iCs w:val="false"/>
          <w:caps w:val="false"/>
          <w:color w:val="2A3948"/>
          <w:sz w:val="21"/>
          <w:szCs w:val="21"/>
        </w:rPr>
        <w:t xml:space="preserve">Identifying "the checkbox in the row for this issue" is preferred over "the second checkbox on the screen", because the first survives the list being reordered and the second does not.</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Position, when used at all, must have been observed. </w:t>
      </w:r>
      <w:r>
        <w:rPr>
          <w:rFonts w:ascii="Calibri" w:cs="Calibri" w:eastAsia="Calibri" w:hAnsi="Calibri"/>
          <w:b w:val="false"/>
          <w:bCs w:val="false"/>
          <w:i w:val="false"/>
          <w:iCs w:val="false"/>
          <w:caps w:val="false"/>
          <w:color w:val="2A3948"/>
          <w:sz w:val="21"/>
          <w:szCs w:val="21"/>
        </w:rPr>
        <w:t xml:space="preserve">A positional fallback is permitted only when the browser was actually watched selecting that element during the recording. A position is never invented to force a decision.</w:t>
      </w:r>
    </w:p>
    <w:p>
      <w:pPr>
        <w:pStyle w:val="Heading1"/>
        <w:spacing w:after="150" w:before="340"/>
      </w:pPr>
      <w:r>
        <w:rPr>
          <w:rFonts w:ascii="Cambria" w:cs="Cambria" w:eastAsia="Cambria" w:hAnsi="Cambria"/>
          <w:b/>
          <w:bCs/>
          <w:color w:val="0E2340"/>
          <w:sz w:val="30"/>
          <w:szCs w:val="30"/>
        </w:rPr>
        <w:t xml:space="preserve">6.  Controlled and Minimal AI Strategy</w:t>
      </w:r>
    </w:p>
    <w:p>
      <w:pPr>
        <w:spacing w:after="140" w:before="0" w:line="280"/>
      </w:pPr>
      <w:r>
        <w:rPr>
          <w:rFonts w:ascii="Calibri" w:cs="Calibri" w:eastAsia="Calibri" w:hAnsi="Calibri"/>
          <w:b w:val="false"/>
          <w:bCs w:val="false"/>
          <w:i w:val="false"/>
          <w:iCs w:val="false"/>
          <w:caps w:val="false"/>
          <w:color w:val="2A3948"/>
          <w:sz w:val="21"/>
          <w:szCs w:val="21"/>
        </w:rPr>
        <w:t xml:space="preserve">AI is deliberately minimised. The platform first attempts predictable, evidence-driven mechanisms. Only when those mechanisms cannot safely resolve an eligible ambiguity is AI considered, and any AI decision remains subject to the same validation and safety controls as a decision the rules made on their own.</w:t>
      </w:r>
    </w:p>
    <w:p>
      <w:pPr>
        <w:pStyle w:val="Heading2"/>
        <w:spacing w:after="110" w:before="240"/>
      </w:pPr>
      <w:r>
        <w:rPr>
          <w:rFonts w:ascii="Calibri" w:cs="Calibri" w:eastAsia="Calibri" w:hAnsi="Calibri"/>
          <w:b/>
          <w:bCs/>
          <w:color w:val="1F4370"/>
          <w:sz w:val="23"/>
          <w:szCs w:val="23"/>
        </w:rPr>
        <w:t xml:space="preserve">When AI is eligible</w:t>
      </w:r>
    </w:p>
    <w:p>
      <w:pPr>
        <w:spacing w:after="140" w:before="0" w:line="280"/>
      </w:pPr>
      <w:r>
        <w:rPr>
          <w:rFonts w:ascii="Calibri" w:cs="Calibri" w:eastAsia="Calibri" w:hAnsi="Calibri"/>
          <w:b w:val="false"/>
          <w:bCs w:val="false"/>
          <w:i w:val="false"/>
          <w:iCs w:val="false"/>
          <w:caps w:val="false"/>
          <w:color w:val="2A3948"/>
          <w:sz w:val="21"/>
          <w:szCs w:val="21"/>
        </w:rPr>
        <w:t xml:space="preserve">A question reaches AI only when it is genuinely a question of meaning or ownership — for example, whether a piece of text on a card is a label or a data value, or which part of the application should own a newly discovered capability. If there is any outstanding safety or structural objection, the question is not asked at all: clearing half a problem would leave the rest standing and the call would be spent learning what the rules already knew.</w:t>
      </w:r>
    </w:p>
    <w:p>
      <w:pPr>
        <w:pStyle w:val="Heading2"/>
        <w:spacing w:after="110" w:before="240"/>
      </w:pPr>
      <w:r>
        <w:rPr>
          <w:rFonts w:ascii="Calibri" w:cs="Calibri" w:eastAsia="Calibri" w:hAnsi="Calibri"/>
          <w:b/>
          <w:bCs/>
          <w:color w:val="1F4370"/>
          <w:sz w:val="23"/>
          <w:szCs w:val="23"/>
        </w:rPr>
        <w:t xml:space="preserve">What AI is never allowed to do</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Invent evidence. It cannot supply a measurement the browser did not make.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Invent element identity. It cannot decide that an element is unique.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Choose elements at random or by position.</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Bypass safety rules, or clear an objection it was not asked about.</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Override deterministic validation. Every recommendation is re-checked as though it had never spoken, and its stated confidence is recorded but never obeyed.</w:t>
      </w:r>
    </w:p>
    <w:p>
      <w:pPr>
        <w:pStyle w:val="Heading2"/>
        <w:spacing w:after="110" w:before="240"/>
      </w:pPr>
      <w:r>
        <w:rPr>
          <w:rFonts w:ascii="Calibri" w:cs="Calibri" w:eastAsia="Calibri" w:hAnsi="Calibri"/>
          <w:b/>
          <w:bCs/>
          <w:color w:val="1F4370"/>
          <w:sz w:val="23"/>
          <w:szCs w:val="23"/>
        </w:rPr>
        <w:t xml:space="preserve">How AI cost is contained</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AI is an escalation path, so most decisions cost nothing. In the current project, 11 of 61 automation-capability decisions were even eligible for AI assistance; the remaining 50 were settled by rules or safely refused with no model call at all.</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Several open questions about one element are settled in a single exchange rather than one call each, because the answers constrain one another.</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Repair attempts are bounded. If an answer is rejected, it is put back once with the exact reason, and the standard never moves. After a fixed number of attempts the question becomes terminal rather than being asked forever.</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The platform remembers unanswerable questions between runs, so the same question is never re-asked indefinitely.</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Application knowledge is explored once and written down, so later cases about the same screen need neither a browser nor a fresh exploration. In the current project this reduced the cases needing a live exploration from 31 to 7.</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What is sent to the model is a compact index rather than source code. Measured across a sample of cases, the prompt cost per generated case fell from 30,557 to 10,921 tokens — a 64% reduction — while generation time fell from 265 to 180 seconds.</w:t>
      </w:r>
    </w:p>
    <w:tbl>
      <w:tblPr>
        <w:tblW w:type="dxa" w:w="9360"/>
        <w:tblBorders>
          <w:top w:val="single" w:color="B07620" w:sz="4"/>
          <w:left w:val="single" w:color="B07620" w:sz="4"/>
          <w:bottom w:val="single" w:color="B07620" w:sz="4"/>
          <w:right w:val="single" w:color="B07620" w:sz="4"/>
          <w:insideH w:val="single" w:color="auto" w:sz="4"/>
          <w:insideV w:val="single" w:color="auto" w:sz="4"/>
        </w:tblBorders>
      </w:tblPr>
      <w:tblGrid>
        <w:gridCol w:w="9360"/>
      </w:tblGrid>
      <w:tr>
        <w:tc>
          <w:tcPr>
            <w:tcW w:type="dxa" w:w="9360"/>
            <w:shd w:fill="FBF1DF" w:color="auto" w:val="clear"/>
            <w:tcMar>
              <w:top w:type="dxa" w:w="160"/>
              <w:left w:type="dxa" w:w="200"/>
              <w:bottom w:type="dxa" w:w="160"/>
              <w:right w:type="dxa" w:w="200"/>
            </w:tcMar>
          </w:tcPr>
          <w:p>
            <w:pPr>
              <w:spacing w:after="70"/>
            </w:pPr>
            <w:r>
              <w:rPr>
                <w:rFonts w:ascii="Calibri" w:cs="Calibri" w:eastAsia="Calibri" w:hAnsi="Calibri"/>
                <w:b/>
                <w:bCs/>
                <w:caps/>
                <w:color w:val="B07620"/>
                <w:spacing w:val="12"/>
                <w:sz w:val="20"/>
                <w:szCs w:val="20"/>
              </w:rPr>
              <w:t xml:space="preserve">Key message</w:t>
            </w:r>
          </w:p>
          <w:p>
            <w:pPr>
              <w:spacing w:after="0" w:before="0" w:line="280"/>
            </w:pPr>
            <w:r>
              <w:rPr>
                <w:rFonts w:ascii="Calibri" w:cs="Calibri" w:eastAsia="Calibri" w:hAnsi="Calibri"/>
                <w:b w:val="false"/>
                <w:bCs w:val="false"/>
                <w:i w:val="false"/>
                <w:iCs w:val="false"/>
                <w:caps w:val="false"/>
                <w:color w:val="2A3948"/>
                <w:sz w:val="21"/>
                <w:szCs w:val="21"/>
              </w:rPr>
              <w:t xml:space="preserve">We don’t use AI because we can. We use AI only when we need it. Deterministic engineering does the majority of the work; AI assists where reasoning is genuinely required.</w:t>
            </w:r>
          </w:p>
        </w:tc>
      </w:tr>
    </w:tbl>
    <w:p>
      <w:pPr>
        <w:pStyle w:val="Heading1"/>
        <w:spacing w:after="150" w:before="340"/>
      </w:pPr>
      <w:r>
        <w:rPr>
          <w:rFonts w:ascii="Cambria" w:cs="Cambria" w:eastAsia="Cambria" w:hAnsi="Cambria"/>
          <w:b/>
          <w:bCs/>
          <w:color w:val="0E2340"/>
          <w:sz w:val="30"/>
          <w:szCs w:val="30"/>
        </w:rPr>
        <w:t xml:space="preserve">7.  Page Object Reuse and Maintainability</w:t>
      </w:r>
    </w:p>
    <w:p>
      <w:pPr>
        <w:spacing w:after="140" w:before="0" w:line="280"/>
      </w:pPr>
      <w:r>
        <w:rPr>
          <w:rFonts w:ascii="Calibri" w:cs="Calibri" w:eastAsia="Calibri" w:hAnsi="Calibri"/>
          <w:b w:val="false"/>
          <w:bCs w:val="false"/>
          <w:i w:val="false"/>
          <w:iCs w:val="false"/>
          <w:caps w:val="false"/>
          <w:color w:val="2A3948"/>
          <w:sz w:val="21"/>
          <w:szCs w:val="21"/>
        </w:rPr>
        <w:t xml:space="preserve">A Page Object is a reusable automation capability that represents part of the application — for example "sign in", "open a project", or "tick the checkbox on the row for a given issue". It is the single most important factor in the long-run cost of a suite: when the application changes, a well-factored capability is fixed once and every test that uses it is fixed with it.</w:t>
      </w:r>
    </w:p>
    <w:p>
      <w:pPr>
        <w:spacing w:after="140" w:before="0" w:line="280"/>
      </w:pPr>
      <w:r>
        <w:rPr>
          <w:rFonts w:ascii="Calibri" w:cs="Calibri" w:eastAsia="Calibri" w:hAnsi="Calibri"/>
          <w:b w:val="false"/>
          <w:bCs w:val="false"/>
          <w:i w:val="false"/>
          <w:iCs w:val="false"/>
          <w:caps w:val="false"/>
          <w:color w:val="2A3948"/>
          <w:sz w:val="21"/>
          <w:szCs w:val="21"/>
        </w:rPr>
        <w:t xml:space="preserve">MoolyaAura treats reuse as the default and creation as the exception. Before a new capability is created, four conditions must all hold:</w:t>
      </w:r>
    </w:p>
    <w:p>
      <w:pPr>
        <w:pStyle w:val="ListParagraph"/>
        <w:numPr>
          <w:ilvl w:val="0"/>
          <w:numId w:val="3"/>
        </w:numPr>
        <w:spacing w:after="90" w:line="280"/>
      </w:pPr>
      <w:r>
        <w:rPr>
          <w:rFonts w:ascii="Calibri" w:cs="Calibri" w:eastAsia="Calibri" w:hAnsi="Calibri"/>
          <w:b w:val="false"/>
          <w:bCs w:val="false"/>
          <w:i w:val="false"/>
          <w:iCs w:val="false"/>
          <w:caps w:val="false"/>
          <w:color w:val="2A3948"/>
          <w:sz w:val="21"/>
          <w:szCs w:val="21"/>
        </w:rPr>
        <w:t xml:space="preserve">Ownership is known — the platform can establish which part of the application the capability belongs to. It will not invent an owner.</w:t>
      </w:r>
    </w:p>
    <w:p>
      <w:pPr>
        <w:pStyle w:val="ListParagraph"/>
        <w:numPr>
          <w:ilvl w:val="0"/>
          <w:numId w:val="3"/>
        </w:numPr>
        <w:spacing w:after="90" w:line="280"/>
      </w:pPr>
      <w:r>
        <w:rPr>
          <w:rFonts w:ascii="Calibri" w:cs="Calibri" w:eastAsia="Calibri" w:hAnsi="Calibri"/>
          <w:b w:val="false"/>
          <w:bCs w:val="false"/>
          <w:i w:val="false"/>
          <w:iCs w:val="false"/>
          <w:caps w:val="false"/>
          <w:color w:val="2A3948"/>
          <w:sz w:val="21"/>
          <w:szCs w:val="21"/>
        </w:rPr>
        <w:t xml:space="preserve">The evidence is sufficient — the element was measured during the recording and its identity was proven.</w:t>
      </w:r>
    </w:p>
    <w:p>
      <w:pPr>
        <w:pStyle w:val="ListParagraph"/>
        <w:numPr>
          <w:ilvl w:val="0"/>
          <w:numId w:val="3"/>
        </w:numPr>
        <w:spacing w:after="90" w:line="280"/>
      </w:pPr>
      <w:r>
        <w:rPr>
          <w:rFonts w:ascii="Calibri" w:cs="Calibri" w:eastAsia="Calibri" w:hAnsi="Calibri"/>
          <w:b w:val="false"/>
          <w:bCs w:val="false"/>
          <w:i w:val="false"/>
          <w:iCs w:val="false"/>
          <w:caps w:val="false"/>
          <w:color w:val="2A3948"/>
          <w:sz w:val="21"/>
          <w:szCs w:val="21"/>
        </w:rPr>
        <w:t xml:space="preserve">The capability does not already exist — duplicates are detected by the element itself, not merely by name, so the same control cannot acquire two capabilities under two different names.</w:t>
      </w:r>
    </w:p>
    <w:p>
      <w:pPr>
        <w:pStyle w:val="ListParagraph"/>
        <w:numPr>
          <w:ilvl w:val="0"/>
          <w:numId w:val="3"/>
        </w:numPr>
        <w:spacing w:after="90" w:line="280"/>
      </w:pPr>
      <w:r>
        <w:rPr>
          <w:rFonts w:ascii="Calibri" w:cs="Calibri" w:eastAsia="Calibri" w:hAnsi="Calibri"/>
          <w:b w:val="false"/>
          <w:bCs w:val="false"/>
          <w:i w:val="false"/>
          <w:iCs w:val="false"/>
          <w:caps w:val="false"/>
          <w:color w:val="2A3948"/>
          <w:sz w:val="21"/>
          <w:szCs w:val="21"/>
        </w:rPr>
        <w:t xml:space="preserve">The proposal passes validation and can be safely written into the framework, including its registration, so that the resulting test file is usable.</w:t>
      </w:r>
    </w:p>
    <w:p>
      <w:pPr>
        <w:spacing w:after="140" w:before="0" w:line="280"/>
      </w:pPr>
      <w:r>
        <w:rPr>
          <w:rFonts w:ascii="Calibri" w:cs="Calibri" w:eastAsia="Calibri" w:hAnsi="Calibri"/>
          <w:b w:val="false"/>
          <w:bCs w:val="false"/>
          <w:i w:val="false"/>
          <w:iCs w:val="false"/>
          <w:caps w:val="false"/>
          <w:color w:val="2A3948"/>
          <w:sz w:val="21"/>
          <w:szCs w:val="21"/>
        </w:rPr>
        <w:t xml:space="preserve">If any of those fails, the platform records the reason rather than proceeding. Nothing is skipped silently: every element that requires a capability receives an explicit decision.</w:t>
      </w:r>
    </w:p>
    <w:tbl>
      <w:tblPr>
        <w:tblW w:type="dxa" w:w="9360"/>
        <w:tblBorders>
          <w:top w:val="single" w:color="1F4370" w:sz="4"/>
          <w:left w:val="single" w:color="1F4370" w:sz="4"/>
          <w:bottom w:val="single" w:color="1F4370" w:sz="4"/>
          <w:right w:val="single" w:color="1F4370" w:sz="4"/>
          <w:insideH w:val="single" w:color="auto" w:sz="4"/>
          <w:insideV w:val="single" w:color="auto" w:sz="4"/>
        </w:tblBorders>
      </w:tblPr>
      <w:tblGrid>
        <w:gridCol w:w="9360"/>
      </w:tblGrid>
      <w:tr>
        <w:tc>
          <w:tcPr>
            <w:tcW w:type="dxa" w:w="9360"/>
            <w:shd w:fill="EAF1F8" w:color="auto" w:val="clear"/>
            <w:tcMar>
              <w:top w:type="dxa" w:w="160"/>
              <w:left w:type="dxa" w:w="200"/>
              <w:bottom w:type="dxa" w:w="160"/>
              <w:right w:type="dxa" w:w="200"/>
            </w:tcMar>
          </w:tcPr>
          <w:p>
            <w:pPr>
              <w:spacing w:after="70"/>
            </w:pPr>
            <w:r>
              <w:rPr>
                <w:rFonts w:ascii="Calibri" w:cs="Calibri" w:eastAsia="Calibri" w:hAnsi="Calibri"/>
                <w:b/>
                <w:bCs/>
                <w:caps/>
                <w:color w:val="1F4370"/>
                <w:spacing w:val="12"/>
                <w:sz w:val="20"/>
                <w:szCs w:val="20"/>
              </w:rPr>
              <w:t xml:space="preserve">Current verified project status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430 elements evaluated across the recording corpus, with 0 left without a recorded decision.</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41 of 41 declared reusable capabilities are implemented — no capability is declared without existing, and no element carries two.</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In a recent test case, 9 elements were evaluated: 5 reused existing automation, 1 new capability was created and re-validated before being written, and 4 were refused for insufficient evidence.</w:t>
            </w:r>
          </w:p>
        </w:tc>
      </w:tr>
    </w:tbl>
    <w:p>
      <w:pPr>
        <w:pStyle w:val="Heading1"/>
        <w:spacing w:after="150" w:before="340"/>
      </w:pPr>
      <w:r>
        <w:rPr>
          <w:rFonts w:ascii="Cambria" w:cs="Cambria" w:eastAsia="Cambria" w:hAnsi="Cambria"/>
          <w:b/>
          <w:bCs/>
          <w:color w:val="0E2340"/>
          <w:sz w:val="30"/>
          <w:szCs w:val="30"/>
        </w:rPr>
        <w:t xml:space="preserve">8.  Evidence and Safety</w:t>
      </w:r>
    </w:p>
    <w:p>
      <w:pPr>
        <w:spacing w:after="140" w:before="0" w:line="280"/>
      </w:pPr>
      <w:r>
        <w:rPr>
          <w:rFonts w:ascii="Calibri" w:cs="Calibri" w:eastAsia="Calibri" w:hAnsi="Calibri"/>
          <w:b w:val="false"/>
          <w:bCs w:val="false"/>
          <w:i w:val="false"/>
          <w:iCs w:val="false"/>
          <w:caps w:val="false"/>
          <w:color w:val="2A3948"/>
          <w:sz w:val="21"/>
          <w:szCs w:val="21"/>
        </w:rPr>
        <w:t xml:space="preserve">Evidence is browser-observed information captured while the tester performs the action. It is the difference between "this seems like a sensible way to address the element" and "the browser confirmed, at the moment of the action, that this addresses exactly the element the tester touched".</w:t>
      </w:r>
    </w:p>
    <w:p>
      <w:pPr>
        <w:pStyle w:val="Heading2"/>
        <w:spacing w:after="110" w:before="240"/>
      </w:pPr>
      <w:r>
        <w:rPr>
          <w:rFonts w:ascii="Calibri" w:cs="Calibri" w:eastAsia="Calibri" w:hAnsi="Calibri"/>
          <w:b/>
          <w:bCs/>
          <w:color w:val="1F4370"/>
          <w:sz w:val="23"/>
          <w:szCs w:val="23"/>
        </w:rPr>
        <w:t xml:space="preserve">What the platform checks before it will use an element</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Was it measured at the right moment? </w:t>
      </w:r>
      <w:r>
        <w:rPr>
          <w:rFonts w:ascii="Calibri" w:cs="Calibri" w:eastAsia="Calibri" w:hAnsi="Calibri"/>
          <w:b w:val="false"/>
          <w:bCs w:val="false"/>
          <w:i w:val="false"/>
          <w:iCs w:val="false"/>
          <w:caps w:val="false"/>
          <w:color w:val="2A3948"/>
          <w:sz w:val="21"/>
          <w:szCs w:val="21"/>
        </w:rPr>
        <w:t xml:space="preserve">A measurement taken after the page has moved on describes a different screen.</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Was it measured on the right page? </w:t>
      </w:r>
      <w:r>
        <w:rPr>
          <w:rFonts w:ascii="Calibri" w:cs="Calibri" w:eastAsia="Calibri" w:hAnsi="Calibri"/>
          <w:b w:val="false"/>
          <w:bCs w:val="false"/>
          <w:i w:val="false"/>
          <w:iCs w:val="false"/>
          <w:caps w:val="false"/>
          <w:color w:val="2A3948"/>
          <w:sz w:val="21"/>
          <w:szCs w:val="21"/>
        </w:rPr>
        <w:t xml:space="preserve">A count taken in another document is discarded rather than treated as a number.</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How many elements does it match? </w:t>
      </w:r>
      <w:r>
        <w:rPr>
          <w:rFonts w:ascii="Calibri" w:cs="Calibri" w:eastAsia="Calibri" w:hAnsi="Calibri"/>
          <w:b w:val="false"/>
          <w:bCs w:val="false"/>
          <w:i w:val="false"/>
          <w:iCs w:val="false"/>
          <w:caps w:val="false"/>
          <w:color w:val="2A3948"/>
          <w:sz w:val="21"/>
          <w:szCs w:val="21"/>
        </w:rPr>
        <w:t xml:space="preserve">Matching exactly one element is necessary but not sufficient on its own.</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Is it the same element the tester acted on? </w:t>
      </w:r>
      <w:r>
        <w:rPr>
          <w:rFonts w:ascii="Calibri" w:cs="Calibri" w:eastAsia="Calibri" w:hAnsi="Calibri"/>
          <w:b w:val="false"/>
          <w:bCs w:val="false"/>
          <w:i w:val="false"/>
          <w:iCs w:val="false"/>
          <w:caps w:val="false"/>
          <w:color w:val="2A3948"/>
          <w:sz w:val="21"/>
          <w:szCs w:val="21"/>
        </w:rPr>
        <w:t xml:space="preserve">This is confirmed by identity in the browser, not by resemblance — a look-alike control in a neighbouring row does not qualify.</w:t>
      </w:r>
    </w:p>
    <w:p>
      <w:pPr>
        <w:pStyle w:val="ListParagraph"/>
        <w:numPr>
          <w:ilvl w:val="0"/>
          <w:numId w:val="2"/>
        </w:numPr>
        <w:spacing w:after="90" w:line="280"/>
      </w:pPr>
      <w:r>
        <w:rPr>
          <w:rFonts w:ascii="Calibri" w:cs="Calibri" w:eastAsia="Calibri" w:hAnsi="Calibri"/>
          <w:b/>
          <w:bCs/>
          <w:i w:val="false"/>
          <w:iCs w:val="false"/>
          <w:caps w:val="false"/>
          <w:color w:val="2A3948"/>
          <w:sz w:val="21"/>
          <w:szCs w:val="21"/>
        </w:rPr>
        <w:t xml:space="preserve">Does it still hold at run time? </w:t>
      </w:r>
      <w:r>
        <w:rPr>
          <w:rFonts w:ascii="Calibri" w:cs="Calibri" w:eastAsia="Calibri" w:hAnsi="Calibri"/>
          <w:b w:val="false"/>
          <w:bCs w:val="false"/>
          <w:i w:val="false"/>
          <w:iCs w:val="false"/>
          <w:caps w:val="false"/>
          <w:color w:val="2A3948"/>
          <w:sz w:val="21"/>
          <w:szCs w:val="21"/>
        </w:rPr>
        <w:t xml:space="preserve">The framework re-checks at execution, and the underlying engine refuses outright to act when an instruction matches more than one element.</w:t>
      </w:r>
    </w:p>
    <w:p>
      <w:pPr>
        <w:spacing w:after="140" w:before="0" w:line="280"/>
      </w:pPr>
      <w:r>
        <w:rPr>
          <w:rFonts w:ascii="Calibri" w:cs="Calibri" w:eastAsia="Calibri" w:hAnsi="Calibri"/>
          <w:b w:val="false"/>
          <w:bCs w:val="false"/>
          <w:i w:val="false"/>
          <w:iCs w:val="false"/>
          <w:caps w:val="false"/>
          <w:color w:val="2A3948"/>
          <w:sz w:val="21"/>
          <w:szCs w:val="21"/>
        </w:rPr>
        <w:t xml:space="preserve">When those checks cannot be satisfied, the case is marked NEEDS_REVIEW and no automation is emitted for that element. Evidence is also retained when a test is accepted, so a decision made months ago can still be explained and re-checked.</w:t>
      </w:r>
    </w:p>
    <w:tbl>
      <w:tblPr>
        <w:tblW w:type="dxa" w:w="9360"/>
        <w:tblBorders>
          <w:top w:val="single" w:color="1F4370" w:sz="4"/>
          <w:left w:val="single" w:color="1F4370" w:sz="4"/>
          <w:bottom w:val="single" w:color="1F4370" w:sz="4"/>
          <w:right w:val="single" w:color="1F4370" w:sz="4"/>
          <w:insideH w:val="single" w:color="auto" w:sz="4"/>
          <w:insideV w:val="single" w:color="auto" w:sz="4"/>
        </w:tblBorders>
      </w:tblPr>
      <w:tblGrid>
        <w:gridCol w:w="9360"/>
      </w:tblGrid>
      <w:tr>
        <w:tc>
          <w:tcPr>
            <w:tcW w:type="dxa" w:w="9360"/>
            <w:shd w:fill="EAF1F8" w:color="auto" w:val="clear"/>
            <w:tcMar>
              <w:top w:type="dxa" w:w="160"/>
              <w:left w:type="dxa" w:w="200"/>
              <w:bottom w:type="dxa" w:w="160"/>
              <w:right w:type="dxa" w:w="200"/>
            </w:tcMar>
          </w:tcPr>
          <w:p>
            <w:pPr>
              <w:spacing w:after="70"/>
            </w:pPr>
            <w:r>
              <w:rPr>
                <w:rFonts w:ascii="Calibri" w:cs="Calibri" w:eastAsia="Calibri" w:hAnsi="Calibri"/>
                <w:b/>
                <w:bCs/>
                <w:caps/>
                <w:color w:val="1F4370"/>
                <w:spacing w:val="12"/>
                <w:sz w:val="20"/>
                <w:szCs w:val="20"/>
              </w:rPr>
              <w:t xml:space="preserve">A worked example, in plain terms</w:t>
            </w:r>
          </w:p>
          <w:p>
            <w:pPr>
              <w:spacing w:after="80" w:before="0" w:line="280"/>
            </w:pPr>
            <w:r>
              <w:rPr>
                <w:rFonts w:ascii="Calibri" w:cs="Calibri" w:eastAsia="Calibri" w:hAnsi="Calibri"/>
                <w:b w:val="false"/>
                <w:bCs w:val="false"/>
                <w:i w:val="false"/>
                <w:iCs w:val="false"/>
                <w:caps w:val="false"/>
                <w:color w:val="2A3948"/>
                <w:sz w:val="21"/>
                <w:szCs w:val="21"/>
              </w:rPr>
              <w:t xml:space="preserve">A tester ticks a checkbox in a list of issues. The raw recording addresses it in a way that matches three different checkboxes on that screen.</w:t>
            </w:r>
          </w:p>
          <w:p>
            <w:pPr>
              <w:spacing w:after="80" w:before="0" w:line="280"/>
            </w:pPr>
            <w:r>
              <w:rPr>
                <w:rFonts w:ascii="Calibri" w:cs="Calibri" w:eastAsia="Calibri" w:hAnsi="Calibri"/>
                <w:b w:val="false"/>
                <w:bCs w:val="false"/>
                <w:i w:val="false"/>
                <w:iCs w:val="false"/>
                <w:caps w:val="false"/>
                <w:color w:val="2A3948"/>
                <w:sz w:val="21"/>
                <w:szCs w:val="21"/>
              </w:rPr>
              <w:t xml:space="preserve">MoolyaAura does not simply take "the second one". It first tries to identify the checkbox as "the checkbox inside the row whose description reads …". Where that row description is genuinely unique, the element resolves cleanly and can even be reused as a capability that takes the description as an input. Where the row descriptions overlap, that route is honestly reported as ambiguous, and only then is a browser-observed position used — and only because the browser was watched selecting exactly that element.</w:t>
            </w:r>
          </w:p>
          <w:p>
            <w:pPr>
              <w:spacing w:after="0" w:before="0" w:line="280"/>
            </w:pPr>
            <w:r>
              <w:rPr>
                <w:rFonts w:ascii="Calibri" w:cs="Calibri" w:eastAsia="Calibri" w:hAnsi="Calibri"/>
                <w:b w:val="false"/>
                <w:bCs w:val="false"/>
                <w:i w:val="false"/>
                <w:iCs w:val="false"/>
                <w:caps w:val="false"/>
                <w:color w:val="2A3948"/>
                <w:sz w:val="21"/>
                <w:szCs w:val="21"/>
              </w:rPr>
              <w:t xml:space="preserve">In a separate case, a check on a page heading could not be tied to one specific heading: three headings existed on that screen. The platform did not quietly narrow it to the first one, and it did not invent a different check. The case was held for review. That is the intended behaviour.</w:t>
            </w:r>
          </w:p>
        </w:tc>
      </w:tr>
    </w:tbl>
    <w:p>
      <w:pPr>
        <w:pStyle w:val="Heading1"/>
        <w:spacing w:after="150" w:before="340"/>
      </w:pPr>
      <w:r>
        <w:rPr>
          <w:rFonts w:ascii="Cambria" w:cs="Cambria" w:eastAsia="Cambria" w:hAnsi="Cambria"/>
          <w:b/>
          <w:bCs/>
          <w:color w:val="0E2340"/>
          <w:sz w:val="30"/>
          <w:szCs w:val="30"/>
        </w:rPr>
        <w:t xml:space="preserve">9.  Technology Stack</w:t>
      </w:r>
    </w:p>
    <w:tbl>
      <w:tblPr>
        <w:tblW w:type="dxa" w:w="9360"/>
        <w:tblBorders>
          <w:top w:val="single" w:color="D7E1EC" w:sz="2"/>
          <w:left w:val="single" w:color="D7E1EC" w:sz="2"/>
          <w:bottom w:val="single" w:color="D7E1EC" w:sz="2"/>
          <w:right w:val="single" w:color="D7E1EC" w:sz="2"/>
          <w:insideH w:val="single" w:color="D7E1EC" w:sz="2"/>
          <w:insideV w:val="single" w:color="D7E1EC" w:sz="2"/>
        </w:tblBorders>
      </w:tblPr>
      <w:tblGrid>
        <w:gridCol w:w="2200"/>
        <w:gridCol w:w="7160"/>
      </w:tblGrid>
      <w:tr>
        <w:trPr>
          <w:tblHeader/>
        </w:trPr>
        <w:tc>
          <w:tcPr>
            <w:tcW w:type="dxa" w:w="220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Component</w:t>
            </w:r>
          </w:p>
        </w:tc>
        <w:tc>
          <w:tcPr>
            <w:tcW w:type="dxa" w:w="716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What it is used for</w:t>
            </w:r>
          </w:p>
        </w:tc>
      </w:tr>
      <w:tr>
        <w:tc>
          <w:tcPr>
            <w:tcW w:type="dxa" w:w="22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Playwright</w:t>
            </w:r>
          </w:p>
        </w:tc>
        <w:tc>
          <w:tcPr>
            <w:tcW w:type="dxa" w:w="71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browser automation engine that drives Chromium, Firefox and WebKit, and the engine that refuses to act on an ambiguous instruction.</w:t>
            </w:r>
          </w:p>
        </w:tc>
      </w:tr>
      <w:tr>
        <w:tc>
          <w:tcPr>
            <w:tcW w:type="dxa" w:w="22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TypeScript</w:t>
            </w:r>
          </w:p>
        </w:tc>
        <w:tc>
          <w:tcPr>
            <w:tcW w:type="dxa" w:w="71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language of the generated tests — typed, reviewable, and familiar to any test engineering team.</w:t>
            </w:r>
          </w:p>
        </w:tc>
      </w:tr>
      <w:tr>
        <w:tc>
          <w:tcPr>
            <w:tcW w:type="dxa" w:w="22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Page Object Model</w:t>
            </w:r>
          </w:p>
        </w:tc>
        <w:tc>
          <w:tcPr>
            <w:tcW w:type="dxa" w:w="71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reuse architecture. Capabilities represent parts of the application and are shared across tests.</w:t>
            </w:r>
          </w:p>
        </w:tc>
      </w:tr>
      <w:tr>
        <w:tc>
          <w:tcPr>
            <w:tcW w:type="dxa" w:w="22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Browser recording (Codegen)</w:t>
            </w:r>
          </w:p>
        </w:tc>
        <w:tc>
          <w:tcPr>
            <w:tcW w:type="dxa" w:w="71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Captures the tester’s journey in a real browser as the starting point for generation.</w:t>
            </w:r>
          </w:p>
        </w:tc>
      </w:tr>
      <w:tr>
        <w:tc>
          <w:tcPr>
            <w:tcW w:type="dxa" w:w="22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Evidence capture layer</w:t>
            </w:r>
          </w:p>
        </w:tc>
        <w:tc>
          <w:tcPr>
            <w:tcW w:type="dxa" w:w="71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Records what the browser actually showed at the moment of each action, and at the moment each check was defined.</w:t>
            </w:r>
          </w:p>
        </w:tc>
      </w:tr>
      <w:tr>
        <w:tc>
          <w:tcPr>
            <w:tcW w:type="dxa" w:w="22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YAML application knowledge</w:t>
            </w:r>
          </w:p>
        </w:tc>
        <w:tc>
          <w:tcPr>
            <w:tcW w:type="dxa" w:w="71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 durable, human-readable record of what each screen contains, so a screen is explored once and reused many times.</w:t>
            </w:r>
          </w:p>
        </w:tc>
      </w:tr>
      <w:tr>
        <w:tc>
          <w:tcPr>
            <w:tcW w:type="dxa" w:w="22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Claude-based controlled AI assistance</w:t>
            </w:r>
          </w:p>
        </w:tc>
        <w:tc>
          <w:tcPr>
            <w:tcW w:type="dxa" w:w="71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 narrow escalation path for eligible questions of meaning or ownership, always re-validated by the platform.</w:t>
            </w:r>
          </w:p>
        </w:tc>
      </w:tr>
      <w:tr>
        <w:tc>
          <w:tcPr>
            <w:tcW w:type="dxa" w:w="22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Reporting</w:t>
            </w:r>
          </w:p>
        </w:tc>
        <w:tc>
          <w:tcPr>
            <w:tcW w:type="dxa" w:w="71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Per-step results with screenshots, video and trace, an executive HTML report, and Allure-compatible output for CI.</w:t>
            </w:r>
          </w:p>
        </w:tc>
      </w:tr>
    </w:tbl>
    <w:p>
      <w:pPr>
        <w:spacing w:after="140"/>
      </w:pPr>
    </w:p>
    <w:p>
      <w:pPr>
        <w:spacing w:after="140" w:before="0" w:line="280"/>
      </w:pPr>
      <w:r>
        <w:rPr>
          <w:rFonts w:ascii="Calibri" w:cs="Calibri" w:eastAsia="Calibri" w:hAnsi="Calibri"/>
          <w:b/>
          <w:bCs/>
          <w:i w:val="false"/>
          <w:iCs w:val="false"/>
          <w:caps w:val="false"/>
          <w:color w:val="2A3948"/>
          <w:sz w:val="21"/>
          <w:szCs w:val="21"/>
        </w:rPr>
        <w:t xml:space="preserve">An important point for the client’s engineering team: </w:t>
      </w:r>
      <w:r>
        <w:rPr>
          <w:rFonts w:ascii="Calibri" w:cs="Calibri" w:eastAsia="Calibri" w:hAnsi="Calibri"/>
          <w:b w:val="false"/>
          <w:bCs w:val="false"/>
          <w:i w:val="false"/>
          <w:iCs w:val="false"/>
          <w:caps w:val="false"/>
          <w:color w:val="2A3948"/>
          <w:sz w:val="21"/>
          <w:szCs w:val="21"/>
        </w:rPr>
        <w:t xml:space="preserve">the output is an ordinary Playwright test file. It carries no dependency on the recorder, on the dashboard, or on any AI service at run time. The suite executes in a standard continuous-integration pipeline with no agent and no model, and can be read, reviewed, edited and owned by any test engineer.</w:t>
      </w:r>
    </w:p>
    <w:p>
      <w:pPr>
        <w:pStyle w:val="Heading1"/>
        <w:spacing w:after="150" w:before="340"/>
      </w:pPr>
      <w:r>
        <w:rPr>
          <w:rFonts w:ascii="Cambria" w:cs="Cambria" w:eastAsia="Cambria" w:hAnsi="Cambria"/>
          <w:b/>
          <w:bCs/>
          <w:color w:val="0E2340"/>
          <w:sz w:val="30"/>
          <w:szCs w:val="30"/>
        </w:rPr>
        <w:t xml:space="preserve">10.  Quality and Governance</w:t>
      </w:r>
    </w:p>
    <w:p>
      <w:pPr>
        <w:pStyle w:val="Heading2"/>
        <w:spacing w:after="110" w:before="240"/>
      </w:pPr>
      <w:r>
        <w:rPr>
          <w:rFonts w:ascii="Calibri" w:cs="Calibri" w:eastAsia="Calibri" w:hAnsi="Calibri"/>
          <w:b/>
          <w:bCs/>
          <w:color w:val="1F4370"/>
          <w:sz w:val="23"/>
          <w:szCs w:val="23"/>
        </w:rPr>
        <w:t xml:space="preserve">Quality controls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Evidence-driven element resolution, with contextual and structural recovery preferred over positional shortcuts.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Runtime validation against the live application, so a decision made offline is confirmed where it matters.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Strict-mode protection: an instruction that matches more than one element fails loudly instead of silently picking one.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Falsification testing: a generated test must fail when its checks are deliberately broken, or it is not kept.</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An offline regression suite covering every decision mechanism, run before any change is trusted.</w:t>
      </w:r>
    </w:p>
    <w:p>
      <w:pPr>
        <w:pStyle w:val="Heading2"/>
        <w:spacing w:after="110" w:before="240"/>
      </w:pPr>
      <w:r>
        <w:rPr>
          <w:rFonts w:ascii="Calibri" w:cs="Calibri" w:eastAsia="Calibri" w:hAnsi="Calibri"/>
          <w:b/>
          <w:bCs/>
          <w:color w:val="1F4370"/>
          <w:sz w:val="23"/>
          <w:szCs w:val="23"/>
        </w:rPr>
        <w:t xml:space="preserve">Governance controls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Reuse before creation, with duplicate capabilities prevented by element rather than by name.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 defined boundary on where AI may be used, with every AI answer re-validated deterministically.</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NEEDS_REVIEW as an explicit, safe stop when identity cannot be proven.</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Quarantine for generated tests that cannot be trusted — held outside the suite rather than deleted or quietly shipped.</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Promotion gates: a test is marked "Automated" only after a green run of the real suite.</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Traceability from the test case, through the recording and its evidence, to the generated code and each execution result.</w:t>
      </w:r>
    </w:p>
    <w:tbl>
      <w:tblPr>
        <w:tblW w:type="dxa" w:w="9360"/>
        <w:tblBorders>
          <w:top w:val="single" w:color="1F4370" w:sz="4"/>
          <w:left w:val="single" w:color="1F4370" w:sz="4"/>
          <w:bottom w:val="single" w:color="1F4370" w:sz="4"/>
          <w:right w:val="single" w:color="1F4370" w:sz="4"/>
          <w:insideH w:val="single" w:color="auto" w:sz="4"/>
          <w:insideV w:val="single" w:color="auto" w:sz="4"/>
        </w:tblBorders>
      </w:tblPr>
      <w:tblGrid>
        <w:gridCol w:w="9360"/>
      </w:tblGrid>
      <w:tr>
        <w:tc>
          <w:tcPr>
            <w:tcW w:type="dxa" w:w="9360"/>
            <w:shd w:fill="EAF1F8" w:color="auto" w:val="clear"/>
            <w:tcMar>
              <w:top w:type="dxa" w:w="160"/>
              <w:left w:type="dxa" w:w="200"/>
              <w:bottom w:type="dxa" w:w="160"/>
              <w:right w:type="dxa" w:w="200"/>
            </w:tcMar>
          </w:tcPr>
          <w:p>
            <w:pPr>
              <w:spacing w:after="70"/>
            </w:pPr>
            <w:r>
              <w:rPr>
                <w:rFonts w:ascii="Calibri" w:cs="Calibri" w:eastAsia="Calibri" w:hAnsi="Calibri"/>
                <w:b/>
                <w:bCs/>
                <w:caps/>
                <w:color w:val="1F4370"/>
                <w:spacing w:val="12"/>
                <w:sz w:val="20"/>
                <w:szCs w:val="20"/>
              </w:rPr>
              <w:t xml:space="preserve">Current verified project status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0 failures across 3,118 offline verification checks at the last recorded full verification run (21 August 2026). The mechanism suite has since grown to 54 verification fixtures.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Of 126 generation attempts recorded to date: 60 tests accepted into the suite, 56 quarantined rather than shipped, 9 declined as unsuitable to automate as written, and 1 infrastructure failure.</w:t>
            </w:r>
          </w:p>
          <w:p>
            <w:pPr>
              <w:spacing w:after="0" w:before="0" w:line="280"/>
            </w:pPr>
            <w:r>
              <w:rPr>
                <w:rFonts w:ascii="Calibri" w:cs="Calibri" w:eastAsia="Calibri" w:hAnsi="Calibri"/>
                <w:b/>
                <w:bCs/>
                <w:i w:val="false"/>
                <w:iCs w:val="false"/>
                <w:caps w:val="false"/>
                <w:color w:val="2A3948"/>
                <w:sz w:val="21"/>
                <w:szCs w:val="21"/>
              </w:rPr>
              <w:t xml:space="preserve">The quarantine figure is governance working as designed, not a defect rate. </w:t>
            </w:r>
            <w:r>
              <w:rPr>
                <w:rFonts w:ascii="Calibri" w:cs="Calibri" w:eastAsia="Calibri" w:hAnsi="Calibri"/>
                <w:b w:val="false"/>
                <w:bCs w:val="false"/>
                <w:i w:val="false"/>
                <w:iCs w:val="false"/>
                <w:caps w:val="false"/>
                <w:color w:val="2A3948"/>
                <w:sz w:val="21"/>
                <w:szCs w:val="21"/>
              </w:rPr>
              <w:t xml:space="preserve">Each quarantined case is a test the platform refused to present as coverage it could not prove.</w:t>
            </w:r>
          </w:p>
        </w:tc>
      </w:tr>
    </w:tbl>
    <w:p>
      <w:pPr>
        <w:pStyle w:val="Heading1"/>
        <w:spacing w:after="150" w:before="340"/>
      </w:pPr>
      <w:r>
        <w:rPr>
          <w:rFonts w:ascii="Cambria" w:cs="Cambria" w:eastAsia="Cambria" w:hAnsi="Cambria"/>
          <w:b/>
          <w:bCs/>
          <w:color w:val="0E2340"/>
          <w:sz w:val="30"/>
          <w:szCs w:val="30"/>
        </w:rPr>
        <w:t xml:space="preserve">11.  Business Value and ROI Measurement</w:t>
      </w:r>
    </w:p>
    <w:p>
      <w:pPr>
        <w:spacing w:after="140" w:before="0" w:line="280"/>
      </w:pPr>
      <w:r>
        <w:rPr>
          <w:rFonts w:ascii="Calibri" w:cs="Calibri" w:eastAsia="Calibri" w:hAnsi="Calibri"/>
          <w:b w:val="false"/>
          <w:bCs w:val="false"/>
          <w:i w:val="false"/>
          <w:iCs w:val="false"/>
          <w:caps w:val="false"/>
          <w:color w:val="2A3948"/>
          <w:sz w:val="21"/>
          <w:szCs w:val="21"/>
        </w:rPr>
        <w:t xml:space="preserve">MoolyaAura should be measured, not asserted. The table below sets out how each outcome is measured and what is already verified within the MoolyaAura project itself. Bracketed values are placeholders to be completed once a baseline is agreed with the client — no saving is claimed that has not been measured for the client’s own estate.</w:t>
      </w:r>
    </w:p>
    <w:p>
      <w:pPr>
        <w:spacing w:after="80"/>
      </w:pPr>
    </w:p>
    <w:tbl>
      <w:tblPr>
        <w:tblW w:type="dxa" w:w="9360"/>
        <w:tblBorders>
          <w:top w:val="single" w:color="D7E1EC" w:sz="2"/>
          <w:left w:val="single" w:color="D7E1EC" w:sz="2"/>
          <w:bottom w:val="single" w:color="D7E1EC" w:sz="2"/>
          <w:right w:val="single" w:color="D7E1EC" w:sz="2"/>
          <w:insideH w:val="single" w:color="D7E1EC" w:sz="2"/>
          <w:insideV w:val="single" w:color="D7E1EC" w:sz="2"/>
        </w:tblBorders>
      </w:tblPr>
      <w:tblGrid>
        <w:gridCol w:w="1950"/>
        <w:gridCol w:w="3700"/>
        <w:gridCol w:w="3710"/>
      </w:tblGrid>
      <w:tr>
        <w:trPr>
          <w:tblHeader/>
        </w:trPr>
        <w:tc>
          <w:tcPr>
            <w:tcW w:type="dxa" w:w="195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Metric</w:t>
            </w:r>
          </w:p>
        </w:tc>
        <w:tc>
          <w:tcPr>
            <w:tcW w:type="dxa" w:w="370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How to measure</w:t>
            </w:r>
          </w:p>
        </w:tc>
        <w:tc>
          <w:tcPr>
            <w:tcW w:type="dxa" w:w="371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Expected business impact</w:t>
            </w:r>
          </w:p>
        </w:tc>
      </w:tr>
      <w:tr>
        <w:tc>
          <w:tcPr>
            <w:tcW w:type="dxa" w:w="195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Engineering time saved</w:t>
            </w:r>
          </w:p>
        </w:tc>
        <w:tc>
          <w:tcPr>
            <w:tcW w:type="dxa" w:w="37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Hours to author a test by hand versus hours with MoolyaAura, over the same set of test cases.</w:t>
            </w:r>
          </w:p>
        </w:tc>
        <w:tc>
          <w:tcPr>
            <w:tcW w:type="dxa" w:w="371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[XX engineering hours saved per test case]</w:t>
            </w:r>
          </w:p>
        </w:tc>
      </w:tr>
      <w:tr>
        <w:tc>
          <w:tcPr>
            <w:tcW w:type="dxa" w:w="195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Engineering capacity released</w:t>
            </w:r>
          </w:p>
        </w:tc>
        <w:tc>
          <w:tcPr>
            <w:tcW w:type="dxa" w:w="37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Hours redirected from automation coding and locator upkeep to Exploratory Testing, risk analysis and coverage design.</w:t>
            </w:r>
          </w:p>
        </w:tc>
        <w:tc>
          <w:tcPr>
            <w:tcW w:type="dxa" w:w="371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[XX% of team capacity redirected]</w:t>
            </w:r>
          </w:p>
        </w:tc>
      </w:tr>
      <w:tr>
        <w:tc>
          <w:tcPr>
            <w:tcW w:type="dxa" w:w="195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AI cost optimisation</w:t>
            </w:r>
          </w:p>
        </w:tc>
        <w:tc>
          <w:tcPr>
            <w:tcW w:type="dxa" w:w="37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Decisions eligible for AI assistance versus total automation decisions; token cost per generated case.</w:t>
            </w:r>
          </w:p>
        </w:tc>
        <w:tc>
          <w:tcPr>
            <w:tcW w:type="dxa" w:w="371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Current project: 11 of 61 decisions eligible for AI; prompt cost per case reduced 64%</w:t>
            </w:r>
          </w:p>
        </w:tc>
      </w:tr>
      <w:tr>
        <w:tc>
          <w:tcPr>
            <w:tcW w:type="dxa" w:w="195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Page Object reuse</w:t>
            </w:r>
          </w:p>
        </w:tc>
        <w:tc>
          <w:tcPr>
            <w:tcW w:type="dxa" w:w="37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Existing capabilities reused versus newly created, per generation run.</w:t>
            </w:r>
          </w:p>
        </w:tc>
        <w:tc>
          <w:tcPr>
            <w:tcW w:type="dxa" w:w="371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Current project: 5 of 9 elements reused in a recent case, 1 new capability created</w:t>
            </w:r>
          </w:p>
        </w:tc>
      </w:tr>
      <w:tr>
        <w:tc>
          <w:tcPr>
            <w:tcW w:type="dxa" w:w="195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Maintenance reduction</w:t>
            </w:r>
          </w:p>
        </w:tc>
        <w:tc>
          <w:tcPr>
            <w:tcW w:type="dxa" w:w="37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Declared capabilities versus implemented capabilities; duplicate capabilities detected.</w:t>
            </w:r>
          </w:p>
        </w:tc>
        <w:tc>
          <w:tcPr>
            <w:tcW w:type="dxa" w:w="371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Current project: 41 of 41 declared capabilities implemented, no duplicates</w:t>
            </w:r>
          </w:p>
        </w:tc>
      </w:tr>
      <w:tr>
        <w:tc>
          <w:tcPr>
            <w:tcW w:type="dxa" w:w="195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Automation acceptance</w:t>
            </w:r>
          </w:p>
        </w:tc>
        <w:tc>
          <w:tcPr>
            <w:tcW w:type="dxa" w:w="37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Generated tests accepted into the suite versus quarantined or routed for review.</w:t>
            </w:r>
          </w:p>
        </w:tc>
        <w:tc>
          <w:tcPr>
            <w:tcW w:type="dxa" w:w="371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Current project: 60 accepted, 56 quarantined, of 126 attempts</w:t>
            </w:r>
          </w:p>
        </w:tc>
      </w:tr>
      <w:tr>
        <w:tc>
          <w:tcPr>
            <w:tcW w:type="dxa" w:w="195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Exploration avoided</w:t>
            </w:r>
          </w:p>
        </w:tc>
        <w:tc>
          <w:tcPr>
            <w:tcW w:type="dxa" w:w="37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Cases requiring a live browser exploration before and after reusable application knowledge.</w:t>
            </w:r>
          </w:p>
        </w:tc>
        <w:tc>
          <w:tcPr>
            <w:tcW w:type="dxa" w:w="371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Current project: reduced from 31 cases to 7</w:t>
            </w:r>
          </w:p>
        </w:tc>
      </w:tr>
      <w:tr>
        <w:tc>
          <w:tcPr>
            <w:tcW w:type="dxa" w:w="195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Reliability in production use</w:t>
            </w:r>
          </w:p>
        </w:tc>
        <w:tc>
          <w:tcPr>
            <w:tcW w:type="dxa" w:w="37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Post-promotion failures traced to acting on the wrong element.</w:t>
            </w:r>
          </w:p>
        </w:tc>
        <w:tc>
          <w:tcPr>
            <w:tcW w:type="dxa" w:w="371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[XX incidents per release cycle]</w:t>
            </w:r>
          </w:p>
        </w:tc>
      </w:tr>
    </w:tbl>
    <w:p>
      <w:pPr>
        <w:pStyle w:val="Heading1"/>
        <w:spacing w:after="150" w:before="340"/>
      </w:pPr>
      <w:r>
        <w:rPr>
          <w:rFonts w:ascii="Cambria" w:cs="Cambria" w:eastAsia="Cambria" w:hAnsi="Cambria"/>
          <w:b/>
          <w:bCs/>
          <w:color w:val="0E2340"/>
          <w:sz w:val="30"/>
          <w:szCs w:val="30"/>
        </w:rPr>
        <w:t xml:space="preserve">12.  Recommended KPIs</w:t>
      </w:r>
    </w:p>
    <w:p>
      <w:pPr>
        <w:spacing w:after="140" w:before="0" w:line="280"/>
      </w:pPr>
      <w:r>
        <w:rPr>
          <w:rFonts w:ascii="Calibri" w:cs="Calibri" w:eastAsia="Calibri" w:hAnsi="Calibri"/>
          <w:b w:val="false"/>
          <w:bCs w:val="false"/>
          <w:i w:val="false"/>
          <w:iCs w:val="false"/>
          <w:caps w:val="false"/>
          <w:color w:val="2A3948"/>
          <w:sz w:val="21"/>
          <w:szCs w:val="21"/>
        </w:rPr>
        <w:t xml:space="preserve">We recommend agreeing a baseline before rollout and reporting the following each cycle:</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Automation creation lead time — test case accepted to test promoted, median and 90th percentile.</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Reuse ratio — capabilities reused as a proportion of all element decisions.</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AI escalation rate — decisions eligible for AI as a proportion of all decisions, and actual model spend per promoted test.</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Acceptance rate — generated tests promoted versus quarantined or held for review.</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Review queue health — cases in NEEDS_REVIEW, and median time to resolve them.</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Suite stability — failures per run split into application defects, environment issues and automation defects.</w:t>
      </w:r>
    </w:p>
    <w:p>
      <w:pPr>
        <w:pStyle w:val="ListParagraph"/>
        <w:numPr>
          <w:ilvl w:val="0"/>
          <w:numId w:val="4"/>
        </w:numPr>
        <w:spacing w:after="90" w:line="280"/>
      </w:pPr>
      <w:r>
        <w:rPr>
          <w:rFonts w:ascii="Calibri" w:cs="Calibri" w:eastAsia="Calibri" w:hAnsi="Calibri"/>
          <w:b w:val="false"/>
          <w:bCs w:val="false"/>
          <w:i w:val="false"/>
          <w:iCs w:val="false"/>
          <w:caps w:val="false"/>
          <w:color w:val="2A3948"/>
          <w:sz w:val="21"/>
          <w:szCs w:val="21"/>
        </w:rPr>
        <w:t xml:space="preserve">Maintenance load — engineering hours spent repairing existing automation per cycle.</w:t>
      </w:r>
    </w:p>
    <w:p>
      <w:pPr>
        <w:spacing w:after="140" w:before="0" w:line="280"/>
      </w:pPr>
      <w:r>
        <w:rPr>
          <w:rFonts w:ascii="Calibri" w:cs="Calibri" w:eastAsia="Calibri" w:hAnsi="Calibri"/>
          <w:b w:val="false"/>
          <w:bCs w:val="false"/>
          <w:i w:val="false"/>
          <w:iCs w:val="false"/>
          <w:caps w:val="false"/>
          <w:color w:val="2A3948"/>
          <w:sz w:val="21"/>
          <w:szCs w:val="21"/>
        </w:rPr>
        <w:t xml:space="preserve">The first three are the ones that answer the commercial question. The last three are the ones that show whether the quality claim is holding.</w:t>
      </w:r>
    </w:p>
    <w:p>
      <w:pPr>
        <w:pStyle w:val="Heading1"/>
        <w:spacing w:after="150" w:before="340"/>
      </w:pPr>
      <w:r>
        <w:rPr>
          <w:rFonts w:ascii="Cambria" w:cs="Cambria" w:eastAsia="Cambria" w:hAnsi="Cambria"/>
          <w:b/>
          <w:bCs/>
          <w:color w:val="0E2340"/>
          <w:sz w:val="30"/>
          <w:szCs w:val="30"/>
        </w:rPr>
        <w:t xml:space="preserve">13.  Client Approval and Next Steps</w:t>
      </w:r>
    </w:p>
    <w:tbl>
      <w:tblPr>
        <w:tblW w:type="dxa" w:w="9360"/>
        <w:tblBorders>
          <w:top w:val="single" w:color="00786D" w:sz="4"/>
          <w:left w:val="single" w:color="00786D" w:sz="4"/>
          <w:bottom w:val="single" w:color="00786D" w:sz="4"/>
          <w:right w:val="single" w:color="00786D" w:sz="4"/>
          <w:insideH w:val="single" w:color="auto" w:sz="4"/>
          <w:insideV w:val="single" w:color="auto" w:sz="4"/>
        </w:tblBorders>
      </w:tblPr>
      <w:tblGrid>
        <w:gridCol w:w="9360"/>
      </w:tblGrid>
      <w:tr>
        <w:tc>
          <w:tcPr>
            <w:tcW w:type="dxa" w:w="9360"/>
            <w:shd w:fill="E6F6F3" w:color="auto" w:val="clear"/>
            <w:tcMar>
              <w:top w:type="dxa" w:w="160"/>
              <w:left w:type="dxa" w:w="200"/>
              <w:bottom w:type="dxa" w:w="160"/>
              <w:right w:type="dxa" w:w="200"/>
            </w:tcMar>
          </w:tcPr>
          <w:p>
            <w:pPr>
              <w:spacing w:after="70"/>
            </w:pPr>
            <w:r>
              <w:rPr>
                <w:rFonts w:ascii="Calibri" w:cs="Calibri" w:eastAsia="Calibri" w:hAnsi="Calibri"/>
                <w:b/>
                <w:bCs/>
                <w:caps/>
                <w:color w:val="00786D"/>
                <w:spacing w:val="12"/>
                <w:sz w:val="20"/>
                <w:szCs w:val="20"/>
              </w:rPr>
              <w:t xml:space="preserve">Approval requested</w:t>
            </w:r>
          </w:p>
          <w:p>
            <w:pPr>
              <w:spacing w:after="0" w:before="0" w:line="280"/>
            </w:pPr>
            <w:r>
              <w:rPr>
                <w:rFonts w:ascii="Calibri" w:cs="Calibri" w:eastAsia="Calibri" w:hAnsi="Calibri"/>
                <w:b w:val="false"/>
                <w:bCs w:val="false"/>
                <w:i w:val="false"/>
                <w:iCs w:val="false"/>
                <w:caps w:val="false"/>
                <w:color w:val="2A3948"/>
                <w:sz w:val="21"/>
                <w:szCs w:val="21"/>
              </w:rPr>
              <w:t xml:space="preserve">Approve the MoolyaAura approach of deterministic-first automation, selective AI escalation, reusable Page Objects, evidence-driven safety and governed promotion.</w:t>
            </w:r>
          </w:p>
        </w:tc>
      </w:tr>
    </w:tbl>
    <w:p>
      <w:pPr>
        <w:spacing w:after="120"/>
      </w:pPr>
    </w:p>
    <w:p>
      <w:pPr>
        <w:spacing w:after="140" w:before="0" w:line="280"/>
      </w:pPr>
      <w:r>
        <w:rPr>
          <w:rFonts w:ascii="Calibri" w:cs="Calibri" w:eastAsia="Calibri" w:hAnsi="Calibri"/>
          <w:b w:val="false"/>
          <w:bCs w:val="false"/>
          <w:i w:val="false"/>
          <w:iCs w:val="false"/>
          <w:caps w:val="false"/>
          <w:color w:val="2A3948"/>
          <w:sz w:val="21"/>
          <w:szCs w:val="21"/>
        </w:rPr>
        <w:t xml:space="preserve">On approval, we propose the following sequence:</w:t>
      </w:r>
    </w:p>
    <w:p>
      <w:pPr>
        <w:pStyle w:val="ListParagraph"/>
        <w:numPr>
          <w:ilvl w:val="0"/>
          <w:numId w:val="5"/>
        </w:numPr>
        <w:spacing w:after="90" w:line="280"/>
      </w:pPr>
      <w:r>
        <w:rPr>
          <w:rFonts w:ascii="Calibri" w:cs="Calibri" w:eastAsia="Calibri" w:hAnsi="Calibri"/>
          <w:b w:val="false"/>
          <w:bCs w:val="false"/>
          <w:i w:val="false"/>
          <w:iCs w:val="false"/>
          <w:caps w:val="false"/>
          <w:color w:val="2A3948"/>
          <w:sz w:val="21"/>
          <w:szCs w:val="21"/>
        </w:rPr>
        <w:t xml:space="preserve">Agree the measurement baseline — current hours per automated test case, current maintenance load, and current suite stability.</w:t>
      </w:r>
    </w:p>
    <w:p>
      <w:pPr>
        <w:pStyle w:val="ListParagraph"/>
        <w:numPr>
          <w:ilvl w:val="0"/>
          <w:numId w:val="5"/>
        </w:numPr>
        <w:spacing w:after="90" w:line="280"/>
      </w:pPr>
      <w:r>
        <w:rPr>
          <w:rFonts w:ascii="Calibri" w:cs="Calibri" w:eastAsia="Calibri" w:hAnsi="Calibri"/>
          <w:b w:val="false"/>
          <w:bCs w:val="false"/>
          <w:i w:val="false"/>
          <w:iCs w:val="false"/>
          <w:caps w:val="false"/>
          <w:color w:val="2A3948"/>
          <w:sz w:val="21"/>
          <w:szCs w:val="21"/>
        </w:rPr>
        <w:t xml:space="preserve">Select a pilot scope — one or two application areas with a representative mix of forms, lists and dialogs.</w:t>
      </w:r>
    </w:p>
    <w:p>
      <w:pPr>
        <w:pStyle w:val="ListParagraph"/>
        <w:numPr>
          <w:ilvl w:val="0"/>
          <w:numId w:val="5"/>
        </w:numPr>
        <w:spacing w:after="90" w:line="280"/>
      </w:pPr>
      <w:r>
        <w:rPr>
          <w:rFonts w:ascii="Calibri" w:cs="Calibri" w:eastAsia="Calibri" w:hAnsi="Calibri"/>
          <w:b w:val="false"/>
          <w:bCs w:val="false"/>
          <w:i w:val="false"/>
          <w:iCs w:val="false"/>
          <w:caps w:val="false"/>
          <w:color w:val="2A3948"/>
          <w:sz w:val="21"/>
          <w:szCs w:val="21"/>
        </w:rPr>
        <w:t xml:space="preserve">Record and generate the pilot set, reporting reuse, AI escalation and acceptance for every case.</w:t>
      </w:r>
    </w:p>
    <w:p>
      <w:pPr>
        <w:pStyle w:val="ListParagraph"/>
        <w:numPr>
          <w:ilvl w:val="0"/>
          <w:numId w:val="5"/>
        </w:numPr>
        <w:spacing w:after="90" w:line="280"/>
      </w:pPr>
      <w:r>
        <w:rPr>
          <w:rFonts w:ascii="Calibri" w:cs="Calibri" w:eastAsia="Calibri" w:hAnsi="Calibri"/>
          <w:b w:val="false"/>
          <w:bCs w:val="false"/>
          <w:i w:val="false"/>
          <w:iCs w:val="false"/>
          <w:caps w:val="false"/>
          <w:color w:val="2A3948"/>
          <w:sz w:val="21"/>
          <w:szCs w:val="21"/>
        </w:rPr>
        <w:t xml:space="preserve">Review the outcome against the KPIs in Section 12 and agree rollout scope.</w:t>
      </w:r>
    </w:p>
    <w:p>
      <w:pPr>
        <w:pStyle w:val="Heading2"/>
        <w:spacing w:after="110" w:before="240"/>
      </w:pPr>
      <w:r>
        <w:rPr>
          <w:rFonts w:ascii="Calibri" w:cs="Calibri" w:eastAsia="Calibri" w:hAnsi="Calibri"/>
          <w:b/>
          <w:bCs/>
          <w:color w:val="1F4370"/>
          <w:sz w:val="23"/>
          <w:szCs w:val="23"/>
        </w:rPr>
        <w:t xml:space="preserve">Known boundaries, stated plainly</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Recordings made before a given capture mechanism existed do not carry the information that mechanism needs. Such cases are re-recorded rather than repaired, because inferring the missing information would be a guess.</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Where an application offers no stable way to distinguish two items — for example list rows whose descriptions overlap — the platform will correctly report the case for review rather than choose between them.</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A small number of tests accepted under earlier versions of the safety rules are held for re-recording under the current rules. They are identified and tracked rather than silently trusted.</w:t>
      </w:r>
    </w:p>
    <w:p>
      <w:pPr>
        <w:pStyle w:val="ListParagraph"/>
        <w:numPr>
          <w:ilvl w:val="0"/>
          <w:numId w:val="2"/>
        </w:numPr>
        <w:spacing w:after="90" w:line="280"/>
      </w:pPr>
      <w:r>
        <w:rPr>
          <w:rFonts w:ascii="Calibri" w:cs="Calibri" w:eastAsia="Calibri" w:hAnsi="Calibri"/>
          <w:b w:val="false"/>
          <w:bCs w:val="false"/>
          <w:i w:val="false"/>
          <w:iCs w:val="false"/>
          <w:caps w:val="false"/>
          <w:color w:val="2A3948"/>
          <w:sz w:val="21"/>
          <w:szCs w:val="21"/>
        </w:rPr>
        <w:t xml:space="preserve">End-to-end evidence of the newest capture mechanisms is established offline and on individual live cases; broader live proving continues as the corpus grows.</w:t>
      </w:r>
    </w:p>
    <w:p>
      <w:r>
        <w:br w:type="page"/>
      </w:r>
    </w:p>
    <w:p>
      <w:pPr>
        <w:pStyle w:val="Heading1"/>
        <w:spacing w:after="150" w:before="340"/>
      </w:pPr>
      <w:r>
        <w:rPr>
          <w:rFonts w:ascii="Cambria" w:cs="Cambria" w:eastAsia="Cambria" w:hAnsi="Cambria"/>
          <w:b/>
          <w:bCs/>
          <w:color w:val="0E2340"/>
          <w:sz w:val="30"/>
          <w:szCs w:val="30"/>
        </w:rPr>
        <w:t xml:space="preserve">14.  Client-Friendly Glossary</w:t>
      </w:r>
    </w:p>
    <w:tbl>
      <w:tblPr>
        <w:tblW w:type="dxa" w:w="9360"/>
        <w:tblBorders>
          <w:top w:val="single" w:color="D7E1EC" w:sz="2"/>
          <w:left w:val="single" w:color="D7E1EC" w:sz="2"/>
          <w:bottom w:val="single" w:color="D7E1EC" w:sz="2"/>
          <w:right w:val="single" w:color="D7E1EC" w:sz="2"/>
          <w:insideH w:val="single" w:color="D7E1EC" w:sz="2"/>
          <w:insideV w:val="single" w:color="D7E1EC" w:sz="2"/>
        </w:tblBorders>
      </w:tblPr>
      <w:tblGrid>
        <w:gridCol w:w="2300"/>
        <w:gridCol w:w="7060"/>
      </w:tblGrid>
      <w:tr>
        <w:trPr>
          <w:tblHeader/>
        </w:trPr>
        <w:tc>
          <w:tcPr>
            <w:tcW w:type="dxa" w:w="230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Term</w:t>
            </w:r>
          </w:p>
        </w:tc>
        <w:tc>
          <w:tcPr>
            <w:tcW w:type="dxa" w:w="7060"/>
            <w:shd w:fill="0E2340"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What it means</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Deterministic approach</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framework follows predefined, predictable rules instead of asking AI to make every decision.</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Evidence</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Browser-observed information captured while the tester performs the action.</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Provenance</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link between a recorded action or check and the exact element in the browser it was about.</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Page Object</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 reusable automation capability representing part of the application — an element or a business interaction.</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Parameterised Page Object</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One reusable capability that works with different values, for example "the row for a named issue".</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Semantic resolution</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Understanding what an element represents based on its meaning, role or business purpose.</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Contextual resolution</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Identifying an element using its surrounding user interface, such as its row, dialog, section or container.</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Structural resolution</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Identifying an element by relationships the interface states outright — parent, child, container or row.</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Cardinality</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How many elements an instruction matches. More than one is an ambiguity, not a detail.</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Strict mode</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browser engine’s refusal to act when an instruction matches more than one element — a protection, not an error to work around.</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Positional recovery</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Using a browser-observed position only as a final deterministic fallback, when stronger approaches remain ambiguous.</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Identifier safety</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Checking whether an identifier is trustworthy — stable and authored — before relying on it.</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AI escalation</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Using AI only when deterministic mechanisms cannot safely resolve an eligible case.</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NEEDS_REVIEW</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A safe stop used when the framework cannot confidently prove the intended element. It refuses to guess.</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Quarantine</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Where a generated test is held when it cannot be trusted — outside the suite, so it never counts as coverage.</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Falsification check</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Running a test with its checks deliberately broken to prove the test is capable of failing.</w:t>
            </w:r>
          </w:p>
        </w:tc>
      </w:tr>
      <w:tr>
        <w:tc>
          <w:tcPr>
            <w:tcW w:type="dxa" w:w="230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Promotion</w:t>
            </w:r>
          </w:p>
        </w:tc>
        <w:tc>
          <w:tcPr>
            <w:tcW w:type="dxa" w:w="7060"/>
            <w:shd w:fill="EAF1F8"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point at which a test is accepted into the automated suite, earned only by a green run.</w:t>
            </w:r>
          </w:p>
        </w:tc>
      </w:tr>
      <w:tr>
        <w:tc>
          <w:tcPr>
            <w:tcW w:type="dxa" w:w="230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Traceability</w:t>
            </w:r>
          </w:p>
        </w:tc>
        <w:tc>
          <w:tcPr>
            <w:tcW w:type="dxa" w:w="7060"/>
            <w:shd w:fill="FFFFFF" w:color="auto" w:val="clear"/>
            <w:tcMar>
              <w:top w:type="dxa" w:w="100"/>
              <w:left w:type="dxa" w:w="140"/>
              <w:bottom w:type="dxa" w:w="100"/>
              <w:right w:type="dxa" w:w="140"/>
            </w:tcMar>
          </w:tcPr>
          <w:p>
            <w:pPr>
              <w:spacing w:after="0" w:line="260"/>
            </w:pPr>
            <w:r>
              <w:rPr>
                <w:rFonts w:ascii="Calibri" w:cs="Calibri" w:eastAsia="Calibri" w:hAnsi="Calibri"/>
                <w:color w:val="2A3948"/>
                <w:sz w:val="18"/>
                <w:szCs w:val="18"/>
              </w:rPr>
              <w:t xml:space="preserve">The unbroken link from test case, to recording, to evidence, to generated code, to execution result.</w:t>
            </w:r>
          </w:p>
        </w:tc>
      </w:tr>
    </w:tbl>
    <w:p>
      <w:pPr>
        <w:spacing w:after="200"/>
      </w:pPr>
    </w:p>
    <w:p>
      <w:pPr>
        <w:spacing w:after="140" w:before="0" w:line="280"/>
        <w:jc w:val="center"/>
      </w:pPr>
      <w:r>
        <w:rPr>
          <w:rFonts w:ascii="Calibri" w:cs="Calibri" w:eastAsia="Calibri" w:hAnsi="Calibri"/>
          <w:b/>
          <w:bCs/>
          <w:i w:val="false"/>
          <w:iCs w:val="false"/>
          <w:caps w:val="false"/>
          <w:color w:val="46586C"/>
          <w:spacing w:val="14"/>
          <w:sz w:val="18"/>
          <w:szCs w:val="18"/>
        </w:rPr>
        <w:t xml:space="preserve">DETERMINISTIC FIRST  •  EVIDENCE BEFORE INFERENCE  •  AI ONLY WHEN NEEDED  •  REUSE BEFORE CREATION  •  SAFETY BEFORE PROMOTION</w:t>
      </w:r>
    </w:p>
    <w:sectPr>
      <w:headerReference w:type="default" r:id="rId7"/>
      <w:footerReference w:type="default" r:id="rId8"/>
      <w:pgSz w:w="12240" w:h="15840" w:orient="portrait"/>
      <w:pgMar w:top="1300" w:right="1440" w:bottom="1150" w:left="1440" w:header="70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Calibri" w:cs="Calibri" w:eastAsia="Calibri" w:hAnsi="Calibri"/>
        <w:color w:val="46586C"/>
        <w:sz w:val="16"/>
        <w:szCs w:val="16"/>
      </w:rPr>
      <w:t xml:space="preserve">Moolya  •  Client Architecture &amp; Value Overview  •  24 August 2026</w:t>
    </w:r>
    <w:r>
      <w:rPr>
        <w:rFonts w:ascii="Calibri" w:cs="Calibri" w:eastAsia="Calibri" w:hAnsi="Calibri"/>
        <w:color w:val="46586C"/>
        <w:sz w:val="16"/>
        <w:szCs w:val="16"/>
      </w:rPr>
      <w:t xml:space="preserve">	Page </w:t>
    </w:r>
    <w:r>
      <w:rPr>
        <w:rFonts w:ascii="Calibri" w:cs="Calibri" w:eastAsia="Calibri" w:hAnsi="Calibri"/>
        <w:b/>
        <w:bCs/>
        <w:color w:val="46586C"/>
        <w:sz w:val="16"/>
        <w:szCs w:val="16"/>
      </w:rPr>
      <w:fldChar w:fldCharType="begin"/>
      <w:instrText xml:space="preserve">PAGE</w:instrText>
      <w:fldChar w:fldCharType="separate"/>
      <w:fldChar w:fldCharType="end"/>
    </w:r>
    <w:r>
      <w:rPr>
        <w:rFonts w:ascii="Calibri" w:cs="Calibri" w:eastAsia="Calibri" w:hAnsi="Calibri"/>
        <w:color w:val="46586C"/>
        <w:sz w:val="16"/>
        <w:szCs w:val="16"/>
      </w:rPr>
      <w:t xml:space="preserve"> of </w:t>
    </w:r>
    <w:r>
      <w:rPr>
        <w:rFonts w:ascii="Calibri" w:cs="Calibri" w:eastAsia="Calibri" w:hAnsi="Calibri"/>
        <w:b/>
        <w:bCs/>
        <w:color w:val="4658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1EC" w:sz="4" w:space="6"/>
      </w:pBdr>
      <w:tabs>
        <w:tab w:val="right" w:pos="9360"/>
      </w:tabs>
      <w:spacing w:after="0"/>
    </w:pPr>
    <w:r>
      <w:rPr>
        <w:rFonts w:ascii="Cambria" w:cs="Cambria" w:eastAsia="Cambria" w:hAnsi="Cambria"/>
        <w:b/>
        <w:bCs/>
        <w:color w:val="0E2340"/>
        <w:sz w:val="18"/>
        <w:szCs w:val="18"/>
      </w:rPr>
      <w:t xml:space="preserve">MoolyaAura</w:t>
    </w:r>
    <w:r>
      <w:rPr>
        <w:rFonts w:ascii="Calibri" w:cs="Calibri" w:eastAsia="Calibri" w:hAnsi="Calibri"/>
        <w:color w:val="46586C"/>
        <w:sz w:val="17"/>
        <w:szCs w:val="17"/>
      </w:rPr>
      <w:t xml:space="preserve">	Intelligent Test Automation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00786D"/>
      </w:rPr>
    </w:lvl>
  </w:abstractNum>
  <w:abstractNum w:abstractNumId="3" w15:restartNumberingAfterBreak="0">
    <w:multiLevelType w:val="hybridMultilevel"/>
    <w:lvl w:ilvl="0" w15:tentative="1">
      <w:start w:val="1"/>
      <w:numFmt w:val="decimal"/>
      <w:lvlText w:val="%1."/>
      <w:lvlJc w:val="left"/>
      <w:pPr>
        <w:ind w:left="450" w:hanging="340"/>
      </w:pPr>
      <w:rPr>
        <w:rFonts w:ascii="Calibri" w:cs="Calibri" w:eastAsia="Calibri" w:hAnsi="Calibri"/>
        <w:b/>
        <w:bCs/>
        <w:color w:val="00786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948"/>
        <w:sz w:val="21"/>
        <w:szCs w:val="21"/>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MoolyaAura — Client Architecture &amp; Value Overview</dc:title>
  <dc:creator>Moolya</dc:creator>
  <dc:description>Deterministic-first, evidence-driven test automation with controlled AI escalation.</dc:description>
  <cp:lastModifiedBy>Un-named</cp:lastModifiedBy>
  <cp:revision>1</cp:revision>
  <dcterms:created xsi:type="dcterms:W3CDTF">2026-08-24T05:41:31.885Z</dcterms:created>
  <dcterms:modified xsi:type="dcterms:W3CDTF">2026-08-24T05:41:31.885Z</dcterms:modified>
</cp:coreProperties>
</file>

<file path=docProps/custom.xml><?xml version="1.0" encoding="utf-8"?>
<Properties xmlns="http://schemas.openxmlformats.org/officeDocument/2006/custom-properties" xmlns:vt="http://schemas.openxmlformats.org/officeDocument/2006/docPropsVTypes"/>
</file>