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30"/>
          <w:szCs w:val="30"/>
        </w:rPr>
        <w:t xml:space="preserve">2. El modelo formal</w:t>
      </w:r>
    </w:p>
    <w:p>
      <w:pPr>
        <w:pBdr>
          <w:bottom w:val="single" w:color="CCCCCC" w:sz="6" w:space="8"/>
        </w:pBdr>
        <w:spacing w:after="200"/>
      </w:pPr>
      <w:r>
        <w:rPr>
          <w:i/>
          <w:iCs/>
          <w:color w:val="777777"/>
          <w:sz w:val="20"/>
          <w:szCs w:val="20"/>
        </w:rPr>
        <w:t xml:space="preserve">Borrador de la sección formal del preprint. Lenguaje principal: vectores y fuerzas (intuición física), acompañado de notación matemática precisa. Presentado como arquitectura de orientación de agentes; la lectura emocional es una interpretación de la misma estructura.</w:t>
      </w:r>
    </w:p>
    <w:p>
      <w:pPr>
        <w:pStyle w:val="Heading2"/>
      </w:pPr>
      <w:r>
        <w:t xml:space="preserve">2.1. El estado: seis fuerzas en tres dominios de supervivencia</w:t>
      </w:r>
    </w:p>
    <w:p>
      <w:pPr>
        <w:spacing w:after="160"/>
      </w:pPr>
      <w:r>
        <w:t xml:space="preserve">Consideramos un agente que debe mantener su viabilidad en un entorno. Su estado interno de orientación se define sobre tres ejes, cada uno correspondiente a un dominio de supervivencia: el físico o corporal (F), el material o de recursos (R), y el social o relacional (S). Estos tres dominios capturan las clases de cosas que un agente situado puede ganar o perder con consecuencias para su persistencia: su integridad física, los recursos que sostienen su actividad, y los vínculos con otros agentes.</w:t>
      </w:r>
    </w:p>
    <w:p>
      <w:pPr>
        <w:spacing w:after="160"/>
      </w:pPr>
      <w:r>
        <w:t xml:space="preserve">Cada dominio está gobernado por dos fuerzas oponentes e independientes: una fuerza de aproximación, f⁺ (ganancia, acercamiento), y una fuerza de evitación, f⁻ (pérdida, alejamiento). Cada fuerza es un vector sobre su eje: las dos fuerzas de un mismo eje comparten dirección (la recta del eje) pero tienen sentidos opuestos — f⁺ apunta al polo de aproximación, f⁻ al de evitación. Cada vector tiene un módulo no negativo (la magnitud de la fuerza; un vector nulo es una fuerza ausente, nunca “negativa”). El estado de orientación del agente queda definido por seis magnitudes no negativas:</w:t>
      </w:r>
    </w:p>
    <w:p>
      <w:pPr>
        <w:spacing w:after="160" w:before="80"/>
        <w:jc w:val="center"/>
      </w:pPr>
      <w:r>
        <w:rPr>
          <w:rFonts w:ascii="Cambria Math" w:cs="Cambria Math" w:eastAsia="Cambria Math" w:hAnsi="Cambria Math"/>
          <w:i/>
          <w:iCs/>
          <w:sz w:val="24"/>
          <w:szCs w:val="24"/>
        </w:rPr>
        <w:t xml:space="preserve">S = (f⁺_F, f⁻_F, f⁺_R, f⁻_R, f⁺_S, f⁻_S),   con  f±_a ≥ 0</w:t>
      </w:r>
    </w:p>
    <w:p>
      <w:pPr>
        <w:spacing w:after="160"/>
      </w:pPr>
      <w:r>
        <w:t xml:space="preserve">(El superíndice indica el sentido — aproximación (+) o evitación (−) — y el subíndice indica el eje.) La independencia de las dos fuerzas de un mismo eje es la propiedad estructural central del modelo, y lo distingue de las representaciones que asignan un único grado de libertad con signo a cada dimensión. Las dos fuerzas no están acopladas entre sí: pueden crecer juntas, decrecer juntas, o variar en sentidos opuestos. El signo de la orientación resultante no lo porta ninguna fuerza por separado —ambas son módulos positivos— sino que emerge de su diferencia, mientras que la carga total del eje emerge de su suma (sección 2.2).</w:t>
      </w:r>
    </w:p>
    <w:p>
      <w:pPr>
        <w:pBdr>
          <w:left w:val="single" w:color="BBBBBB" w:sz="12" w:space="12"/>
        </w:pBdr>
        <w:spacing w:after="140"/>
        <w:ind w:left="360"/>
      </w:pPr>
      <w:r>
        <w:rPr>
          <w:b/>
          <w:bCs/>
        </w:rPr>
        <w:t xml:space="preserve">Interpretación. </w:t>
      </w:r>
      <w:r>
        <w:t xml:space="preserve">En el dominio de las emociones humanas, f⁺ y f⁻ corresponden a las fuerzas de placer y displacer asociadas a cada dominio vital, y el modelo recupera fenómenos afectivos reconocibles (secciones 3–4). Presentamos el modelo en términos de orientación de agentes por generalidad; la lectura emocional es una interpretación de la misma estructura.</w:t>
      </w:r>
    </w:p>
    <w:p>
      <w:pPr>
        <w:pStyle w:val="Heading2"/>
      </w:pPr>
      <w:r>
        <w:t xml:space="preserve">2.2. Magnitudes derivadas: posición y tensión</w:t>
      </w:r>
    </w:p>
    <w:p>
      <w:pPr>
        <w:spacing w:after="160"/>
      </w:pPr>
      <w:r>
        <w:t xml:space="preserve">De la composición de los dos vectores oponentes de un eje emergen dos magnitudes que describen su estado de forma interpretable:</w:t>
      </w:r>
    </w:p>
    <w:p>
      <w:pPr>
        <w:spacing w:after="160" w:before="80"/>
        <w:jc w:val="center"/>
      </w:pPr>
      <w:r>
        <w:rPr>
          <w:rFonts w:ascii="Cambria Math" w:cs="Cambria Math" w:eastAsia="Cambria Math" w:hAnsi="Cambria Math"/>
          <w:i/>
          <w:iCs/>
          <w:sz w:val="24"/>
          <w:szCs w:val="24"/>
        </w:rPr>
        <w:t xml:space="preserve">posición:  pos_a = f⁺_a − f⁻_a          tensión:  ten_a = f⁺_a + f⁻_a</w:t>
      </w:r>
    </w:p>
    <w:p>
      <w:pPr>
        <w:spacing w:after="160"/>
      </w:pPr>
      <w:r>
        <w:rPr>
          <w:b/>
          <w:bCs/>
        </w:rPr>
        <w:t xml:space="preserve">Posición </w:t>
      </w:r>
      <w:r>
        <w:t xml:space="preserve">(el vector resultante): hacia qué sentido se inclina el eje y con qué módulo neto. Positiva si domina la aproximación, negativa si domina la evitación, nula cuando ambas fuerzas se equilibran. Es el resultado de la oposición entre las dos fuerzas —cuál “gana” y por cuánto—, como la fuerza neta en una tira de cuerda.</w:t>
      </w:r>
    </w:p>
    <w:p>
      <w:pPr>
        <w:spacing w:after="160"/>
      </w:pPr>
      <w:r>
        <w:rPr>
          <w:b/>
          <w:bCs/>
        </w:rPr>
        <w:t xml:space="preserve">Tensión </w:t>
      </w:r>
      <w:r>
        <w:t xml:space="preserve">(la suma de los módulos): la carga total del eje, cuánta fuerza actúa en él con independencia de hacia dónde se incline. Es la energía o activación del eje.</w:t>
      </w:r>
    </w:p>
    <w:p>
      <w:pPr>
        <w:spacing w:after="160"/>
      </w:pPr>
      <w:r>
        <w:t xml:space="preserve">La consecuencia central de tratar las dos fuerzas como independientes es que posición y tensión son separables: un mismo valor de posición puede corresponder a tensiones muy distintas. En particular, dos estados con posición nula no son equivalentes:</w:t>
      </w:r>
    </w:p>
    <w:p>
      <w:pPr>
        <w:spacing w:after="160" w:before="80"/>
        <w:jc w:val="center"/>
      </w:pPr>
      <w:r>
        <w:rPr>
          <w:rFonts w:ascii="Cambria Math" w:cs="Cambria Math" w:eastAsia="Cambria Math" w:hAnsi="Cambria Math"/>
          <w:i/>
          <w:iCs/>
          <w:sz w:val="24"/>
          <w:szCs w:val="24"/>
        </w:rPr>
        <w:t xml:space="preserve">(f⁺=1, f⁻=1): pos=0, ten=2 — equilibrio relajado (calma)</w:t>
      </w:r>
    </w:p>
    <w:p>
      <w:pPr>
        <w:spacing w:after="160" w:before="80"/>
        <w:jc w:val="center"/>
      </w:pPr>
      <w:r>
        <w:rPr>
          <w:rFonts w:ascii="Cambria Math" w:cs="Cambria Math" w:eastAsia="Cambria Math" w:hAnsi="Cambria Math"/>
          <w:i/>
          <w:iCs/>
          <w:sz w:val="24"/>
          <w:szCs w:val="24"/>
        </w:rPr>
        <w:t xml:space="preserve">(f⁺=8, f⁻=8): pos=0, ten=16 — equilibrio cargado (tensión contenida)</w:t>
      </w:r>
    </w:p>
    <w:p>
      <w:pPr>
        <w:spacing w:after="160"/>
      </w:pPr>
      <w:r>
        <w:t xml:space="preserve">Ambos están igualmente centrados (ninguna fuerza domina), pero el primero es un sistema en reposo y el segundo un sistema bajo fuerte carga interna no resuelta. Las representaciones de un solo grado de libertad por eje, que codifican solo la posición, no pueden distinguir estos estados; el modelo sí. La distinción tiene consecuencias conductuales medibles (sección 4).</w:t>
      </w:r>
    </w:p>
    <w:p>
      <w:pPr>
        <w:pStyle w:val="Heading2"/>
      </w:pPr>
      <w:r>
        <w:t xml:space="preserve">2.3. El descentramiento basal: el equilibrio no es la neutralidad</w:t>
      </w:r>
    </w:p>
    <w:p>
      <w:pPr>
        <w:spacing w:after="160"/>
      </w:pPr>
      <w:r>
        <w:t xml:space="preserve">Un sistema cuyo estado de reposo fuera la neutralidad —todas las posiciones en cero— no tendría razón para actuar: descansaría en el centro y permanecería inerte. Para que un agente sea proactivo —para que busque y mantenga su viabilidad en lugar de esperar pasivamente las perturbaciones— su estado de equilibrio debe estar desplazado hacia la ganancia. Llamamos a esto el descentramiento basal: cada eje tiene una posición deseada (objetivo) que no es cero, sino positiva:</w:t>
      </w:r>
    </w:p>
    <w:p>
      <w:pPr>
        <w:spacing w:after="160" w:before="80"/>
        <w:jc w:val="center"/>
      </w:pPr>
      <w:r>
        <w:rPr>
          <w:rFonts w:ascii="Cambria Math" w:cs="Cambria Math" w:eastAsia="Cambria Math" w:hAnsi="Cambria Math"/>
          <w:i/>
          <w:iCs/>
          <w:sz w:val="24"/>
          <w:szCs w:val="24"/>
        </w:rPr>
        <w:t xml:space="preserve">posición objetivo del eje a:  p̂_a &gt; 0</w:t>
      </w:r>
    </w:p>
    <w:p>
      <w:pPr>
        <w:pBdr>
          <w:left w:val="single" w:color="BBBBBB" w:sz="12" w:space="12"/>
        </w:pBdr>
        <w:spacing w:after="140"/>
        <w:ind w:left="360"/>
      </w:pPr>
      <w:r>
        <w:rPr>
          <w:b/>
          <w:bCs/>
        </w:rPr>
        <w:t xml:space="preserve">Intuición física. </w:t>
      </w:r>
      <w:r>
        <w:t xml:space="preserve">Como un cuerpo que no reposa en horizontal sino sobre una leve pendiente: siempre tiende a rodar hacia el lado de la ganancia. Esa inclinación permanente es el motor que mantiene al agente en movimiento. El reposo absoluto no es el estado buscado, sino un estado empobrecido del que el sistema tiende a salir.</w:t>
      </w:r>
    </w:p>
    <w:p>
      <w:pPr>
        <w:pBdr>
          <w:left w:val="single" w:color="BBBBBB" w:sz="12" w:space="12"/>
        </w:pBdr>
        <w:spacing w:after="140"/>
        <w:ind w:left="360"/>
      </w:pPr>
      <w:r>
        <w:rPr>
          <w:b/>
          <w:bCs/>
        </w:rPr>
        <w:t xml:space="preserve">Origen del modelo. </w:t>
      </w:r>
      <w:r>
        <w:t xml:space="preserve">Una primera formulación descriptiva presentó la esfera de estados en equilibrio neutro por claridad expositiva. La formalización aquí presentada hace explícito el descentramiento basal, necesario para generar conducta proactiva. El “centro” es una referencia homeostática convencional; lo esencial es que el equilibrio buscado está desplazado hacia la ganancia, no en la neutralidad.</w:t>
      </w:r>
    </w:p>
    <w:p>
      <w:pPr>
        <w:pStyle w:val="Heading2"/>
      </w:pPr>
      <w:r>
        <w:t xml:space="preserve">2.4. Límites del sistema: mínimo basal y techo de volumen</w:t>
      </w:r>
    </w:p>
    <w:p>
      <w:pPr>
        <w:spacing w:after="160"/>
      </w:pPr>
      <w:r>
        <w:rPr>
          <w:b/>
          <w:bCs/>
        </w:rPr>
        <w:t xml:space="preserve">Mínimo basal. </w:t>
      </w:r>
      <w:r>
        <w:t xml:space="preserve">Ningún eje puede quedar completamente descargado. La tensión de cada eje tiene un suelo por debajo del cual no puede descender:</w:t>
      </w:r>
    </w:p>
    <w:p>
      <w:pPr>
        <w:spacing w:after="160" w:before="80"/>
        <w:jc w:val="center"/>
      </w:pPr>
      <w:r>
        <w:rPr>
          <w:rFonts w:ascii="Cambria Math" w:cs="Cambria Math" w:eastAsia="Cambria Math" w:hAnsi="Cambria Math"/>
          <w:i/>
          <w:iCs/>
          <w:sz w:val="24"/>
          <w:szCs w:val="24"/>
        </w:rPr>
        <w:t xml:space="preserve">ten_a ≥ τ_min,  para todo eje a</w:t>
      </w:r>
    </w:p>
    <w:p>
      <w:pPr>
        <w:pBdr>
          <w:left w:val="single" w:color="BBBBBB" w:sz="12" w:space="12"/>
        </w:pBdr>
        <w:spacing w:after="140"/>
        <w:ind w:left="360"/>
      </w:pPr>
      <w:r>
        <w:rPr>
          <w:b/>
          <w:bCs/>
        </w:rPr>
        <w:t xml:space="preserve">Intuición. </w:t>
      </w:r>
      <w:r>
        <w:t xml:space="preserve">Un sistema con toda su tensión a cero sería inerte, un agente “apagado”. El mínimo basal garantiza una actividad mínima en cada dominio: el sistema nunca deja de estar vivo. La dinámica natural tiende a relajar la tensión hacia el reposo, pero esta no puede atravesar el suelo basal: al alcanzarlo, se detiene ahí. Cuando este límite actúa, eleva por igual el módulo de ambos vectores oponentes, de modo que la tensión se mantiene en el mínimo sin alterar la posición (la inclinación del eje se conserva).</w:t>
      </w:r>
    </w:p>
    <w:p>
      <w:pPr>
        <w:spacing w:after="160"/>
      </w:pPr>
      <w:r>
        <w:rPr>
          <w:b/>
          <w:bCs/>
        </w:rPr>
        <w:t xml:space="preserve">Techo de volumen. </w:t>
      </w:r>
      <w:r>
        <w:t xml:space="preserve">La suma de las tensiones de los tres ejes no puede superar un máximo:</w:t>
      </w:r>
    </w:p>
    <w:p>
      <w:pPr>
        <w:spacing w:after="160" w:before="80"/>
        <w:jc w:val="center"/>
      </w:pPr>
      <w:r>
        <w:rPr>
          <w:rFonts w:ascii="Cambria Math" w:cs="Cambria Math" w:eastAsia="Cambria Math" w:hAnsi="Cambria Math"/>
          <w:i/>
          <w:iCs/>
          <w:sz w:val="24"/>
          <w:szCs w:val="24"/>
        </w:rPr>
        <w:t xml:space="preserve">ten_F + ten_R + ten_S ≤ V_max</w:t>
      </w:r>
    </w:p>
    <w:p>
      <w:pPr>
        <w:pBdr>
          <w:left w:val="single" w:color="BBBBBB" w:sz="12" w:space="12"/>
        </w:pBdr>
        <w:spacing w:after="140"/>
        <w:ind w:left="360"/>
      </w:pPr>
      <w:r>
        <w:rPr>
          <w:b/>
          <w:bCs/>
        </w:rPr>
        <w:t xml:space="preserve">Intuición. </w:t>
      </w:r>
      <w:r>
        <w:t xml:space="preserve">El techo representa la capacidad finita del sistema: la activación total (o la atención) que puede sostener es limitada; no puede estar al máximo en los tres dominios a la vez. El presupuesto total se reparte libremente, admitiendo cualquier distribución: un solo dominio acaparando casi toda la capacidad mientras los otros quedan en su mínimo (orientación concentrada); dos dominios cargados y el tercero en su mínimo (orientación repartida entre dos); o los tres en niveles comparables (orientación distribuida). Cuando un aumento haría superar el techo, el exceso se recorta solo del volumen por encima del mínimo basal, de modo que los ejes ya en su mínimo no descienden y se preservan las distribuciones asimétricas.</w:t>
      </w:r>
    </w:p>
    <w:p>
      <w:pPr>
        <w:pStyle w:val="Heading2"/>
      </w:pPr>
      <w:r>
        <w:t xml:space="preserve">2.5. El acoplamiento entre ejes</w:t>
      </w:r>
    </w:p>
    <w:p>
      <w:pPr>
        <w:spacing w:after="160"/>
      </w:pPr>
      <w:r>
        <w:t xml:space="preserve">Los tres ejes no son independientes: la activación de un dominio influye en la urgencia de los demás. El acoplamiento es mutuo —cada eje afecta a los otros dos— pero no simétrico en intensidad: cada eje arrastra con una fuerza proporcional a su propia sensibilidad.</w:t>
      </w:r>
    </w:p>
    <w:p>
      <w:pPr>
        <w:spacing w:after="160" w:before="80"/>
        <w:jc w:val="center"/>
      </w:pPr>
      <w:r>
        <w:rPr>
          <w:rFonts w:ascii="Cambria Math" w:cs="Cambria Math" w:eastAsia="Cambria Math" w:hAnsi="Cambria Math"/>
          <w:i/>
          <w:iCs/>
          <w:sz w:val="24"/>
          <w:szCs w:val="24"/>
        </w:rPr>
        <w:t xml:space="preserve">coupling = Σ_a [ sens_a · ten_a · Σ_(b≠a) (pos_b − p̂_b)² ]</w:t>
      </w:r>
    </w:p>
    <w:p>
      <w:pPr>
        <w:spacing w:after="160"/>
      </w:pPr>
      <w:r>
        <w:t xml:space="preserve">Cada eje a contribuye un término proporcional a: (i) su sensibilidad sens_a, que indica cuánto arrastra; (ii) su tensión ten_a, de modo que un eje más cargado arrastra más; y (iii) las desviaciones de los otros ejes respecto a sus posiciones deseadas, de modo que solo amplifica lo que ya está fuera de su sitio.</w:t>
      </w:r>
    </w:p>
    <w:p>
      <w:pPr>
        <w:pBdr>
          <w:left w:val="single" w:color="BBBBBB" w:sz="12" w:space="12"/>
        </w:pBdr>
        <w:spacing w:after="140"/>
        <w:ind w:left="360"/>
      </w:pPr>
      <w:r>
        <w:rPr>
          <w:b/>
          <w:bCs/>
        </w:rPr>
        <w:t xml:space="preserve">Intuición. </w:t>
      </w:r>
      <w:r>
        <w:t xml:space="preserve">Cuando un dominio está muy activado —sea por amenaza o por oportunidad, pues lo que arrastra es la carga total del eje, no su signo— acapara la urgencia del sistema y hace que las desviaciones de los demás pesen más. El acoplamiento es mayor para el eje físico (sensibilidad más alta): un agente cuya integridad corporal está en juego ve amplificada la urgencia de todo lo demás. Pero el arrastre opera en todas las direcciones: una crisis de recursos o una conmoción social también intensifican la urgencia de los otros dominios, en proporción a su sensibilidad.</w:t>
      </w:r>
    </w:p>
    <w:p>
      <w:pPr>
        <w:pBdr>
          <w:left w:val="single" w:color="BBBBBB" w:sz="12" w:space="12"/>
        </w:pBdr>
        <w:spacing w:after="140"/>
        <w:ind w:left="360"/>
      </w:pPr>
      <w:r>
        <w:rPr>
          <w:b/>
          <w:bCs/>
        </w:rPr>
        <w:t xml:space="preserve">Alcance. </w:t>
      </w:r>
      <w:r>
        <w:t xml:space="preserve">Este acoplamiento estructural captura la influencia mutua de fábrica entre dominios. La modulación de ese arrastre por la atención —que concentra o redistribuye la influencia según el contexto— pertenece a una capa de orden superior no formalizada en este trabajo.</w:t>
      </w:r>
    </w:p>
    <w:p>
      <w:pPr>
        <w:pStyle w:val="Heading2"/>
      </w:pPr>
      <w:r>
        <w:t xml:space="preserve">2.6. La distancia homeostática: la urgencia del sistema</w:t>
      </w:r>
    </w:p>
    <w:p>
      <w:pPr>
        <w:spacing w:after="160"/>
      </w:pPr>
      <w:r>
        <w:t xml:space="preserve">Todas las piezas convergen en una sola magnitud: la distancia homeostática, que mide cuán lejos está el agente de su equilibrio deseado. Es la medida de urgencia del sistema y la cantidad que su dinámica tiende a reducir. Combina tres contribuciones:</w:t>
      </w:r>
    </w:p>
    <w:p>
      <w:pPr>
        <w:spacing w:after="160" w:before="80"/>
        <w:jc w:val="center"/>
      </w:pPr>
      <w:r>
        <w:rPr>
          <w:rFonts w:ascii="Cambria Math" w:cs="Cambria Math" w:eastAsia="Cambria Math" w:hAnsi="Cambria Math"/>
          <w:i/>
          <w:iCs/>
          <w:sz w:val="24"/>
          <w:szCs w:val="24"/>
        </w:rPr>
        <w:t xml:space="preserve">d = √( d_pos + d_ten + coupling )</w:t>
      </w:r>
    </w:p>
    <w:p>
      <w:pPr>
        <w:spacing w:after="160" w:before="80"/>
        <w:jc w:val="center"/>
      </w:pPr>
      <w:r>
        <w:rPr>
          <w:rFonts w:ascii="Cambria Math" w:cs="Cambria Math" w:eastAsia="Cambria Math" w:hAnsi="Cambria Math"/>
          <w:i/>
          <w:iCs/>
          <w:sz w:val="24"/>
          <w:szCs w:val="24"/>
        </w:rPr>
        <w:t xml:space="preserve">d_pos = Σ_a w_a^pos · (pos_a − p̂_a)²</w:t>
      </w:r>
    </w:p>
    <w:p>
      <w:pPr>
        <w:spacing w:after="160" w:before="80"/>
        <w:jc w:val="center"/>
      </w:pPr>
      <w:r>
        <w:rPr>
          <w:rFonts w:ascii="Cambria Math" w:cs="Cambria Math" w:eastAsia="Cambria Math" w:hAnsi="Cambria Math"/>
          <w:i/>
          <w:iCs/>
          <w:sz w:val="24"/>
          <w:szCs w:val="24"/>
        </w:rPr>
        <w:t xml:space="preserve">d_ten = Σ_a w_a^ten · (ten_a − t̂_a)²</w:t>
      </w:r>
    </w:p>
    <w:p>
      <w:pPr>
        <w:spacing w:after="160"/>
      </w:pPr>
      <w:r>
        <w:t xml:space="preserve">El primer término penaliza que cada eje esté lejos de su posición deseada (el descentramiento). El segundo penaliza que la tensión se aparte de su nivel óptimo. El tercero (acoplamiento, §2.5) hace que las desviaciones de un eje pesen más cuando otro está muy cargado. Los pesos w indican la importancia relativa de cada eje y tipo de desviación.</w:t>
      </w:r>
    </w:p>
    <w:p>
      <w:pPr>
        <w:pBdr>
          <w:left w:val="single" w:color="BBBBBB" w:sz="12" w:space="12"/>
        </w:pBdr>
        <w:spacing w:after="140"/>
        <w:ind w:left="360"/>
      </w:pPr>
      <w:r>
        <w:rPr>
          <w:b/>
          <w:bCs/>
        </w:rPr>
        <w:t xml:space="preserve">Intuición. </w:t>
      </w:r>
      <w:r>
        <w:t xml:space="preserve">La distancia mide cuán lejos está el agente de su equilibrio, en cualquier dirección. No es simplemente “malestar”: una desviación puede deberse a carencia o amenaza (defecto), pero también a un exceso —demasiada activación, demasiada ganancia, demasiada estimulación—. Ambos alejan del punto óptimo y generan urgencia de corrección. Es funcionalmente necesario: un sistema instalado en activación alta, aunque placentera, recalibra su referencia hacia el extremo y pierde sensibilidad —deja de valorar y disfrutar con finura, necesitando estímulos cada vez mayores para el mismo efecto (tolerancia, adaptación hedónica)—. El retorno al equilibrio no es solo huir del dolor, sino también descender del exceso para recuperar la capacidad de orientarse. El término de tensión captura esto: penaliza la tensión tanto por debajo del óptimo (apatía) como por encima (sobreactivación).</w:t>
      </w:r>
    </w:p>
    <w:p>
      <w:pPr>
        <w:pStyle w:val="Heading2"/>
      </w:pPr>
      <w:r>
        <w:t xml:space="preserve">2.7. Principios estructurales y calibraciones libres</w:t>
      </w:r>
    </w:p>
    <w:p>
      <w:pPr>
        <w:spacing w:after="160"/>
      </w:pPr>
      <w:r>
        <w:rPr>
          <w:b/>
          <w:bCs/>
        </w:rPr>
        <w:t xml:space="preserve">Principios estructurales </w:t>
      </w:r>
      <w:r>
        <w:t xml:space="preserve">(la forma de las ecuaciones; no se pueden alterar sin cambiar el modelo): el estado son seis fuerzas independientes; posición y tensión son su diferencia y su suma; el equilibrio está descentrado hacia la ganancia; existe un mínimo basal y un techo de capacidad repartible asimétricamente; el acoplamiento es mutuo, proporcional a la carga de cada eje y a su sensibilidad; y la distancia combina posición, tensión y acoplamiento.</w:t>
      </w:r>
    </w:p>
    <w:p>
      <w:pPr>
        <w:spacing w:after="160"/>
      </w:pPr>
      <w:r>
        <w:rPr>
          <w:b/>
          <w:bCs/>
        </w:rPr>
        <w:t xml:space="preserve">Calibraciones libres </w:t>
      </w:r>
      <w:r>
        <w:t xml:space="preserve">(valores ajustables sin tocar la estructura): los pesos w, los niveles deseados de posición (p̂) y tensión (t̂), las sensibilidades (sens), el mínimo basal (τ_min) y el techo (V_max). Los fenómenos de la sección 3 dependen de los principios, no de una elección fina de las calibraciones (sección de robustez).</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Arial" w:cs="Arial" w:eastAsia="Arial" w:hAnsi="Arial"/>
      <w:b/>
      <w:bCs/>
      <w:color w:val="1A1A1A"/>
      <w:sz w:val="30"/>
      <w:szCs w:val="30"/>
    </w:rPr>
  </w:style>
  <w:style w:type="paragraph" w:styleId="Heading2">
    <w:name w:val="Heading 2"/>
    <w:basedOn w:val="Normal"/>
    <w:next w:val="Normal"/>
    <w:qFormat/>
    <w:pPr>
      <w:spacing w:after="130" w:before="26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2026-06-14T16:18:35.927Z</dcterms:created>
  <dcterms:modified xsi:type="dcterms:W3CDTF">2026-06-14T16:18:35.940Z</dcterms:modified>
</cp:coreProperties>
</file>

<file path=docProps/custom.xml><?xml version="1.0" encoding="utf-8"?>
<Properties xmlns="http://schemas.openxmlformats.org/officeDocument/2006/custom-properties" xmlns:vt="http://schemas.openxmlformats.org/officeDocument/2006/docPropsVTypes"/>
</file>