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Refinamientos del núcleo — sesión 2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Cuatro decisiones que afinan el núcleo, tomadas al revisar la matemática formal. Aplicar antes de las ecuaciones definitivas.</w:t>
      </w:r>
    </w:p>
    <w:p>
      <w:pPr>
        <w:pBdr>
          <w:bottom w:val="single" w:color="CCCCCC" w:sz="6" w:space="8"/>
        </w:pBdr>
        <w:spacing w:after="220"/>
      </w:pPr>
      <w:r>
        <w:rPr>
          <w:color w:val="888888"/>
          <w:sz w:val="20"/>
          <w:szCs w:val="20"/>
        </w:rPr>
        <w:t xml:space="preserve">Complementa a “Decisiones del núcleo”. Surgen de leer las ecuaciones formales en limpio: la escritura sacó a la luz incoherencias que el código escondía.</w:t>
      </w:r>
    </w:p>
    <w:p>
      <w:pPr>
        <w:pStyle w:val="Heading1"/>
      </w:pPr>
      <w:r>
        <w:t xml:space="preserve">1. Acoplamiento MUTUO y bidireccional (cambio estructural)</w:t>
      </w:r>
    </w:p>
    <w:p>
      <w:pPr>
        <w:spacing w:after="160"/>
      </w:pPr>
      <w:r>
        <w:rPr>
          <w:b/>
          <w:bCs/>
        </w:rPr>
        <w:t xml:space="preserve">Antes: </w:t>
      </w:r>
      <w:r>
        <w:t xml:space="preserve">el acoplamiento era unidireccional — solo la amenaza física (f⁻_F) amplificaba a los otros ejes. Esto era demasiado simple y no fiel al modelo.</w:t>
      </w:r>
    </w:p>
    <w:p>
      <w:pPr>
        <w:spacing w:after="160"/>
      </w:pPr>
      <w:r>
        <w:rPr>
          <w:b/>
          <w:bCs/>
        </w:rPr>
        <w:t xml:space="preserve">Ahora: </w:t>
      </w:r>
      <w:r>
        <w:t xml:space="preserve">el acoplamiento es MUTUO — cada eje arrastra a los otros dos. Y BIDIRECCIONAL — arrastran tanto las amenazas (f⁻) como las oportunidades (f⁺). Una gran oportunidad de recursos secuestra la atención igual que un peligro lo hace.</w:t>
      </w:r>
    </w:p>
    <w:p>
      <w:pPr>
        <w:spacing w:after="160"/>
      </w:pPr>
      <w:r>
        <w:rPr>
          <w:b/>
          <w:bCs/>
        </w:rPr>
        <w:t xml:space="preserve">La fuerza del arrastre = la SENSIBILIDAD del eje. </w:t>
      </w:r>
      <w:r>
        <w:t xml:space="preserve">Un eje más sensible arrastra más. Esto es elegante: un solo parámetro (la sensibilidad de cada eje) explica DOS cosas — cuán reactivo es ese eje y cuánto arrastra a los otros. No hacen falta pesos de acoplamiento separados; el arrastre sale de la sensibilidad.</w:t>
      </w:r>
    </w:p>
    <w:p>
      <w:pPr>
        <w:spacing w:after="160"/>
      </w:pPr>
      <w:r>
        <w:rPr>
          <w:b/>
          <w:bCs/>
        </w:rPr>
        <w:t xml:space="preserve">Por defecto, el físico es el más sensible </w:t>
      </w:r>
      <w:r>
        <w:t xml:space="preserve">(el cuerpo manda; su pérdida es terminal). Por eso arrastra más que los otros. Pero es MUTUO: recursos y social también arrastran, con menos fuerza.</w:t>
      </w:r>
    </w:p>
    <w:p>
      <w:pPr>
        <w:spacing w:after="160"/>
      </w:pPr>
      <w:r>
        <w:rPr>
          <w:b/>
          <w:bCs/>
        </w:rPr>
        <w:t xml:space="preserve">Frontera con el contexto: </w:t>
      </w:r>
      <w:r>
        <w:t xml:space="preserve">el núcleo lleva el arrastre MECÁNICO (una fuerza alta en un eje arrastra a los otros, automático). El SIGNIFICADO de cada contagio — que un premio de recursos despierte amor porque se va a compartir, que el placer se viva como ganancia — es contextual (appraisal), capa superior. No meter el significado en el núcleo.</w:t>
      </w:r>
    </w:p>
    <w:p>
      <w:pPr>
        <w:spacing w:after="160"/>
      </w:pPr>
      <w:r>
        <w:rPr>
          <w:i/>
          <w:iCs/>
        </w:rPr>
        <w:t xml:space="preserve">Nota: la sensibilidad por eje servirá también para los FENOTIPOS TEMPERAMENTALES — distintos individuos = distintas sensibilidades por eje. Un agente “muy social” tiene la sensibilidad social alta y en él lo social arrastra más. El mismo parámetro genera el acoplamiento base y la diversidad de temperamentos.</w:t>
      </w:r>
    </w:p>
    <w:p>
      <w:pPr>
        <w:pStyle w:val="Heading1"/>
      </w:pPr>
      <w:r>
        <w:t xml:space="preserve">2. El descentramiento del físico debe ser el MAYOR (calibración)</w:t>
      </w:r>
    </w:p>
    <w:p>
      <w:pPr>
        <w:spacing w:after="160"/>
      </w:pPr>
      <w:r>
        <w:rPr>
          <w:b/>
          <w:bCs/>
        </w:rPr>
        <w:t xml:space="preserve">Problema detectado: </w:t>
      </w:r>
      <w:r>
        <w:t xml:space="preserve">en la calibración actual el eje más descentrado es RECURSOS (p̂_R = 2.0), no el físico (p̂_F = 1.0). Esto CONTRADICE la teoría: el físico debe ser el más descentrado porque es el cuerpo, da la señal de si todo lo demás tiene sentido, y sin él nada importa.</w:t>
      </w:r>
    </w:p>
    <w:p>
      <w:pPr>
        <w:spacing w:after="160"/>
      </w:pPr>
      <w:r>
        <w:rPr>
          <w:b/>
          <w:bCs/>
        </w:rPr>
        <w:t xml:space="preserve">Corrección: </w:t>
      </w:r>
      <w:r>
        <w:t xml:space="preserve">el físico pasa a ser el más descentrado. Recursos en segundo lugar (la inanición también es terminal, aunque menos inmediata). Social el menor. Alternativa simple: físico el mayor, recursos y social iguales.</w:t>
      </w:r>
    </w:p>
    <w:p>
      <w:pPr>
        <w:pStyle w:val="Heading1"/>
      </w:pPr>
      <w:r>
        <w:t xml:space="preserve">3. Subir los targets de tensión, físico muy sensible (calibración)</w:t>
      </w:r>
    </w:p>
    <w:p>
      <w:pPr>
        <w:spacing w:after="160"/>
      </w:pPr>
      <w:r>
        <w:rPr>
          <w:b/>
          <w:bCs/>
        </w:rPr>
        <w:t xml:space="preserve">Problema detectado: </w:t>
      </w:r>
      <w:r>
        <w:t xml:space="preserve">los targets de tensión óptima son muy bajos (t̂_F = 0.30, t̂_R = 0.30, t̂_S = 0.15), casi en el mínimo basal. El modelo “quiere” estar casi apagado, y penaliza fuerte cualquier tensión. Esto explica el coste enorme del agente tenso en el experimento.</w:t>
      </w:r>
    </w:p>
    <w:p>
      <w:pPr>
        <w:spacing w:after="160"/>
      </w:pPr>
      <w:r>
        <w:rPr>
          <w:b/>
          <w:bCs/>
        </w:rPr>
        <w:t xml:space="preserve">Corrección: </w:t>
      </w:r>
      <w:r>
        <w:t xml:space="preserve">subir los targets de tensión en general. El físico calibrado para ALTA SENSIBILIDAD: uno debe sentirse bien casi siempre, con las alarmas físicas muy altas, para que cualquier fallo del cuerpo (o cualquier señal de que algo va mal en recursos o social) se note enseguida.</w:t>
      </w:r>
    </w:p>
    <w:p>
      <w:pPr>
        <w:pStyle w:val="Heading1"/>
      </w:pPr>
      <w:r>
        <w:t xml:space="preserve">4. El target de tensión óptimo depende del CONTEXTO (capa superior)</w:t>
      </w:r>
    </w:p>
    <w:p>
      <w:pPr>
        <w:spacing w:after="160"/>
      </w:pPr>
      <w:r>
        <w:rPr>
          <w:b/>
          <w:bCs/>
        </w:rPr>
        <w:t xml:space="preserve">Observación: </w:t>
      </w:r>
      <w:r>
        <w:t xml:space="preserve">el nivel de tensión “bueno” no es fijo — depende del contexto. Relajarse cuando el contexto lo permite es agradable; estar activado cuando se quiere actuar es agradable; estar tenso cuando el tema lo merece también es positivo. El óptimo de arousal cambia según la situación.</w:t>
      </w:r>
    </w:p>
    <w:p>
      <w:pPr>
        <w:spacing w:after="160"/>
      </w:pPr>
      <w:r>
        <w:rPr>
          <w:b/>
          <w:bCs/>
        </w:rPr>
        <w:t xml:space="preserve">Decisión: </w:t>
      </w:r>
      <w:r>
        <w:t xml:space="preserve">el núcleo lleva un target de tensión FIJO (calibración simple). La variabilidad contextual del óptimo — que el ideal sea baja tensión en reposo y alta tensión en acción — es CAPA SUPERIOR (el contexto modula el target base). No se formaliza en el primer paper.</w:t>
      </w:r>
    </w:p>
    <w:p>
      <w:pPr>
        <w:pStyle w:val="Heading1"/>
      </w:pPr>
      <w:r>
        <w:t xml:space="preserve">Orden de aplicación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Primero el cambio estructural (1, acoplamiento mutuo) </w:t>
      </w:r>
      <w:r>
        <w:t xml:space="preserve">— cambia la forma de las ecuaciones. Después verificar que los fenómenos siguen emergiendo.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Luego las calibraciones (2 y 3) </w:t>
      </w:r>
      <w:r>
        <w:t xml:space="preserve">— cambiar valores, más sencillo.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 4 no se implementa </w:t>
      </w:r>
      <w:r>
        <w:t xml:space="preserve">— es una decisión de dejar fuera (capa superior).</w:t>
      </w:r>
    </w:p>
    <w:p>
      <w:pPr>
        <w:spacing w:after="120" w:before="240"/>
        <w:jc w:val="center"/>
      </w:pPr>
      <w:r>
        <w:rPr>
          <w:color w:val="999999"/>
        </w:rPr>
        <w:t xml:space="preserve">—</w:t>
      </w:r>
    </w:p>
    <w:p>
      <w:r>
        <w:rPr>
          <w:i/>
          <w:iCs/>
          <w:color w:val="555555"/>
          <w:sz w:val="20"/>
          <w:szCs w:val="20"/>
        </w:rPr>
        <w:t xml:space="preserve">Lección de la sesión: escribir las ecuaciones formales en limpio sacó a la luz dos incoherencias que el código escondía (el descentramiento del físico y los targets de tensión bajos). Para eso sirve formalizar: las contradicciones invisibles en el código se ven en la matemática escrita. Cazarlas ahora, antes del paper.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1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2026-06-14T10:43:54.506Z</dcterms:created>
  <dcterms:modified xsi:type="dcterms:W3CDTF">2026-06-14T10:43:54.521Z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