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Robustez de los cuatro experimentos centrales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777777"/>
          <w:sz w:val="20"/>
          <w:szCs w:val="20"/>
        </w:rPr>
        <w:t xml:space="preserve">Tres pruebas por experimento: estadística (semillas), ablación causal, robustez a calibraciones. Evidencia que sostiene la sección de resultados del paper.</w:t>
      </w:r>
    </w:p>
    <w:p>
      <w:pPr>
        <w:pStyle w:val="Heading1"/>
      </w:pPr>
      <w:r>
        <w:t xml:space="preserve">Resultado clave: tres mecanismos estructurales distintos</w:t>
      </w:r>
    </w:p>
    <w:p>
      <w:pPr>
        <w:spacing w:after="150"/>
      </w:pPr>
      <w:r>
        <w:t xml:space="preserve">Los cuatro fenómenos dependen de piezas estructurales DISTINTAS, no de una sola. Esto blinda el modelo frente a la objeción “todo es un efecto del mismo parámetro”:</w:t>
      </w:r>
    </w:p>
    <w:p>
      <w:pPr>
        <w:spacing w:after="150"/>
      </w:pPr>
      <w:r>
        <w:rPr>
          <w:b/>
          <w:bCs/>
        </w:rPr>
        <w:t xml:space="preserve">• Techo de volumen (capacidad finita) </w:t>
      </w:r>
      <w:r>
        <w:t xml:space="preserve">→ causa la ceguera a la oportunidad (A) y el óptimo dependiente del entorno (B).</w:t>
      </w:r>
    </w:p>
    <w:p>
      <w:pPr>
        <w:spacing w:after="150"/>
      </w:pPr>
      <w:r>
        <w:rPr>
          <w:b/>
          <w:bCs/>
        </w:rPr>
        <w:t xml:space="preserve">• Descentramiento del eje social </w:t>
      </w:r>
      <w:r>
        <w:t xml:space="preserve">→ causa la tipología social de acercamiento/evitación (C).</w:t>
      </w:r>
    </w:p>
    <w:p>
      <w:pPr>
        <w:spacing w:after="150"/>
      </w:pPr>
      <w:r>
        <w:rPr>
          <w:b/>
          <w:bCs/>
        </w:rPr>
        <w:t xml:space="preserve">• Descentramiento general (objetivos de posición) </w:t>
      </w:r>
      <w:r>
        <w:t xml:space="preserve">→ causa la proactividad / el colapso (D).</w:t>
      </w:r>
    </w:p>
    <w:p>
      <w:pPr>
        <w:spacing w:after="150"/>
      </w:pPr>
      <w:r>
        <w:rPr>
          <w:b/>
          <w:bCs/>
        </w:rPr>
        <w:t xml:space="preserve">Verificación mecánica: </w:t>
      </w:r>
      <w:r>
        <w:t xml:space="preserve">en C y D el techo de volumen NUNCA se activa (tensión máxima 3.1 y 4.1, muy por debajo de V_max=8). Son estructuralmente independientes del techo. El modelo es rico en varias piezas, no en una.</w:t>
      </w:r>
    </w:p>
    <w:p>
      <w:pPr>
        <w:pStyle w:val="Heading1"/>
      </w:pPr>
      <w:r>
        <w:t xml:space="preserve">Exp A — Ceguera a la oportunidad bajo saturación</w:t>
      </w:r>
    </w:p>
    <w:p>
      <w:pPr>
        <w:pStyle w:val="Heading2"/>
      </w:pPr>
      <w:r>
        <w:t xml:space="preserve">Prueba 1 — Estadística (N=100 semillas)</w:t>
      </w:r>
    </w:p>
    <w:p>
      <w:pPr>
        <w:spacing w:after="150"/>
      </w:pPr>
      <w:r>
        <w:t xml:space="preserve">CALMA registra la oportunidad (Δd = 0.625 ± 0.031); TENSO casi no la registra (Δd = 0.030 ± 0.045). TENSO &lt; CALMA en 100/100 semillas. La ceguera es absolutamente consistente. </w:t>
      </w:r>
      <w:r>
        <w:rPr>
          <w:b/>
          <w:bCs/>
        </w:rPr>
        <w:t xml:space="preserve">ROBUSTO.</w:t>
      </w:r>
    </w:p>
    <w:p>
      <w:pPr>
        <w:pStyle w:val="Heading2"/>
      </w:pPr>
      <w:r>
        <w:t xml:space="preserve">Prueba 2 — Ablación causal (techo desactivado)</w:t>
      </w:r>
    </w:p>
    <w:p>
      <w:pPr>
        <w:spacing w:after="150"/>
      </w:pPr>
      <w:r>
        <w:t xml:space="preserve">Con el techo eliminado (V_max→100), la ceguera DESAPARECE y se invierte (TENSO pasa a +0.840, supera a CALMA). El techo de volumen es la causa confirmada — sin él, el mayor acoplamiento del tenso lo haría incluso más sensible.</w:t>
      </w:r>
    </w:p>
    <w:p>
      <w:pPr>
        <w:pStyle w:val="Heading2"/>
      </w:pPr>
      <w:r>
        <w:t xml:space="preserve">Prueba 3 — Calibraciones</w:t>
      </w:r>
    </w:p>
    <w:p>
      <w:pPr>
        <w:spacing w:after="150"/>
      </w:pPr>
      <w:r>
        <w:t xml:space="preserve">Persiste al variar V_max en [7.5, 9.3), δ en [0.5, 2.5] y sens_F ±33%. </w:t>
      </w:r>
      <w:r>
        <w:rPr>
          <w:b/>
          <w:bCs/>
        </w:rPr>
        <w:t xml:space="preserve">Caveat honesto: </w:t>
      </w:r>
      <w:r>
        <w:t xml:space="preserve">es un fenómeno de MAGNITUD. Con estímulo muy pequeño (δ=0.25) TENSO es MÁS sensible que CALMA, porque a baja dosis no topa con el techo. Enunciado correcto: un sistema saturado es ciego a las oportunidades GRANDES (las que exceden su capacidad), no a las pequeñas. Esto es más fiel a la realidad del estrés crónico, no menos.</w:t>
      </w:r>
    </w:p>
    <w:p>
      <w:pPr>
        <w:pStyle w:val="Heading1"/>
      </w:pPr>
      <w:r>
        <w:t xml:space="preserve">Exp B — Óptimo dependiente del entorno</w:t>
      </w:r>
    </w:p>
    <w:p>
      <w:pPr>
        <w:pStyle w:val="Heading2"/>
      </w:pPr>
      <w:r>
        <w:t xml:space="preserve">Prueba 1 — Estadística (N=100)</w:t>
      </w:r>
    </w:p>
    <w:p>
      <w:pPr>
        <w:spacing w:after="150"/>
      </w:pPr>
      <w:r>
        <w:t xml:space="preserve">Existe un nivel de tensión intermedio donde la perturbación es máxima. El pico cae en el nivel L=6.0 en 97/100 semillas. </w:t>
      </w:r>
      <w:r>
        <w:rPr>
          <w:b/>
          <w:bCs/>
        </w:rPr>
        <w:t xml:space="preserve">ROBUSTO como fenómeno cualitativo.</w:t>
      </w:r>
    </w:p>
    <w:p>
      <w:pPr>
        <w:pStyle w:val="Heading2"/>
      </w:pPr>
      <w:r>
        <w:t xml:space="preserve">Prueba 2 — Ablación causal</w:t>
      </w:r>
    </w:p>
    <w:p>
      <w:pPr>
        <w:spacing w:after="150"/>
      </w:pPr>
      <w:r>
        <w:t xml:space="preserve">Con el techo eliminado, el óptimo DESAPARECE: la curva se vuelve monótona creciente. El techo causa el óptimo, no el acoplamiento.</w:t>
      </w:r>
    </w:p>
    <w:p>
      <w:pPr>
        <w:pStyle w:val="Heading2"/>
      </w:pPr>
      <w:r>
        <w:t xml:space="preserve">Prueba 3 — Calibraciones</w:t>
      </w:r>
    </w:p>
    <w:p>
      <w:pPr>
        <w:spacing w:after="150"/>
      </w:pPr>
      <w:r>
        <w:rPr>
          <w:b/>
          <w:bCs/>
        </w:rPr>
        <w:t xml:space="preserve">Caveat honesto: </w:t>
      </w:r>
      <w:r>
        <w:t xml:space="preserve">el nivel exacto del óptimo NO es fijo — se desplaza predeciblemente con V_max y δ (el pico cae donde L ≈ V_max − δ − basal). Lo robusto es la EXISTENCIA de un óptimo interior (ni en el extremo bajo ni en el alto), no su valor concreto. Enunciado correcto: la capacidad finita genera un nivel de activación óptimo intermedio. No inflar como ley emergente sorprendente; es una consecuencia limpia del techo.</w:t>
      </w:r>
    </w:p>
    <w:p>
      <w:pPr>
        <w:pStyle w:val="Heading1"/>
      </w:pPr>
      <w:r>
        <w:t xml:space="preserve">Exp C — Tipología social (acercamiento / evitación)</w:t>
      </w:r>
    </w:p>
    <w:p>
      <w:pPr>
        <w:pStyle w:val="Heading2"/>
      </w:pPr>
      <w:r>
        <w:t xml:space="preserve">Prueba 1 — Estadística (N=100 posiciones iniciales)</w:t>
      </w:r>
    </w:p>
    <w:p>
      <w:pPr>
        <w:spacing w:after="150"/>
      </w:pPr>
      <w:r>
        <w:t xml:space="preserve">El agente POSITIVO pasa cerca del estímulo social ≥0 pasos en 100/100 semillas; el NEGATIVO termina lejos (&gt;10 celdas) en 100/100. </w:t>
      </w:r>
      <w:r>
        <w:rPr>
          <w:b/>
          <w:bCs/>
        </w:rPr>
        <w:t xml:space="preserve">ROBUSTO, </w:t>
      </w:r>
      <w:r>
        <w:t xml:space="preserve">dispersión mínima. El neutro es un caminante aleatorio (alta varianza, como debe ser).</w:t>
      </w:r>
    </w:p>
    <w:p>
      <w:pPr>
        <w:pStyle w:val="Heading2"/>
      </w:pPr>
      <w:r>
        <w:t xml:space="preserve">Prueba 2 — Ablación causal</w:t>
      </w:r>
    </w:p>
    <w:p>
      <w:pPr>
        <w:spacing w:after="150"/>
      </w:pPr>
      <w:r>
        <w:t xml:space="preserve">Poner el objetivo social a cero convierte al positivo en negativo (deja de buscar el vínculo): confirma que el objetivo social causa la DIRECCIÓN. Poner el peso social a cero vuelve a ambos caminantes aleatorios: confirma que el peso es el AMPLIFICADOR. Causalidad demostrada por cirugía. </w:t>
      </w:r>
      <w:r>
        <w:rPr>
          <w:b/>
          <w:bCs/>
        </w:rPr>
        <w:t xml:space="preserve">Caveat: </w:t>
      </w:r>
      <w:r>
        <w:t xml:space="preserve">objetivo=0 no es indiferencia verdadera (es preferencia por ausencia de estímulo social); la indiferencia real es peso=0.</w:t>
      </w:r>
    </w:p>
    <w:p>
      <w:pPr>
        <w:pStyle w:val="Heading2"/>
      </w:pPr>
      <w:r>
        <w:t xml:space="preserve">Prueba 3 — Calibraciones</w:t>
      </w:r>
    </w:p>
    <w:p>
      <w:pPr>
        <w:spacing w:after="150"/>
      </w:pPr>
      <w:r>
        <w:t xml:space="preserve">El signo del objetivo social determina la dirección de forma continua y monótona en todo el rango [−2, +2]: cualquier valor negativo produce huida, cualquier positivo produce acercamiento. La bifurcación acercamiento/huida existe para cualquier magnitud con el signo correcto. </w:t>
      </w:r>
      <w:r>
        <w:rPr>
          <w:b/>
          <w:bCs/>
        </w:rPr>
        <w:t xml:space="preserve">ROBUSTO.</w:t>
      </w:r>
    </w:p>
    <w:p>
      <w:pPr>
        <w:pStyle w:val="Heading1"/>
      </w:pPr>
      <w:r>
        <w:t xml:space="preserve">Exp D — Descentramiento como motor (proactividad / colapso)</w:t>
      </w:r>
    </w:p>
    <w:p>
      <w:pPr>
        <w:pStyle w:val="Heading2"/>
      </w:pPr>
      <w:r>
        <w:t xml:space="preserve">Prueba 1 — Estadística (N=100 semillas)</w:t>
      </w:r>
    </w:p>
    <w:p>
      <w:pPr>
        <w:spacing w:after="150"/>
      </w:pPr>
      <w:r>
        <w:t xml:space="preserve">El POSITIVO es proactivo (explora pronto) frente al CENTRADO en 100/100 semillas (ratio medio 4.3×). El NEGATIVO colapsa (su actividad tardía cae por debajo de la temprana) de forma consistente. </w:t>
      </w:r>
      <w:r>
        <w:rPr>
          <w:b/>
          <w:bCs/>
        </w:rPr>
        <w:t xml:space="preserve">ROBUSTO.</w:t>
      </w:r>
    </w:p>
    <w:p>
      <w:pPr>
        <w:pStyle w:val="Heading2"/>
      </w:pPr>
      <w:r>
        <w:t xml:space="preserve">Prueba 2 — Ablación causal</w:t>
      </w:r>
    </w:p>
    <w:p>
      <w:pPr>
        <w:spacing w:after="150"/>
      </w:pPr>
      <w:r>
        <w:t xml:space="preserve">Poner los objetivos de posición a cero elimina completamente la proactividad (el positivo se vuelve centrado). Los objetivos (el descentramiento) son la causa. Quitar el acoplamiento apenas cambia nada (−2%): la proactividad depende del DESCENTRAMIENTO, no del acoplamiento. Cada pieza hace su trabajo sin solaparse.</w:t>
      </w:r>
    </w:p>
    <w:p>
      <w:pPr>
        <w:pStyle w:val="Heading2"/>
      </w:pPr>
      <w:r>
        <w:t xml:space="preserve">Prueba 3 — Calibraciones</w:t>
      </w:r>
    </w:p>
    <w:p>
      <w:pPr>
        <w:spacing w:after="150"/>
      </w:pPr>
      <w:r>
        <w:t xml:space="preserve">La proactividad escala monótonamente con la magnitud del descentramiento y existe para cualquier valor positivo. El colapso del negativo persiste en todo el rango. </w:t>
      </w:r>
      <w:r>
        <w:rPr>
          <w:b/>
          <w:bCs/>
        </w:rPr>
        <w:t xml:space="preserve">Caveat honesto: </w:t>
      </w:r>
      <w:r>
        <w:t xml:space="preserve">el colapso es más dramático en niveles intermedios de descentramiento y se atenúa en los extremos (a descentramiento muy alto, el agente arranca tan activo que el colapso relativo es pequeño). Enunciado correcto: el colapso ocurre en todo el rango, con máxima intensidad en niveles intermedios.</w:t>
      </w:r>
    </w:p>
    <w:p>
      <w:pPr>
        <w:pStyle w:val="Heading1"/>
      </w:pPr>
      <w:r>
        <w:t xml:space="preserve">Síntesis para redactar la sección 3</w:t>
      </w:r>
    </w:p>
    <w:p>
      <w:pPr>
        <w:spacing w:after="150"/>
      </w:pPr>
      <w:r>
        <w:t xml:space="preserve">Los cuatro fenómenos son robustos a las tres pruebas, con matices honestos que conviene declarar antes que un revisor: (A) la ceguera es de magnitud (oportunidades grandes); (B) el óptimo es un efecto de la capacidad finita, su nivel exacto depende de parámetros; (C) muy robusto, causalidad demostrada por ablación; (D) muy robusto, independiente del acoplamiento. Tres mecanismos estructurales distintos sostienen el modelo. El principio unificador del techo —la finitud de recursos da sentido a la orientación— es una tesis, no una debilidad.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2026-06-14T18:15:21.008Z</dcterms:created>
  <dcterms:modified xsi:type="dcterms:W3CDTF">2026-06-14T18:15:21.020Z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