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8"/>
          <w:szCs w:val="38"/>
        </w:rPr>
        <w:t xml:space="preserve">Resultados experimentales</w:t>
      </w:r>
    </w:p>
    <w:p>
      <w:pPr>
        <w:pBdr>
          <w:bottom w:val="single" w:color="CCCCCC" w:sz="6" w:space="8"/>
        </w:pBdr>
        <w:spacing w:after="200"/>
      </w:pPr>
      <w:r>
        <w:rPr>
          <w:i/>
          <w:iCs/>
          <w:color w:val="666666"/>
          <w:sz w:val="22"/>
          <w:szCs w:val="22"/>
        </w:rPr>
        <w:t xml:space="preserve">Estado de las simulaciones — modelo geométrico de las emociones. Embrión de la sección de resultados del paper.</w:t>
      </w:r>
    </w:p>
    <w:p>
      <w:pPr>
        <w:spacing w:after="160"/>
      </w:pPr>
      <w:r>
        <w:rPr>
          <w:i/>
          <w:iCs/>
        </w:rPr>
        <w:t xml:space="preserve">Nota: documento de trabajo. Todos los experimentos corren sobre el núcleo de fuerzas oponentes f⁺/f⁻ en el repositorio privado geometria-emociones, rama main. Cada resultado incluye sus límites honestos.</w:t>
      </w:r>
    </w:p>
    <w:p>
      <w:pPr>
        <w:pStyle w:val="Heading1"/>
      </w:pPr>
      <w:r>
        <w:t xml:space="preserve">Resumen en una frase</w:t>
      </w:r>
    </w:p>
    <w:p>
      <w:pPr>
        <w:spacing w:after="160"/>
      </w:pPr>
      <w:r>
        <w:t xml:space="preserve">El núcleo geométrico f⁺/f⁻ genera, de forma reproducible y sin ajuste manual, una tipología de temperamentos y una ley de óptimo dependiente del entorno, confirmada por dos vías independientes. Los extremos nunca ganan; el punto óptimo se desplaza con la exigencia del entorno.</w:t>
      </w:r>
    </w:p>
    <w:p>
      <w:pPr>
        <w:pStyle w:val="Heading1"/>
      </w:pPr>
      <w:r>
        <w:t xml:space="preserve">Experimento 1 — Tipología por descentramiento del eje social</w:t>
      </w:r>
    </w:p>
    <w:p>
      <w:pPr>
        <w:spacing w:after="160"/>
      </w:pPr>
      <w:r>
        <w:rPr>
          <w:b/>
          <w:bCs/>
        </w:rPr>
        <w:t xml:space="preserve">Qué demuestra: </w:t>
      </w:r>
      <w:r>
        <w:t xml:space="preserve">tres agentes que solo difieren en el descentramiento del eje social producen tres conductas nítidas y deterministas ante un estímulo social.</w:t>
      </w:r>
    </w:p>
    <w:p>
      <w:pPr>
        <w:pStyle w:val="ListParagraph"/>
        <w:numPr>
          <w:ilvl w:val="0"/>
          <w:numId w:val="2"/>
        </w:numPr>
        <w:spacing w:after="100"/>
      </w:pPr>
      <w:r>
        <w:rPr>
          <w:b/>
          <w:bCs/>
        </w:rPr>
        <w:t xml:space="preserve">Social positivo: </w:t>
      </w:r>
      <w:r>
        <w:t xml:space="preserve">busca el vínculo (287/300 pasos junto al estímulo).</w:t>
      </w:r>
    </w:p>
    <w:p>
      <w:pPr>
        <w:pStyle w:val="ListParagraph"/>
        <w:numPr>
          <w:ilvl w:val="0"/>
          <w:numId w:val="2"/>
        </w:numPr>
        <w:spacing w:after="100"/>
      </w:pPr>
      <w:r>
        <w:rPr>
          <w:b/>
          <w:bCs/>
        </w:rPr>
        <w:t xml:space="preserve">Social neutro: </w:t>
      </w:r>
      <w:r>
        <w:t xml:space="preserve">indiferente (16/300 pasos).</w:t>
      </w:r>
    </w:p>
    <w:p>
      <w:pPr>
        <w:pStyle w:val="ListParagraph"/>
        <w:numPr>
          <w:ilvl w:val="0"/>
          <w:numId w:val="2"/>
        </w:numPr>
        <w:spacing w:after="100"/>
      </w:pPr>
      <w:r>
        <w:rPr>
          <w:b/>
          <w:bCs/>
        </w:rPr>
        <w:t xml:space="preserve">Social negativo: </w:t>
      </w:r>
      <w:r>
        <w:t xml:space="preserve">evita el vínculo (0/300 pasos) — perfil psicopático como evitación activa.</w:t>
      </w:r>
    </w:p>
    <w:p>
      <w:pPr>
        <w:spacing w:after="160"/>
      </w:pPr>
      <w:r>
        <w:rPr>
          <w:b/>
          <w:bCs/>
        </w:rPr>
        <w:t xml:space="preserve">Solidez: </w:t>
      </w:r>
      <w:r>
        <w:t xml:space="preserve">limpio, determinista, sin ajuste manual. Figura de paper directa.</w:t>
      </w:r>
    </w:p>
    <w:p>
      <w:pPr>
        <w:pStyle w:val="Heading1"/>
      </w:pPr>
      <w:r>
        <w:t xml:space="preserve">Experimento 2 — Descentramiento como motor de conducta</w:t>
      </w:r>
    </w:p>
    <w:p>
      <w:pPr>
        <w:spacing w:after="160"/>
      </w:pPr>
      <w:r>
        <w:rPr>
          <w:b/>
          <w:bCs/>
        </w:rPr>
        <w:t xml:space="preserve">Qué demuestra: </w:t>
      </w:r>
      <w:r>
        <w:t xml:space="preserve">en un entorno vacío, el descentramiento de la esfera cambia el patrón de actividad.</w:t>
      </w:r>
    </w:p>
    <w:p>
      <w:pPr>
        <w:pStyle w:val="ListParagraph"/>
        <w:numPr>
          <w:ilvl w:val="0"/>
          <w:numId w:val="2"/>
        </w:numPr>
        <w:spacing w:after="100"/>
      </w:pPr>
      <w:r>
        <w:rPr>
          <w:b/>
          <w:bCs/>
        </w:rPr>
        <w:t xml:space="preserve">Centrado: </w:t>
      </w:r>
      <w:r>
        <w:t xml:space="preserve">reactivo — actúa solo cuando el metabolismo lo aleja del equilibrio (se activa tarde, hacia el paso 100).</w:t>
      </w:r>
    </w:p>
    <w:p>
      <w:pPr>
        <w:pStyle w:val="ListParagraph"/>
        <w:numPr>
          <w:ilvl w:val="0"/>
          <w:numId w:val="2"/>
        </w:numPr>
        <w:spacing w:after="100"/>
      </w:pPr>
      <w:r>
        <w:rPr>
          <w:b/>
          <w:bCs/>
        </w:rPr>
        <w:t xml:space="preserve">Descentrado positivo: </w:t>
      </w:r>
      <w:r>
        <w:t xml:space="preserve">proactivo desde el paso 0, actividad sostenida (95/100 celdas).</w:t>
      </w:r>
    </w:p>
    <w:p>
      <w:pPr>
        <w:pStyle w:val="ListParagraph"/>
        <w:numPr>
          <w:ilvl w:val="0"/>
          <w:numId w:val="2"/>
        </w:numPr>
        <w:spacing w:after="100"/>
      </w:pPr>
      <w:r>
        <w:rPr>
          <w:b/>
          <w:bCs/>
        </w:rPr>
        <w:t xml:space="preserve">Descentrado negativo: </w:t>
      </w:r>
      <w:r>
        <w:t xml:space="preserve">se ralentiza y colapsa conductualmente (el decaimiento satisface sus targets negativos).</w:t>
      </w:r>
    </w:p>
    <w:p>
      <w:pPr>
        <w:spacing w:after="160"/>
      </w:pPr>
      <w:r>
        <w:rPr>
          <w:b/>
          <w:bCs/>
        </w:rPr>
        <w:t xml:space="preserve">Matiz honesto: </w:t>
      </w:r>
      <w:r>
        <w:t xml:space="preserve">la predicción original ('el centrado queda inerte') NO se cumplió tal cual. El centrado no queda inerte sino reactivo. La diferencia real con el positivo es de TIMING (proactivo vs. reactivo tardío), no de vida vs. muerte. Esto reformuló la tesis: el descentramiento no es motor de vida sino de proactividad anticipatoria.</w:t>
      </w:r>
    </w:p>
    <w:p>
      <w:pPr>
        <w:pStyle w:val="Heading1"/>
      </w:pPr>
      <w:r>
        <w:t xml:space="preserve">Experimento 3 — Acoplamiento asimétrico físico</w:t>
      </w:r>
    </w:p>
    <w:p>
      <w:pPr>
        <w:spacing w:after="160"/>
      </w:pPr>
      <w:r>
        <w:rPr>
          <w:b/>
          <w:bCs/>
        </w:rPr>
        <w:t xml:space="preserve">Qué demuestra: </w:t>
      </w:r>
      <w:r>
        <w:t xml:space="preserve">bajo amenaza física alta, la urgencia en los ejes de recursos y social se amplifica un 59% (con acoplamiento conservador, f_coupling=0.5). Es el 'secuestro' atencional, ahora como mecanismo causal real y no como artefacto de rangos.</w:t>
      </w:r>
    </w:p>
    <w:p>
      <w:pPr>
        <w:spacing w:after="160"/>
      </w:pPr>
      <w:r>
        <w:rPr>
          <w:b/>
          <w:bCs/>
        </w:rPr>
        <w:t xml:space="preserve">Solidez: </w:t>
      </w:r>
      <w:r>
        <w:t xml:space="preserve">emerge limpiamente. Pendiente: prueba de apagado causal (quitar el acoplamiento y mostrar que el secuestro desaparece).</w:t>
      </w:r>
    </w:p>
    <w:p>
      <w:pPr>
        <w:pStyle w:val="Heading1"/>
      </w:pPr>
      <w:r>
        <w:t xml:space="preserve">Experimento 4 — Óptimo dependiente del entorno (costo de actuar)</w:t>
      </w:r>
    </w:p>
    <w:p>
      <w:pPr>
        <w:spacing w:after="160"/>
      </w:pPr>
      <w:r>
        <w:rPr>
          <w:b/>
          <w:bCs/>
        </w:rPr>
        <w:t xml:space="preserve">Qué demuestra: </w:t>
      </w:r>
      <w:r>
        <w:t xml:space="preserve">no hay descentramiento óptimo universal. El ganador depende del entorno.</w:t>
      </w:r>
    </w:p>
    <w:p>
      <w:pPr>
        <w:pStyle w:val="ListParagraph"/>
        <w:numPr>
          <w:ilvl w:val="0"/>
          <w:numId w:val="2"/>
        </w:numPr>
        <w:spacing w:after="100"/>
      </w:pPr>
      <w:r>
        <w:rPr>
          <w:b/>
          <w:bCs/>
        </w:rPr>
        <w:t xml:space="preserve">Plácido (recursos abundantes): </w:t>
      </w:r>
      <w:r>
        <w:t xml:space="preserve">el centrado gana en 13/13 costes — la sedentariedad es óptima cuando el hábitat local es fértil.</w:t>
      </w:r>
    </w:p>
    <w:p>
      <w:pPr>
        <w:pStyle w:val="ListParagraph"/>
        <w:numPr>
          <w:ilvl w:val="0"/>
          <w:numId w:val="2"/>
        </w:numPr>
        <w:spacing w:after="100"/>
      </w:pPr>
      <w:r>
        <w:rPr>
          <w:b/>
          <w:bCs/>
        </w:rPr>
        <w:t xml:space="preserve">Exigente (recursos lejanos): </w:t>
      </w:r>
      <w:r>
        <w:t xml:space="preserve">el ganador cambia con el coste; el MEDIO domina en el rango alto. El extremo (alto) nunca gana del todo: la urgencia máxima constante es insostenible.</w:t>
      </w:r>
    </w:p>
    <w:p>
      <w:pPr>
        <w:spacing w:after="160"/>
      </w:pPr>
      <w:r>
        <w:rPr>
          <w:b/>
          <w:bCs/>
        </w:rPr>
        <w:t xml:space="preserve">Resultado clave: </w:t>
      </w:r>
      <w:r>
        <w:t xml:space="preserve">existe un óptimo INTERMEDIO que se desplaza con el entorno. Los extremos pierden en ambos lados.</w:t>
      </w:r>
    </w:p>
    <w:p>
      <w:pPr>
        <w:pStyle w:val="Heading1"/>
      </w:pPr>
      <w:r>
        <w:t xml:space="preserve">Experimento 5 — Óptimo dependiente del entorno (costo de pensar / el tiburón)</w:t>
      </w:r>
    </w:p>
    <w:p>
      <w:pPr>
        <w:spacing w:after="160"/>
      </w:pPr>
      <w:r>
        <w:rPr>
          <w:b/>
          <w:bCs/>
        </w:rPr>
        <w:t xml:space="preserve">Qué demuestra: </w:t>
      </w:r>
      <w:r>
        <w:t xml:space="preserve">refinamiento del anterior. Lo caro de la proactividad no es moverse sino ANTICIPAR (simular futuros). El costo es proporcional al horizonte de anticipación.</w:t>
      </w:r>
    </w:p>
    <w:p>
      <w:pPr>
        <w:pStyle w:val="ListParagraph"/>
        <w:numPr>
          <w:ilvl w:val="0"/>
          <w:numId w:val="2"/>
        </w:numPr>
        <w:spacing w:after="100"/>
      </w:pPr>
      <w:r>
        <w:rPr>
          <w:b/>
          <w:bCs/>
        </w:rPr>
        <w:t xml:space="preserve">Plácido: </w:t>
      </w:r>
      <w:r>
        <w:t xml:space="preserve">el reactivo (horizonte 0) mantiene energía máxima (19.84) mientras el profundo cae (hasta 13.03 con coste alto). El fósil viviente eficiente: prospera sin gastar en pensar.</w:t>
      </w:r>
    </w:p>
    <w:p>
      <w:pPr>
        <w:pStyle w:val="ListParagraph"/>
        <w:numPr>
          <w:ilvl w:val="0"/>
          <w:numId w:val="2"/>
        </w:numPr>
        <w:spacing w:after="100"/>
      </w:pPr>
      <w:r>
        <w:rPr>
          <w:b/>
          <w:bCs/>
        </w:rPr>
        <w:t xml:space="preserve">Exigente: </w:t>
      </w:r>
      <w:r>
        <w:t xml:space="preserve">profundo gana solo si pensar es muy barato; medio gana en el rango medio (el más robusto); reactivo gana si pensar es caro. Mismo patrón de óptimo intermedio.</w:t>
      </w:r>
    </w:p>
    <w:p>
      <w:pPr>
        <w:spacing w:after="160"/>
      </w:pPr>
      <w:r>
        <w:rPr>
          <w:b/>
          <w:bCs/>
        </w:rPr>
        <w:t xml:space="preserve">Convergencia (lo más importante): </w:t>
      </w:r>
      <w:r>
        <w:t xml:space="preserve">dos mecanismos distintos — costo de actuar y costo de pensar — dan el MISMO patrón cualitativo. Esto indica que el patrón es una propiedad estructural de la geometría, no un artefacto del modelado. Robustez convergente.</w:t>
      </w:r>
    </w:p>
    <w:p>
      <w:pPr>
        <w:spacing w:after="160"/>
      </w:pPr>
      <w:r>
        <w:rPr>
          <w:b/>
          <w:bCs/>
        </w:rPr>
        <w:t xml:space="preserve">Límite honesto: </w:t>
      </w:r>
      <w:r>
        <w:t xml:space="preserve">el patrón profundo/medio no es perfectamente monotónico; con N=20 semillas hay ruido estocástico. El resultado cualitativo es robusto, pero para publicar conviene endurecerlo.</w:t>
      </w:r>
    </w:p>
    <w:p>
      <w:pPr>
        <w:pStyle w:val="Heading1"/>
      </w:pPr>
      <w:r>
        <w:t xml:space="preserve">Tareas de endurecimiento antes de publicar</w:t>
      </w:r>
    </w:p>
    <w:p>
      <w:pPr>
        <w:pStyle w:val="ListParagraph"/>
        <w:numPr>
          <w:ilvl w:val="0"/>
          <w:numId w:val="3"/>
        </w:numPr>
        <w:spacing w:after="100"/>
      </w:pPr>
      <w:r>
        <w:t xml:space="preserve">Correr más semillas (50–100) y comprobar que los patrones se mantienen.</w:t>
      </w:r>
    </w:p>
    <w:p>
      <w:pPr>
        <w:pStyle w:val="ListParagraph"/>
        <w:numPr>
          <w:ilvl w:val="0"/>
          <w:numId w:val="3"/>
        </w:numPr>
        <w:spacing w:after="100"/>
      </w:pPr>
      <w:r>
        <w:t xml:space="preserve">Prueba estadística sencilla de que las diferencias no son azar.</w:t>
      </w:r>
    </w:p>
    <w:p>
      <w:pPr>
        <w:pStyle w:val="ListParagraph"/>
        <w:numPr>
          <w:ilvl w:val="0"/>
          <w:numId w:val="3"/>
        </w:numPr>
        <w:spacing w:after="100"/>
      </w:pPr>
      <w:r>
        <w:t xml:space="preserve">Prueba de apagado causal del acoplamiento (Exp 3).</w:t>
      </w:r>
    </w:p>
    <w:p>
      <w:pPr>
        <w:pStyle w:val="ListParagraph"/>
        <w:numPr>
          <w:ilvl w:val="0"/>
          <w:numId w:val="3"/>
        </w:numPr>
        <w:spacing w:after="100"/>
      </w:pPr>
      <w:r>
        <w:t xml:space="preserve">Separar formalmente en el código DESCENTRAMIENTO y SENSIBILIDAD como parámetros distintos por eje.</w:t>
      </w:r>
    </w:p>
    <w:p>
      <w:pPr>
        <w:pStyle w:val="ListParagraph"/>
        <w:numPr>
          <w:ilvl w:val="0"/>
          <w:numId w:val="3"/>
        </w:numPr>
        <w:spacing w:after="100"/>
      </w:pPr>
      <w:r>
        <w:t xml:space="preserve">Etiquetado ciego: validar que terceros nombran las conductas como nosotros, sin guía previa.</w:t>
      </w:r>
    </w:p>
    <w:p>
      <w:pPr>
        <w:pStyle w:val="ListParagraph"/>
        <w:numPr>
          <w:ilvl w:val="0"/>
          <w:numId w:val="3"/>
        </w:numPr>
        <w:spacing w:after="100"/>
      </w:pPr>
      <w:r>
        <w:t xml:space="preserve">Corregir la errata del README (“yf⁻” → “y f⁻”, “displacer”).</w:t>
      </w:r>
    </w:p>
    <w:p>
      <w:pPr>
        <w:spacing w:after="120" w:before="240"/>
        <w:jc w:val="center"/>
      </w:pPr>
      <w:r>
        <w:rPr>
          <w:color w:val="999999"/>
        </w:rPr>
        <w:t xml:space="preserve">—</w:t>
      </w:r>
    </w:p>
    <w:p>
      <w:r>
        <w:rPr>
          <w:i/>
          <w:iCs/>
          <w:color w:val="555555"/>
          <w:sz w:val="20"/>
          <w:szCs w:val="20"/>
        </w:rPr>
        <w:t xml:space="preserve">Principio transversal: medir conductas observables y contables, nunca etiquetar emociones directamente. El estado interno es la teoría; la conducta medida es la prueba.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2026-06-13T11:29:50.049Z</dcterms:created>
  <dcterms:modified xsi:type="dcterms:W3CDTF">2026-06-13T11:29:50.061Z</dcterms:modified>
</cp:coreProperties>
</file>

<file path=docProps/custom.xml><?xml version="1.0" encoding="utf-8"?>
<Properties xmlns="http://schemas.openxmlformats.org/officeDocument/2006/custom-properties" xmlns:vt="http://schemas.openxmlformats.org/officeDocument/2006/docPropsVTypes"/>
</file>