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4BFC9" w14:textId="0F64EA34" w:rsidR="004D2970" w:rsidRDefault="004C22EF">
      <w:pPr>
        <w:jc w:val="center"/>
      </w:pPr>
      <w:r>
        <w:rPr>
          <w:b/>
          <w:color w:val="1F4E79"/>
          <w:sz w:val="44"/>
        </w:rPr>
        <w:t xml:space="preserve"> </w:t>
      </w:r>
      <w:r w:rsidR="00BD52EC">
        <w:rPr>
          <w:b/>
          <w:color w:val="1F4E79"/>
          <w:sz w:val="44"/>
        </w:rPr>
        <w:t xml:space="preserve">Manuel </w:t>
      </w:r>
      <w:proofErr w:type="spellStart"/>
      <w:r w:rsidR="00BD52EC">
        <w:rPr>
          <w:b/>
          <w:color w:val="1F4E79"/>
          <w:sz w:val="44"/>
        </w:rPr>
        <w:t>utilisateur</w:t>
      </w:r>
      <w:proofErr w:type="spellEnd"/>
      <w:r w:rsidR="00BD52EC">
        <w:rPr>
          <w:b/>
          <w:color w:val="1F4E79"/>
          <w:sz w:val="44"/>
        </w:rPr>
        <w:t xml:space="preserve"> - </w:t>
      </w:r>
      <w:proofErr w:type="spellStart"/>
      <w:r w:rsidR="00BD52EC">
        <w:rPr>
          <w:b/>
          <w:color w:val="1F4E79"/>
          <w:sz w:val="44"/>
        </w:rPr>
        <w:t>Plateforme</w:t>
      </w:r>
      <w:proofErr w:type="spellEnd"/>
      <w:r w:rsidR="00BD52EC">
        <w:rPr>
          <w:b/>
          <w:color w:val="1F4E79"/>
          <w:sz w:val="44"/>
        </w:rPr>
        <w:t xml:space="preserve"> de reconciliation</w:t>
      </w:r>
    </w:p>
    <w:p w14:paraId="299E7855" w14:textId="77777777" w:rsidR="004D2970" w:rsidRDefault="00BD52EC">
      <w:pPr>
        <w:jc w:val="center"/>
      </w:pPr>
      <w:r>
        <w:rPr>
          <w:sz w:val="24"/>
        </w:rPr>
        <w:t>Reconciliation Banque / Operateurs, Reporting, Compensation et Comptabilisation</w:t>
      </w:r>
    </w:p>
    <w:p w14:paraId="3F7B2786" w14:textId="77777777" w:rsidR="004D2970" w:rsidRDefault="004D2970"/>
    <w:p w14:paraId="72A826EE" w14:textId="77777777" w:rsidR="004D2970" w:rsidRDefault="00BD52EC">
      <w:pPr>
        <w:pStyle w:val="Titre1"/>
      </w:pPr>
      <w:r>
        <w:t>1. Objectif du document</w:t>
      </w:r>
    </w:p>
    <w:p w14:paraId="37EA5DD7" w14:textId="77777777" w:rsidR="004D2970" w:rsidRDefault="00BD52EC">
      <w:pPr>
        <w:spacing w:after="120"/>
      </w:pPr>
      <w:r>
        <w:t xml:space="preserve">Ce manuel explique les principales actions a realiser dans l'application: se connecter, creer un </w:t>
      </w:r>
      <w:r>
        <w:t>compte, importer les fichiers, lancer une reconciliation, analyser le reporting, verifier la compensation et suivre la comptabilisation AMPLITUDE.</w:t>
      </w:r>
    </w:p>
    <w:p w14:paraId="351ED1CE" w14:textId="77777777" w:rsidR="004D2970" w:rsidRDefault="00BD52EC">
      <w:pPr>
        <w:spacing w:after="120"/>
      </w:pPr>
      <w:r>
        <w:t>Les exemples visuels sont des captures de demonstration. Les chiffres visibles servent a expliquer la lecture</w:t>
      </w:r>
      <w:r>
        <w:t xml:space="preserve"> des ecrans; les utilisateurs doivent toujours se referer aux donnees reelles chargees dans leur environnement.</w:t>
      </w:r>
    </w:p>
    <w:p w14:paraId="7A63975C" w14:textId="77777777" w:rsidR="004D2970" w:rsidRDefault="00BD52EC">
      <w:pPr>
        <w:pStyle w:val="Titre1"/>
      </w:pPr>
      <w:r>
        <w:t>2. Connexion</w:t>
      </w:r>
    </w:p>
    <w:p w14:paraId="59B2A838" w14:textId="77777777" w:rsidR="004D2970" w:rsidRDefault="00BD52EC">
      <w:pPr>
        <w:jc w:val="center"/>
      </w:pPr>
      <w:r>
        <w:rPr>
          <w:noProof/>
        </w:rPr>
        <w:drawing>
          <wp:inline distT="0" distB="0" distL="0" distR="0" wp14:anchorId="332CB355" wp14:editId="54E899D2">
            <wp:extent cx="5940000" cy="495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onnex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59AA" w14:textId="77777777" w:rsidR="004D2970" w:rsidRDefault="00BD52EC">
      <w:pPr>
        <w:jc w:val="center"/>
      </w:pPr>
      <w:r>
        <w:rPr>
          <w:i/>
          <w:sz w:val="18"/>
        </w:rPr>
        <w:t>Ecran de connexion a l'application.</w:t>
      </w:r>
    </w:p>
    <w:p w14:paraId="4738A91F" w14:textId="77777777" w:rsidR="004D2970" w:rsidRDefault="00BD52EC">
      <w:pPr>
        <w:pStyle w:val="Listepuces"/>
      </w:pPr>
      <w:r>
        <w:t>Saisir l'adresse email dans le champ identifiant. Dans l'application, l'email sert de nom d'u</w:t>
      </w:r>
      <w:r>
        <w:t>tilisateur.</w:t>
      </w:r>
    </w:p>
    <w:p w14:paraId="63BCE659" w14:textId="77777777" w:rsidR="004D2970" w:rsidRDefault="00BD52EC">
      <w:pPr>
        <w:pStyle w:val="Listepuces"/>
      </w:pPr>
      <w:r>
        <w:t>Saisir le mot de passe puis cliquer sur Connexion.</w:t>
      </w:r>
    </w:p>
    <w:p w14:paraId="60DDC73C" w14:textId="77777777" w:rsidR="004D2970" w:rsidRDefault="00BD52EC">
      <w:pPr>
        <w:pStyle w:val="Listepuces"/>
      </w:pPr>
      <w:r>
        <w:t>En cas d'echec, verifier l'email, le mot de passe et l'etat du compte utilisateur.</w:t>
      </w:r>
    </w:p>
    <w:p w14:paraId="37314002" w14:textId="77777777" w:rsidR="004D2970" w:rsidRDefault="00BD52EC">
      <w:pPr>
        <w:pStyle w:val="Titre1"/>
      </w:pPr>
      <w:r>
        <w:lastRenderedPageBreak/>
        <w:t>3. Creation d'un compte</w:t>
      </w:r>
    </w:p>
    <w:p w14:paraId="77716630" w14:textId="77777777" w:rsidR="004D2970" w:rsidRDefault="00BD52EC">
      <w:pPr>
        <w:jc w:val="center"/>
      </w:pPr>
      <w:r>
        <w:rPr>
          <w:noProof/>
        </w:rPr>
        <w:drawing>
          <wp:inline distT="0" distB="0" distL="0" distR="0" wp14:anchorId="7A61F43D" wp14:editId="1AE3B808">
            <wp:extent cx="5940000" cy="49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script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3AFE" w14:textId="77777777" w:rsidR="004D2970" w:rsidRDefault="00BD52EC">
      <w:pPr>
        <w:jc w:val="center"/>
      </w:pPr>
      <w:r>
        <w:rPr>
          <w:i/>
          <w:sz w:val="18"/>
        </w:rPr>
        <w:t>Formulaire de creation de compte utilisateur.</w:t>
      </w:r>
    </w:p>
    <w:p w14:paraId="0A661059" w14:textId="77777777" w:rsidR="004D2970" w:rsidRDefault="00BD52EC">
      <w:pPr>
        <w:spacing w:after="120"/>
      </w:pPr>
      <w:r>
        <w:t>Chaque utilisateur peut creer son prop</w:t>
      </w:r>
      <w:r>
        <w:t>re compte depuis le formulaire d'inscription.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56"/>
        <w:gridCol w:w="5156"/>
      </w:tblGrid>
      <w:tr w:rsidR="004D2970" w14:paraId="598566EA" w14:textId="77777777">
        <w:tc>
          <w:tcPr>
            <w:tcW w:w="5156" w:type="dxa"/>
          </w:tcPr>
          <w:p w14:paraId="088DD34B" w14:textId="77777777" w:rsidR="004D2970" w:rsidRDefault="00BD52EC">
            <w:r>
              <w:t>Element</w:t>
            </w:r>
          </w:p>
        </w:tc>
        <w:tc>
          <w:tcPr>
            <w:tcW w:w="5156" w:type="dxa"/>
          </w:tcPr>
          <w:p w14:paraId="43EF971F" w14:textId="77777777" w:rsidR="004D2970" w:rsidRDefault="00BD52EC">
            <w:r>
              <w:t>Description</w:t>
            </w:r>
          </w:p>
        </w:tc>
      </w:tr>
      <w:tr w:rsidR="004D2970" w14:paraId="7393E0C7" w14:textId="77777777">
        <w:tc>
          <w:tcPr>
            <w:tcW w:w="5156" w:type="dxa"/>
          </w:tcPr>
          <w:p w14:paraId="6DC9F300" w14:textId="77777777" w:rsidR="004D2970" w:rsidRDefault="00BD52EC">
            <w:r>
              <w:t>Champs obligatoires</w:t>
            </w:r>
          </w:p>
        </w:tc>
        <w:tc>
          <w:tcPr>
            <w:tcW w:w="5156" w:type="dxa"/>
          </w:tcPr>
          <w:p w14:paraId="777C3897" w14:textId="77777777" w:rsidR="004D2970" w:rsidRDefault="00BD52EC">
            <w:r>
              <w:t>Nom, prenom, email, mot de passe et confirmation du mot de passe.</w:t>
            </w:r>
          </w:p>
        </w:tc>
      </w:tr>
      <w:tr w:rsidR="004D2970" w14:paraId="6FB598F5" w14:textId="77777777">
        <w:tc>
          <w:tcPr>
            <w:tcW w:w="5156" w:type="dxa"/>
          </w:tcPr>
          <w:p w14:paraId="0B23301A" w14:textId="77777777" w:rsidR="004D2970" w:rsidRDefault="00BD52EC">
            <w:r>
              <w:t>Nom d'utilisateur</w:t>
            </w:r>
          </w:p>
        </w:tc>
        <w:tc>
          <w:tcPr>
            <w:tcW w:w="5156" w:type="dxa"/>
          </w:tcPr>
          <w:p w14:paraId="5FF90805" w14:textId="77777777" w:rsidR="004D2970" w:rsidRDefault="00BD52EC">
            <w:r>
              <w:t>L'email renseigne devient automatiquement le username.</w:t>
            </w:r>
          </w:p>
        </w:tc>
      </w:tr>
      <w:tr w:rsidR="004D2970" w14:paraId="113452D1" w14:textId="77777777">
        <w:tc>
          <w:tcPr>
            <w:tcW w:w="5156" w:type="dxa"/>
          </w:tcPr>
          <w:p w14:paraId="24B9D37C" w14:textId="77777777" w:rsidR="004D2970" w:rsidRDefault="00BD52EC">
            <w:r>
              <w:t>Champs optionnels</w:t>
            </w:r>
          </w:p>
        </w:tc>
        <w:tc>
          <w:tcPr>
            <w:tcW w:w="5156" w:type="dxa"/>
          </w:tcPr>
          <w:p w14:paraId="07F305DB" w14:textId="77777777" w:rsidR="004D2970" w:rsidRDefault="00BD52EC">
            <w:r>
              <w:t xml:space="preserve">Les </w:t>
            </w:r>
            <w:r>
              <w:t>autres informations personnelles restent optionnelles selon la fiche utilisateur.</w:t>
            </w:r>
          </w:p>
        </w:tc>
      </w:tr>
      <w:tr w:rsidR="004D2970" w14:paraId="5703790E" w14:textId="77777777">
        <w:tc>
          <w:tcPr>
            <w:tcW w:w="5156" w:type="dxa"/>
          </w:tcPr>
          <w:p w14:paraId="1F59CE81" w14:textId="77777777" w:rsidR="004D2970" w:rsidRDefault="00BD52EC">
            <w:r>
              <w:t>Controle attendu</w:t>
            </w:r>
          </w:p>
        </w:tc>
        <w:tc>
          <w:tcPr>
            <w:tcW w:w="5156" w:type="dxa"/>
          </w:tcPr>
          <w:p w14:paraId="5353F5A4" w14:textId="77777777" w:rsidR="004D2970" w:rsidRDefault="00BD52EC">
            <w:r>
              <w:t>Le mot de passe et sa confirmation doivent etre identiques.</w:t>
            </w:r>
          </w:p>
        </w:tc>
      </w:tr>
    </w:tbl>
    <w:p w14:paraId="3B47FE2E" w14:textId="77777777" w:rsidR="004D2970" w:rsidRDefault="00BD52EC">
      <w:pPr>
        <w:pStyle w:val="Titre1"/>
      </w:pPr>
      <w:r>
        <w:lastRenderedPageBreak/>
        <w:t>4. Accueil et navigation</w:t>
      </w:r>
    </w:p>
    <w:p w14:paraId="53EEFA5C" w14:textId="77777777" w:rsidR="004D2970" w:rsidRDefault="00BD52EC">
      <w:pPr>
        <w:jc w:val="center"/>
      </w:pPr>
      <w:r>
        <w:rPr>
          <w:noProof/>
        </w:rPr>
        <w:drawing>
          <wp:inline distT="0" distB="0" distL="0" distR="0" wp14:anchorId="2D17C5BA" wp14:editId="04093A9A">
            <wp:extent cx="5940000" cy="495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ccuei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787C" w14:textId="77777777" w:rsidR="004D2970" w:rsidRDefault="00BD52EC">
      <w:pPr>
        <w:jc w:val="center"/>
      </w:pPr>
      <w:r>
        <w:rPr>
          <w:i/>
          <w:sz w:val="18"/>
        </w:rPr>
        <w:t>Page d'accueil apres authentification.</w:t>
      </w:r>
    </w:p>
    <w:p w14:paraId="43A5F773" w14:textId="77777777" w:rsidR="004D2970" w:rsidRDefault="00BD52EC">
      <w:pPr>
        <w:spacing w:after="120"/>
      </w:pPr>
      <w:r>
        <w:t>La page d'accueil donne acces</w:t>
      </w:r>
      <w:r>
        <w:t xml:space="preserve"> aux modules principaux: tableau de bord, reconciliation, compensation, comptabilisation et historique. L'utilisateur choisit le module selon l'activite a realiser.</w:t>
      </w:r>
    </w:p>
    <w:p w14:paraId="5112DEC7" w14:textId="77777777" w:rsidR="004D2970" w:rsidRDefault="00BD52EC">
      <w:pPr>
        <w:pStyle w:val="Titre1"/>
      </w:pPr>
      <w:r>
        <w:lastRenderedPageBreak/>
        <w:t>5. Tableau de bord et reporting managerial</w:t>
      </w:r>
    </w:p>
    <w:p w14:paraId="5BF956A0" w14:textId="77777777" w:rsidR="004D2970" w:rsidRDefault="00BD52EC">
      <w:pPr>
        <w:jc w:val="center"/>
      </w:pPr>
      <w:r>
        <w:rPr>
          <w:noProof/>
        </w:rPr>
        <w:drawing>
          <wp:inline distT="0" distB="0" distL="0" distR="0" wp14:anchorId="7119EB1A" wp14:editId="0A5D3764">
            <wp:extent cx="5940000" cy="5568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2C45" w14:textId="77777777" w:rsidR="004D2970" w:rsidRDefault="00BD52EC">
      <w:pPr>
        <w:jc w:val="center"/>
      </w:pPr>
      <w:r>
        <w:rPr>
          <w:i/>
          <w:sz w:val="18"/>
        </w:rPr>
        <w:t>Tableau de bord avec indicateurs et filtres de</w:t>
      </w:r>
      <w:r>
        <w:rPr>
          <w:i/>
          <w:sz w:val="18"/>
        </w:rPr>
        <w:t xml:space="preserve"> reporting.</w:t>
      </w:r>
    </w:p>
    <w:p w14:paraId="6817F502" w14:textId="77777777" w:rsidR="004D2970" w:rsidRDefault="00BD52EC">
      <w:pPr>
        <w:spacing w:after="120"/>
      </w:pPr>
      <w:r>
        <w:t>Le tableau de bord presente une vision globale des operations: volumes, montants banque, montants operateur, anomalies, ecart net et distribution des resultats.</w:t>
      </w:r>
    </w:p>
    <w:p w14:paraId="7A1F326D" w14:textId="77777777" w:rsidR="004D2970" w:rsidRDefault="00BD52EC">
      <w:pPr>
        <w:pStyle w:val="Listepuces"/>
      </w:pPr>
      <w:r>
        <w:t>Utiliser le filtre Operateur pour basculer entre MOOV et ORANGE.</w:t>
      </w:r>
    </w:p>
    <w:p w14:paraId="19DE8499" w14:textId="77777777" w:rsidR="004D2970" w:rsidRDefault="00BD52EC">
      <w:pPr>
        <w:pStyle w:val="Listepuces"/>
      </w:pPr>
      <w:r>
        <w:t>Utiliser les filtr</w:t>
      </w:r>
      <w:r>
        <w:t>es de date pour analyser une journee, une semaine ou un mois.</w:t>
      </w:r>
    </w:p>
    <w:p w14:paraId="0891A4F2" w14:textId="77777777" w:rsidR="004D2970" w:rsidRDefault="00BD52EC">
      <w:pPr>
        <w:pStyle w:val="Listepuces"/>
      </w:pPr>
      <w:r>
        <w:t>Utiliser le filtre Type operation pour distinguer Banque vers Wallet et Wallet vers Banque.</w:t>
      </w:r>
    </w:p>
    <w:p w14:paraId="567196B4" w14:textId="77777777" w:rsidR="004D2970" w:rsidRDefault="00BD52EC">
      <w:pPr>
        <w:pStyle w:val="Listepuces"/>
      </w:pPr>
      <w:r>
        <w:t>Le bloc Montant Anomalies doit etre lu avec les compteurs de transactions abouties cote operateur et c</w:t>
      </w:r>
      <w:r>
        <w:t>ote Carthago.</w:t>
      </w:r>
    </w:p>
    <w:p w14:paraId="5EAF5978" w14:textId="77777777" w:rsidR="004D2970" w:rsidRDefault="00BD52EC">
      <w:pPr>
        <w:pStyle w:val="Listepuces"/>
      </w:pPr>
      <w:r>
        <w:t>Les approvisionnements sont ecartes du rapprochement financier et doivent etre consultes dans leur fenetre dediee.</w:t>
      </w:r>
    </w:p>
    <w:p w14:paraId="080847E2" w14:textId="77777777" w:rsidR="004D2970" w:rsidRDefault="00BD52EC">
      <w:pPr>
        <w:pStyle w:val="Titre1"/>
      </w:pPr>
      <w:r>
        <w:lastRenderedPageBreak/>
        <w:t>6. Reconciliation</w:t>
      </w:r>
    </w:p>
    <w:p w14:paraId="40BA632C" w14:textId="77777777" w:rsidR="004D2970" w:rsidRDefault="00BD52EC">
      <w:pPr>
        <w:jc w:val="center"/>
      </w:pPr>
      <w:r>
        <w:rPr>
          <w:noProof/>
        </w:rPr>
        <w:drawing>
          <wp:inline distT="0" distB="0" distL="0" distR="0" wp14:anchorId="35229D05" wp14:editId="0BEE8A4F">
            <wp:extent cx="5940000" cy="31318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econcili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3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600E" w14:textId="77777777" w:rsidR="004D2970" w:rsidRDefault="00BD52EC">
      <w:pPr>
        <w:jc w:val="center"/>
      </w:pPr>
      <w:r>
        <w:rPr>
          <w:i/>
          <w:sz w:val="18"/>
        </w:rPr>
        <w:t>Ecran de reconciliation et liste des resultats.</w:t>
      </w:r>
    </w:p>
    <w:p w14:paraId="1D20E775" w14:textId="77777777" w:rsidR="004D2970" w:rsidRDefault="00BD52EC">
      <w:pPr>
        <w:spacing w:after="120"/>
      </w:pPr>
      <w:r>
        <w:t xml:space="preserve">Le module de reconciliation compare les donnees </w:t>
      </w:r>
      <w:r>
        <w:t>Banque/Carthago avec les donnees operateur. Il permet d'importer les fichiers, de lancer un run et de consulter les resultats detailles.</w:t>
      </w:r>
    </w:p>
    <w:p w14:paraId="125C3C56" w14:textId="77777777" w:rsidR="004D2970" w:rsidRDefault="00BD52EC">
      <w:pPr>
        <w:pStyle w:val="Listepuces"/>
      </w:pPr>
      <w:r>
        <w:t>Importer les fichiers du meme perimetre metier: date, operateur et sens d'operation.</w:t>
      </w:r>
    </w:p>
    <w:p w14:paraId="778377FF" w14:textId="77777777" w:rsidR="004D2970" w:rsidRDefault="00BD52EC">
      <w:pPr>
        <w:pStyle w:val="Listepuces"/>
      </w:pPr>
      <w:r>
        <w:t>Lancer la reconciliation apres ver</w:t>
      </w:r>
      <w:r>
        <w:t>ification des imports.</w:t>
      </w:r>
    </w:p>
    <w:p w14:paraId="099F59CA" w14:textId="77777777" w:rsidR="004D2970" w:rsidRDefault="00BD52EC">
      <w:pPr>
        <w:pStyle w:val="Listepuces"/>
      </w:pPr>
      <w:r>
        <w:t>Analyser les statuts: rapproche, absent cote banque, absent cote operateur, montant different, doublon ou approvisionnement.</w:t>
      </w:r>
    </w:p>
    <w:p w14:paraId="41446071" w14:textId="77777777" w:rsidR="004D2970" w:rsidRDefault="00BD52EC">
      <w:pPr>
        <w:pStyle w:val="Listepuces"/>
      </w:pPr>
      <w:r>
        <w:t>Utiliser les filtres pour isoler Banque vers Wallet, Wallet vers Banque, MOOV ou ORANGE.</w:t>
      </w:r>
    </w:p>
    <w:p w14:paraId="7734A285" w14:textId="77777777" w:rsidR="004D2970" w:rsidRDefault="00BD52EC">
      <w:pPr>
        <w:pStyle w:val="Listepuces"/>
      </w:pPr>
      <w:r>
        <w:t xml:space="preserve">Les </w:t>
      </w:r>
      <w:r>
        <w:t>operations annulees ou rejetees ne doivent pas etre interpretees comme des transactions abouties.</w:t>
      </w:r>
    </w:p>
    <w:p w14:paraId="394BAF7E" w14:textId="77777777" w:rsidR="004D2970" w:rsidRDefault="00BD52EC">
      <w:pPr>
        <w:pStyle w:val="Titre1"/>
      </w:pPr>
      <w:r>
        <w:lastRenderedPageBreak/>
        <w:t>7. Compensation</w:t>
      </w:r>
    </w:p>
    <w:p w14:paraId="27985343" w14:textId="77777777" w:rsidR="004D2970" w:rsidRDefault="00BD52EC">
      <w:pPr>
        <w:jc w:val="center"/>
      </w:pPr>
      <w:r>
        <w:rPr>
          <w:noProof/>
        </w:rPr>
        <w:drawing>
          <wp:inline distT="0" distB="0" distL="0" distR="0" wp14:anchorId="593CA2BC" wp14:editId="063BDC52">
            <wp:extent cx="5940000" cy="5568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compens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E6B1" w14:textId="77777777" w:rsidR="004D2970" w:rsidRDefault="00BD52EC">
      <w:pPr>
        <w:jc w:val="center"/>
      </w:pPr>
      <w:r>
        <w:rPr>
          <w:i/>
          <w:sz w:val="18"/>
        </w:rPr>
        <w:t>Vue compensation avec ecarts et decisions.</w:t>
      </w:r>
    </w:p>
    <w:p w14:paraId="4BA4D45D" w14:textId="77777777" w:rsidR="004D2970" w:rsidRDefault="00BD52EC">
      <w:pPr>
        <w:spacing w:after="120"/>
      </w:pPr>
      <w:r>
        <w:t>La compensation sert a comparer les transactions abouties cote operateur avec les transactions ab</w:t>
      </w:r>
      <w:r>
        <w:t>outies cote banque. Elle met en evidence l'ecart net, les volumes aboutis et les operations a justifier.</w:t>
      </w:r>
    </w:p>
    <w:p w14:paraId="0D73D93E" w14:textId="77777777" w:rsidR="004D2970" w:rsidRDefault="00BD52EC">
      <w:pPr>
        <w:pStyle w:val="Listepuces"/>
      </w:pPr>
      <w:r>
        <w:t>Selectionner l'operateur, la periode et le type d'operation.</w:t>
      </w:r>
    </w:p>
    <w:p w14:paraId="3061D0C1" w14:textId="77777777" w:rsidR="004D2970" w:rsidRDefault="00BD52EC">
      <w:pPr>
        <w:pStyle w:val="Listepuces"/>
      </w:pPr>
      <w:r>
        <w:t>Verifier les compteurs aboutis operateur et aboutis Carthago avant d'analyser le montant.</w:t>
      </w:r>
    </w:p>
    <w:p w14:paraId="33923C8D" w14:textId="77777777" w:rsidR="004D2970" w:rsidRDefault="00BD52EC">
      <w:pPr>
        <w:pStyle w:val="Listepuces"/>
      </w:pPr>
      <w:r>
        <w:t>Consulter Operations a justifier pour les transactions abouties presentes d'un cote et absentes de l'autre.</w:t>
      </w:r>
    </w:p>
    <w:p w14:paraId="0C29CF28" w14:textId="77777777" w:rsidR="004D2970" w:rsidRDefault="00BD52EC">
      <w:pPr>
        <w:pStyle w:val="Listepuces"/>
      </w:pPr>
      <w:r>
        <w:t>Consulter Ecarts a justifier pour les transactions abouties avec un ecart de montant.</w:t>
      </w:r>
    </w:p>
    <w:p w14:paraId="3AFCF485" w14:textId="77777777" w:rsidR="004D2970" w:rsidRDefault="00BD52EC">
      <w:pPr>
        <w:pStyle w:val="Listepuces"/>
      </w:pPr>
      <w:r>
        <w:t>Les approvisionnements doivent etre sortis du calcul de compen</w:t>
      </w:r>
      <w:r>
        <w:t>sation et controles separement.</w:t>
      </w:r>
    </w:p>
    <w:p w14:paraId="153D54A2" w14:textId="77777777" w:rsidR="004D2970" w:rsidRDefault="00BD52EC">
      <w:pPr>
        <w:pStyle w:val="Titre1"/>
      </w:pPr>
      <w:r>
        <w:lastRenderedPageBreak/>
        <w:t>8. Comptabilisation AMPLITUDE</w:t>
      </w:r>
    </w:p>
    <w:p w14:paraId="6CE474CF" w14:textId="77777777" w:rsidR="004D2970" w:rsidRDefault="00BD52EC">
      <w:pPr>
        <w:jc w:val="center"/>
      </w:pPr>
      <w:r>
        <w:rPr>
          <w:noProof/>
        </w:rPr>
        <w:drawing>
          <wp:inline distT="0" distB="0" distL="0" distR="0" wp14:anchorId="417FD6FC" wp14:editId="606746EE">
            <wp:extent cx="5940000" cy="43867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comptabilis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8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1E9D" w14:textId="77777777" w:rsidR="004D2970" w:rsidRDefault="00BD52EC">
      <w:pPr>
        <w:jc w:val="center"/>
      </w:pPr>
      <w:r>
        <w:rPr>
          <w:i/>
          <w:sz w:val="18"/>
        </w:rPr>
        <w:t>Controle de comptabilisation dans AMPLITUDE.</w:t>
      </w:r>
    </w:p>
    <w:p w14:paraId="363D38CA" w14:textId="77777777" w:rsidR="004D2970" w:rsidRDefault="00BD52EC">
      <w:pPr>
        <w:spacing w:after="120"/>
      </w:pPr>
      <w:r>
        <w:t>Le module de comptabilisation permet de verifier si les operations Carthago attendues existent dans AMPLITUDE. Il fait ressortir les operations com</w:t>
      </w:r>
      <w:r>
        <w:t>ptabilisees, non comptabilisees et les lignes AMPLITUDE sans correspondance Carthago.</w:t>
      </w:r>
    </w:p>
    <w:p w14:paraId="65B8695C" w14:textId="77777777" w:rsidR="004D2970" w:rsidRDefault="00BD52EC">
      <w:pPr>
        <w:pStyle w:val="Listepuces"/>
      </w:pPr>
      <w:r>
        <w:t>Choisir la periode de controle et, si necessaire, l'operateur.</w:t>
      </w:r>
    </w:p>
    <w:p w14:paraId="6EAECF4D" w14:textId="77777777" w:rsidR="004D2970" w:rsidRDefault="00BD52EC">
      <w:pPr>
        <w:pStyle w:val="Listepuces"/>
      </w:pPr>
      <w:r>
        <w:t>Verifier le taux de comptabilisation en nombre et en montant.</w:t>
      </w:r>
    </w:p>
    <w:p w14:paraId="4353B7DB" w14:textId="77777777" w:rsidR="004D2970" w:rsidRDefault="00BD52EC">
      <w:pPr>
        <w:pStyle w:val="Listepuces"/>
      </w:pPr>
      <w:r>
        <w:t>Analyser les operations non comptabilisees et</w:t>
      </w:r>
      <w:r>
        <w:t xml:space="preserve"> les ecarts de montant.</w:t>
      </w:r>
    </w:p>
    <w:p w14:paraId="7DC12233" w14:textId="77777777" w:rsidR="004D2970" w:rsidRDefault="00BD52EC">
      <w:pPr>
        <w:pStyle w:val="Listepuces"/>
      </w:pPr>
      <w:r>
        <w:t>Exporter les controles si un traitement metier ou comptable est necessaire.</w:t>
      </w:r>
    </w:p>
    <w:p w14:paraId="7549EFF7" w14:textId="77777777" w:rsidR="004D2970" w:rsidRDefault="00BD52EC">
      <w:pPr>
        <w:pStyle w:val="Titre1"/>
      </w:pPr>
      <w:r>
        <w:t>9. Nettoyage et suppression en cascade</w:t>
      </w:r>
    </w:p>
    <w:p w14:paraId="3087D73C" w14:textId="77777777" w:rsidR="004D2970" w:rsidRDefault="00BD52EC">
      <w:pPr>
        <w:spacing w:after="120"/>
      </w:pPr>
      <w:r>
        <w:t>Le nettoyage supprime des imports et peut impacter les transactions, les runs de reconciliation et les resultats deja</w:t>
      </w:r>
      <w:r>
        <w:t xml:space="preserve"> calcules. Lorsque l'application signale une suppression en cascade, elle demande une confirmation explicite pour eviter une suppression involontaire.</w:t>
      </w:r>
    </w:p>
    <w:p w14:paraId="6658E00D" w14:textId="77777777" w:rsidR="004D2970" w:rsidRDefault="00BD52EC">
      <w:pPr>
        <w:pStyle w:val="Listepuces"/>
      </w:pPr>
      <w:r>
        <w:t>Utiliser la preview de suppression avant confirmation.</w:t>
      </w:r>
    </w:p>
    <w:p w14:paraId="7A9848F5" w14:textId="77777777" w:rsidR="004D2970" w:rsidRDefault="00BD52EC">
      <w:pPr>
        <w:pStyle w:val="Listepuces"/>
      </w:pPr>
      <w:r>
        <w:t>Lire le nombre d'imports, transactions, runs et re</w:t>
      </w:r>
      <w:r>
        <w:t>sultats impactes.</w:t>
      </w:r>
    </w:p>
    <w:p w14:paraId="3F33D0F8" w14:textId="77777777" w:rsidR="004D2970" w:rsidRDefault="00BD52EC">
      <w:pPr>
        <w:pStyle w:val="Listepuces"/>
      </w:pPr>
      <w:r>
        <w:t>Confirmer la cascade uniquement si les donnees doivent reellement etre retirees du perimetre.</w:t>
      </w:r>
    </w:p>
    <w:p w14:paraId="41E49E93" w14:textId="77777777" w:rsidR="004D2970" w:rsidRDefault="00BD52EC">
      <w:pPr>
        <w:pStyle w:val="Listepuces"/>
      </w:pPr>
      <w:r>
        <w:t xml:space="preserve">Supprimer un import MOOV ou ORANGE ne supprime pas les donnees banque, sauf si une action de suppression banque est lancee </w:t>
      </w:r>
      <w:r>
        <w:t>separement.</w:t>
      </w:r>
    </w:p>
    <w:p w14:paraId="7AA43721" w14:textId="77777777" w:rsidR="004D2970" w:rsidRDefault="00BD52EC">
      <w:pPr>
        <w:pStyle w:val="Titre1"/>
      </w:pPr>
      <w:r>
        <w:lastRenderedPageBreak/>
        <w:t>10. Bonnes pratiques</w:t>
      </w:r>
    </w:p>
    <w:p w14:paraId="08E3E301" w14:textId="77777777" w:rsidR="004D2970" w:rsidRDefault="00BD52EC">
      <w:pPr>
        <w:pStyle w:val="Listepuces"/>
      </w:pPr>
      <w:r>
        <w:t>Toujours travailler avec le meme operateur, la meme date et le meme sens d'operation pour les imports compares.</w:t>
      </w:r>
    </w:p>
    <w:p w14:paraId="29885423" w14:textId="77777777" w:rsidR="004D2970" w:rsidRDefault="00BD52EC">
      <w:pPr>
        <w:pStyle w:val="Listepuces"/>
      </w:pPr>
      <w:r>
        <w:t>Relancer la reconciliation apres une evolution de regle metier, par exemple l'exclusion des approvisionnements.</w:t>
      </w:r>
    </w:p>
    <w:p w14:paraId="6E109416" w14:textId="77777777" w:rsidR="004D2970" w:rsidRDefault="00BD52EC">
      <w:pPr>
        <w:pStyle w:val="Listepuces"/>
      </w:pPr>
      <w:r>
        <w:t>Controler les volumes avant les montants: un ecart de montant peut venir d'une operation absente.</w:t>
      </w:r>
    </w:p>
    <w:p w14:paraId="0D0DF3E0" w14:textId="77777777" w:rsidR="004D2970" w:rsidRDefault="00BD52EC">
      <w:pPr>
        <w:pStyle w:val="Listepuces"/>
      </w:pPr>
      <w:r>
        <w:t>Conserver les exports de reporting et compensation pour validation metier.</w:t>
      </w:r>
    </w:p>
    <w:p w14:paraId="6B5190CB" w14:textId="77777777" w:rsidR="004D2970" w:rsidRDefault="00BD52EC">
      <w:pPr>
        <w:pStyle w:val="Listepuces"/>
      </w:pPr>
      <w:r>
        <w:t>Isoler les approvisionnements avant toute interpretation des ecarts de compensatio</w:t>
      </w:r>
      <w:r>
        <w:t>n.</w:t>
      </w:r>
    </w:p>
    <w:sectPr w:rsidR="004D2970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2EF"/>
    <w:rsid w:val="004D2970"/>
    <w:rsid w:val="00AA1D8D"/>
    <w:rsid w:val="00B47730"/>
    <w:rsid w:val="00BD52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397874"/>
  <w14:defaultImageDpi w14:val="300"/>
  <w15:docId w15:val="{3D2E236C-A9ED-452D-9179-47BBA252F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858</Words>
  <Characters>4721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Bakouan Abdramane</cp:lastModifiedBy>
  <cp:revision>2</cp:revision>
  <dcterms:created xsi:type="dcterms:W3CDTF">2013-12-23T23:15:00Z</dcterms:created>
  <dcterms:modified xsi:type="dcterms:W3CDTF">2026-07-10T18:42:00Z</dcterms:modified>
  <cp:category/>
</cp:coreProperties>
</file>