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440"/>
        <w:jc w:val="center"/>
      </w:pPr>
      <w:r>
        <w:rPr>
          <w:rFonts w:ascii="Calibri" w:hAnsi="Calibri"/>
          <w:b/>
          <w:color w:val="A16C00"/>
          <w:sz w:val="22"/>
        </w:rPr>
        <w:t>RAPPORT TECHNIQUE</w:t>
      </w:r>
    </w:p>
    <w:p>
      <w:pPr>
        <w:pStyle w:val="DocumentTitle"/>
        <w:spacing w:after="240"/>
        <w:jc w:val="center"/>
      </w:pPr>
      <w:r>
        <w:rPr>
          <w:rFonts w:ascii="Calibri" w:hAnsi="Calibri"/>
          <w:b/>
          <w:color w:val="0B2545"/>
          <w:sz w:val="60"/>
        </w:rPr>
        <w:t>Cahier d’analyse</w:t>
        <w:br/>
        <w:t>et de conception</w:t>
      </w:r>
    </w:p>
    <w:p>
      <w:pPr>
        <w:spacing w:after="640"/>
        <w:jc w:val="center"/>
      </w:pPr>
      <w:r>
        <w:rPr>
          <w:rFonts w:ascii="Calibri" w:hAnsi="Calibri"/>
          <w:b/>
          <w:color w:val="1F4D78"/>
          <w:sz w:val="30"/>
        </w:rPr>
        <w:t>Plateforme de réconciliation Banque – Mobile Money</w:t>
      </w:r>
    </w:p>
    <w:p>
      <w:pPr>
        <w:spacing w:after="1560"/>
        <w:jc w:val="center"/>
      </w:pPr>
      <w:r>
        <w:rPr>
          <w:rFonts w:ascii="Calibri" w:hAnsi="Calibri"/>
          <w:color w:val="5F6B7A"/>
          <w:sz w:val="24"/>
        </w:rPr>
        <w:t>Projet : reconcilliation-service</w:t>
      </w:r>
    </w:p>
    <w:tbl>
      <w:tblPr>
        <w:tblW w:type="dxa" w:w="9360"/>
        <w:jc w:val="left"/>
        <w:tblLayout w:type="fixed"/>
        <w:tblLook w:firstColumn="1" w:firstRow="1" w:lastColumn="0" w:lastRow="0" w:noHBand="0" w:noVBand="1" w:val="04A0"/>
        <w:tblInd w:w="120" w:type="dxa"/>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2700"/>
        <w:gridCol w:w="6660"/>
      </w:tblGrid>
      <w:tr>
        <w:trPr>
          <w:tblHeader w:val="true"/>
        </w:trPr>
        <w:tc>
          <w:tcPr>
            <w:tcW w:type="dxa" w:w="2700"/>
            <w:vAlign w:val="center"/>
            <w:tcMar>
              <w:top w:w="80" w:type="dxa"/>
              <w:start w:w="120" w:type="dxa"/>
              <w:bottom w:w="80" w:type="dxa"/>
              <w:end w:w="120" w:type="dxa"/>
            </w:tcMar>
            <w:shd w:fill="E8EEF5" w:val="clear"/>
          </w:tcPr>
          <w:p>
            <w:pPr>
              <w:spacing w:before="0" w:after="0" w:line="264" w:lineRule="auto"/>
              <w:jc w:val="left"/>
            </w:pPr>
            <w:r>
              <w:rPr>
                <w:rFonts w:ascii="Calibri" w:hAnsi="Calibri"/>
                <w:b/>
                <w:color w:val="0B2545"/>
                <w:sz w:val="20"/>
              </w:rPr>
              <w:t>Version</w:t>
            </w:r>
          </w:p>
        </w:tc>
        <w:tc>
          <w:tcPr>
            <w:tcW w:type="dxa" w:w="6660"/>
            <w:vAlign w:val="center"/>
            <w:tcMar>
              <w:top w:w="80" w:type="dxa"/>
              <w:start w:w="120" w:type="dxa"/>
              <w:bottom w:w="80" w:type="dxa"/>
              <w:end w:w="120" w:type="dxa"/>
            </w:tcMar>
          </w:tcPr>
          <w:p>
            <w:pPr>
              <w:spacing w:before="0" w:after="0" w:line="264" w:lineRule="auto"/>
              <w:jc w:val="left"/>
            </w:pPr>
            <w:r>
              <w:rPr>
                <w:rFonts w:ascii="Calibri" w:hAnsi="Calibri"/>
                <w:b w:val="0"/>
                <w:color w:val="111111"/>
                <w:sz w:val="20"/>
              </w:rPr>
              <w:t>1.1 — enrichissement UML</w:t>
            </w:r>
          </w:p>
        </w:tc>
      </w:tr>
      <w:tr>
        <w:tc>
          <w:tcPr>
            <w:tcW w:type="dxa" w:w="2700"/>
            <w:vAlign w:val="center"/>
            <w:tcMar>
              <w:top w:w="80" w:type="dxa"/>
              <w:start w:w="120" w:type="dxa"/>
              <w:bottom w:w="80" w:type="dxa"/>
              <w:end w:w="120" w:type="dxa"/>
            </w:tcMar>
            <w:shd w:fill="E8EEF5" w:val="clear"/>
          </w:tcPr>
          <w:p>
            <w:pPr>
              <w:spacing w:before="0" w:after="0" w:line="264" w:lineRule="auto"/>
              <w:jc w:val="left"/>
            </w:pPr>
            <w:r>
              <w:rPr>
                <w:rFonts w:ascii="Calibri" w:hAnsi="Calibri"/>
                <w:b/>
                <w:color w:val="0B2545"/>
                <w:sz w:val="20"/>
              </w:rPr>
              <w:t>État de référence</w:t>
            </w:r>
          </w:p>
        </w:tc>
        <w:tc>
          <w:tcPr>
            <w:tcW w:type="dxa" w:w="6660"/>
            <w:vAlign w:val="center"/>
            <w:tcMar>
              <w:top w:w="80" w:type="dxa"/>
              <w:start w:w="120" w:type="dxa"/>
              <w:bottom w:w="80" w:type="dxa"/>
              <w:end w:w="120" w:type="dxa"/>
            </w:tcMar>
          </w:tcPr>
          <w:p>
            <w:pPr>
              <w:spacing w:before="0" w:after="0" w:line="264" w:lineRule="auto"/>
              <w:jc w:val="left"/>
            </w:pPr>
            <w:r>
              <w:rPr>
                <w:rFonts w:ascii="Calibri" w:hAnsi="Calibri"/>
                <w:b w:val="0"/>
                <w:color w:val="111111"/>
                <w:sz w:val="20"/>
              </w:rPr>
              <w:t>Code source analysé au 22 juin 2026</w:t>
            </w:r>
          </w:p>
        </w:tc>
      </w:tr>
      <w:tr>
        <w:tc>
          <w:tcPr>
            <w:tcW w:type="dxa" w:w="2700"/>
            <w:vAlign w:val="center"/>
            <w:tcMar>
              <w:top w:w="80" w:type="dxa"/>
              <w:start w:w="120" w:type="dxa"/>
              <w:bottom w:w="80" w:type="dxa"/>
              <w:end w:w="120" w:type="dxa"/>
            </w:tcMar>
            <w:shd w:fill="E8EEF5" w:val="clear"/>
          </w:tcPr>
          <w:p>
            <w:pPr>
              <w:spacing w:before="0" w:after="0" w:line="264" w:lineRule="auto"/>
              <w:jc w:val="left"/>
            </w:pPr>
            <w:r>
              <w:rPr>
                <w:rFonts w:ascii="Calibri" w:hAnsi="Calibri"/>
                <w:b/>
                <w:color w:val="0B2545"/>
                <w:sz w:val="20"/>
              </w:rPr>
              <w:t>Périmètre</w:t>
            </w:r>
          </w:p>
        </w:tc>
        <w:tc>
          <w:tcPr>
            <w:tcW w:type="dxa" w:w="6660"/>
            <w:vAlign w:val="center"/>
            <w:tcMar>
              <w:top w:w="80" w:type="dxa"/>
              <w:start w:w="120" w:type="dxa"/>
              <w:bottom w:w="80" w:type="dxa"/>
              <w:end w:w="120" w:type="dxa"/>
            </w:tcMar>
          </w:tcPr>
          <w:p>
            <w:pPr>
              <w:spacing w:before="0" w:after="0" w:line="264" w:lineRule="auto"/>
              <w:jc w:val="left"/>
            </w:pPr>
            <w:r>
              <w:rPr>
                <w:rFonts w:ascii="Calibri" w:hAnsi="Calibri"/>
                <w:b w:val="0"/>
                <w:color w:val="111111"/>
                <w:sz w:val="20"/>
              </w:rPr>
              <w:t>Backend Spring Boot, règles métier, données, API, sécurité et exploitation</w:t>
            </w:r>
          </w:p>
        </w:tc>
      </w:tr>
    </w:tbl>
    <w:p>
      <w:pPr>
        <w:spacing w:before="720"/>
        <w:jc w:val="center"/>
      </w:pPr>
      <w:r>
        <w:rPr>
          <w:rFonts w:ascii="Calibri" w:hAnsi="Calibri"/>
          <w:i/>
          <w:color w:val="5F6B7A"/>
          <w:sz w:val="19"/>
        </w:rPr>
        <w:t>Document établi à partir des contrôleurs, services, entités, migrations Flyway, configurations et tests du dépôt.</w:t>
      </w:r>
    </w:p>
    <w:p>
      <w:r>
        <w:br w:type="page"/>
      </w:r>
    </w:p>
    <w:p>
      <w:pPr>
        <w:pStyle w:val="Heading1"/>
      </w:pPr>
      <w:r>
        <w:rPr>
          <w:rFonts w:ascii="Calibri" w:hAnsi="Calibri"/>
          <w:b/>
          <w:color w:val="2E74B5"/>
          <w:sz w:val="32"/>
        </w:rPr>
        <w:t>Synthèse exécutive</w:t>
      </w:r>
    </w:p>
    <w:tbl>
      <w:tblPr>
        <w:tblW w:type="dxa" w:w="9360"/>
        <w:jc w:val="left"/>
        <w:tblLayout w:type="fixed"/>
        <w:tblLook w:firstColumn="1" w:firstRow="1" w:lastColumn="0" w:lastRow="0" w:noHBand="0" w:noVBand="1" w:val="04A0"/>
        <w:tblInd w:w="120" w:type="dxa"/>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9360"/>
      </w:tblGrid>
      <w:tr>
        <w:trPr>
          <w:tblHeader w:val="true"/>
        </w:trPr>
        <w:tc>
          <w:tcPr>
            <w:tcW w:type="dxa" w:w="9360"/>
            <w:vAlign w:val="center"/>
            <w:tcMar>
              <w:top w:w="80" w:type="dxa"/>
              <w:start w:w="120" w:type="dxa"/>
              <w:bottom w:w="80" w:type="dxa"/>
              <w:end w:w="120" w:type="dxa"/>
            </w:tcMar>
            <w:shd w:fill="F4F6F9" w:val="clear"/>
          </w:tcPr>
          <w:p>
            <w:pPr>
              <w:spacing w:after="0" w:line="276" w:lineRule="auto"/>
            </w:pPr>
            <w:r>
              <w:rPr>
                <w:rFonts w:ascii="Calibri" w:hAnsi="Calibri"/>
                <w:b/>
                <w:color w:val="0B2545"/>
                <w:sz w:val="20"/>
              </w:rPr>
              <w:t xml:space="preserve">Conclusion générale  </w:t>
            </w:r>
            <w:r>
              <w:rPr>
                <w:rFonts w:ascii="Calibri" w:hAnsi="Calibri"/>
                <w:color w:val="111111"/>
                <w:sz w:val="20"/>
              </w:rPr>
              <w:t>Le projet constitue un backend métier cohérent couvrant l’ensemble de la chaîne de contrôle : ingestion des fichiers, rapprochement Banque–opérateur, analyse des anomalies, contrôle AMPLITUDE, compensation, reporting et rétention. L’architecture est modulaire et extensible par stratégie opérateur. Les priorités de consolidation portent sur l’harmonisation des règles MOOV/Orange, la validation des runs, la sécurité fine des API, la fidélité de l’archivage et l’alignement de la configuration de déploiement.</w:t>
            </w:r>
          </w:p>
        </w:tc>
      </w:tr>
    </w:tbl>
    <w:p>
      <w:pPr>
        <w:spacing w:after="40"/>
      </w:pPr>
    </w:p>
    <w:p>
      <w:pPr>
        <w:spacing w:before="0" w:after="120" w:line="300" w:lineRule="auto"/>
      </w:pPr>
      <w:r>
        <w:rPr>
          <w:rFonts w:ascii="Calibri" w:hAnsi="Calibri"/>
          <w:color w:val="111111"/>
          <w:sz w:val="22"/>
        </w:rPr>
        <w:t>Le dépôt contient 160 fichiers Java, 28 migrations Flyway et 13 fichiers de test. La commande mvn test exécutée le 22 juin 2026 termine avec succès : 28 tests exécutés, aucune erreur et aucun échec. Les classes d’intégration suffixées IT sont présentes, mais ne sont pas exécutées par le cycle Surefire par défaut.</w:t>
      </w:r>
    </w:p>
    <w:p>
      <w:pPr>
        <w:spacing w:before="0" w:after="120" w:line="300" w:lineRule="auto"/>
      </w:pPr>
      <w:r>
        <w:rPr>
          <w:rFonts w:ascii="Calibri" w:hAnsi="Calibri"/>
          <w:color w:val="111111"/>
          <w:sz w:val="22"/>
        </w:rPr>
        <w:t>Le présent cahier associe l’analyse fonctionnelle aux vues UML nécessaires à la conception : contexte, cas d’utilisation, activités, séquences, classes, états, composants, données et déploiement.</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800"/>
        <w:gridCol w:w="5660"/>
        <w:gridCol w:w="1900"/>
      </w:tblGrid>
      <w:tr>
        <w:trPr>
          <w:tblHeader w:val="true"/>
        </w:trPr>
        <w:tc>
          <w:tcPr>
            <w:tcW w:type="dxa" w:w="18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Axe</w:t>
            </w:r>
          </w:p>
        </w:tc>
        <w:tc>
          <w:tcPr>
            <w:tcW w:type="dxa" w:w="566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Constat principal</w:t>
            </w:r>
          </w:p>
        </w:tc>
        <w:tc>
          <w:tcPr>
            <w:tcW w:type="dxa" w:w="19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Appréciation</w:t>
            </w:r>
          </w:p>
        </w:tc>
      </w:tr>
      <w:tr>
        <w:tc>
          <w:tcPr>
            <w:tcW w:type="dxa" w:w="18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Couverture fonctionnelle</w:t>
            </w:r>
          </w:p>
        </w:tc>
        <w:tc>
          <w:tcPr>
            <w:tcW w:type="dxa" w:w="56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Import, rapprochement, analyse, reporting, comptabilisation, compensation, nettoyage et administration.</w:t>
            </w:r>
          </w:p>
        </w:tc>
        <w:tc>
          <w:tcPr>
            <w:tcW w:type="dxa" w:w="1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Large</w:t>
            </w:r>
          </w:p>
        </w:tc>
      </w:tr>
      <w:tr>
        <w:tc>
          <w:tcPr>
            <w:tcW w:type="dxa" w:w="18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Conception</w:t>
            </w:r>
          </w:p>
        </w:tc>
        <w:tc>
          <w:tcPr>
            <w:tcW w:type="dxa" w:w="56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Contrôleurs, services, stratégies opérateur, repositories et migrations séparés.</w:t>
            </w:r>
          </w:p>
        </w:tc>
        <w:tc>
          <w:tcPr>
            <w:tcW w:type="dxa" w:w="1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Structurée</w:t>
            </w:r>
          </w:p>
        </w:tc>
      </w:tr>
      <w:tr>
        <w:tc>
          <w:tcPr>
            <w:tcW w:type="dxa" w:w="18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Traçabilité</w:t>
            </w:r>
          </w:p>
        </w:tc>
        <w:tc>
          <w:tcPr>
            <w:tcW w:type="dxa" w:w="56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Imports, lignes sources, raw payload, runs, résultats et raisons codifiées.</w:t>
            </w:r>
          </w:p>
        </w:tc>
        <w:tc>
          <w:tcPr>
            <w:tcW w:type="dxa" w:w="1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Bonne</w:t>
            </w:r>
          </w:p>
        </w:tc>
      </w:tr>
      <w:tr>
        <w:tc>
          <w:tcPr>
            <w:tcW w:type="dxa" w:w="18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Robustesse</w:t>
            </w:r>
          </w:p>
        </w:tc>
        <w:tc>
          <w:tcPr>
            <w:tcW w:type="dxa" w:w="56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Dédoublonnage, normalisation, pagination, rétention par lot et tests unitaires.</w:t>
            </w:r>
          </w:p>
        </w:tc>
        <w:tc>
          <w:tcPr>
            <w:tcW w:type="dxa" w:w="1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À renforcer sur les cas limites</w:t>
            </w:r>
          </w:p>
        </w:tc>
      </w:tr>
      <w:tr>
        <w:tc>
          <w:tcPr>
            <w:tcW w:type="dxa" w:w="18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Sécurité</w:t>
            </w:r>
          </w:p>
        </w:tc>
        <w:tc>
          <w:tcPr>
            <w:tcW w:type="dxa" w:w="56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JWT en production, BCrypt et profils ; autorisations surtout globales, peu granulaires.</w:t>
            </w:r>
          </w:p>
        </w:tc>
        <w:tc>
          <w:tcPr>
            <w:tcW w:type="dxa" w:w="1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À durcir</w:t>
            </w:r>
          </w:p>
        </w:tc>
      </w:tr>
      <w:tr>
        <w:tc>
          <w:tcPr>
            <w:tcW w:type="dxa" w:w="18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Exploitation</w:t>
            </w:r>
          </w:p>
        </w:tc>
        <w:tc>
          <w:tcPr>
            <w:tcW w:type="dxa" w:w="56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PostgreSQL/Flyway, stockage local et Docker ; incohérences de ports et secrets à externaliser.</w:t>
            </w:r>
          </w:p>
        </w:tc>
        <w:tc>
          <w:tcPr>
            <w:tcW w:type="dxa" w:w="1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À corriger avant industrialisation</w:t>
            </w:r>
          </w:p>
        </w:tc>
      </w:tr>
    </w:tbl>
    <w:p>
      <w:pPr>
        <w:spacing w:before="0" w:after="80"/>
      </w:pPr>
    </w:p>
    <w:p>
      <w:pPr>
        <w:pStyle w:val="Heading1"/>
      </w:pPr>
      <w:r>
        <w:rPr>
          <w:rFonts w:ascii="Calibri" w:hAnsi="Calibri"/>
          <w:b/>
          <w:color w:val="2E74B5"/>
          <w:sz w:val="32"/>
        </w:rPr>
        <w:t>Sommaire</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850"/>
        <w:gridCol w:w="8510"/>
      </w:tblGrid>
      <w:tr>
        <w:trPr>
          <w:tblHeader w:val="true"/>
        </w:trPr>
        <w:tc>
          <w:tcPr>
            <w:tcW w:type="dxa" w:w="85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N°</w:t>
            </w:r>
          </w:p>
        </w:tc>
        <w:tc>
          <w:tcPr>
            <w:tcW w:type="dxa" w:w="851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Section</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20"/>
              </w:rPr>
              <w:t>1</w:t>
            </w:r>
          </w:p>
        </w:tc>
        <w:tc>
          <w:tcPr>
            <w:tcW w:type="dxa" w:w="8510"/>
            <w:vAlign w:val="center"/>
            <w:tcMar>
              <w:top w:w="80" w:type="dxa"/>
              <w:start w:w="120" w:type="dxa"/>
              <w:bottom w:w="80" w:type="dxa"/>
              <w:end w:w="120" w:type="dxa"/>
            </w:tcMar>
          </w:tcPr>
          <w:p>
            <w:pPr>
              <w:spacing w:before="0" w:after="0" w:line="264" w:lineRule="auto"/>
              <w:jc w:val="left"/>
            </w:pPr>
            <w:r>
              <w:rPr>
                <w:rFonts w:ascii="Calibri" w:hAnsi="Calibri"/>
                <w:b w:val="0"/>
                <w:color w:val="111111"/>
                <w:sz w:val="20"/>
              </w:rPr>
              <w:t>Cadre, objectifs et méthode</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20"/>
              </w:rPr>
              <w:t>2</w:t>
            </w:r>
          </w:p>
        </w:tc>
        <w:tc>
          <w:tcPr>
            <w:tcW w:type="dxa" w:w="8510"/>
            <w:vAlign w:val="center"/>
            <w:tcMar>
              <w:top w:w="80" w:type="dxa"/>
              <w:start w:w="120" w:type="dxa"/>
              <w:bottom w:w="80" w:type="dxa"/>
              <w:end w:w="120" w:type="dxa"/>
            </w:tcMar>
          </w:tcPr>
          <w:p>
            <w:pPr>
              <w:spacing w:before="0" w:after="0" w:line="264" w:lineRule="auto"/>
              <w:jc w:val="left"/>
            </w:pPr>
            <w:r>
              <w:rPr>
                <w:rFonts w:ascii="Calibri" w:hAnsi="Calibri"/>
                <w:b w:val="0"/>
                <w:color w:val="111111"/>
                <w:sz w:val="20"/>
              </w:rPr>
              <w:t>Contexte métier, acteurs et périmètre</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20"/>
              </w:rPr>
              <w:t>3</w:t>
            </w:r>
          </w:p>
        </w:tc>
        <w:tc>
          <w:tcPr>
            <w:tcW w:type="dxa" w:w="8510"/>
            <w:vAlign w:val="center"/>
            <w:tcMar>
              <w:top w:w="80" w:type="dxa"/>
              <w:start w:w="120" w:type="dxa"/>
              <w:bottom w:w="80" w:type="dxa"/>
              <w:end w:w="120" w:type="dxa"/>
            </w:tcMar>
          </w:tcPr>
          <w:p>
            <w:pPr>
              <w:spacing w:before="0" w:after="0" w:line="264" w:lineRule="auto"/>
              <w:jc w:val="left"/>
            </w:pPr>
            <w:r>
              <w:rPr>
                <w:rFonts w:ascii="Calibri" w:hAnsi="Calibri"/>
                <w:b w:val="0"/>
                <w:color w:val="111111"/>
                <w:sz w:val="20"/>
              </w:rPr>
              <w:t>Cartographie fonctionnelle et diagramme de cas d’utilisation</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20"/>
              </w:rPr>
              <w:t>4</w:t>
            </w:r>
          </w:p>
        </w:tc>
        <w:tc>
          <w:tcPr>
            <w:tcW w:type="dxa" w:w="8510"/>
            <w:vAlign w:val="center"/>
            <w:tcMar>
              <w:top w:w="80" w:type="dxa"/>
              <w:start w:w="120" w:type="dxa"/>
              <w:bottom w:w="80" w:type="dxa"/>
              <w:end w:w="120" w:type="dxa"/>
            </w:tcMar>
          </w:tcPr>
          <w:p>
            <w:pPr>
              <w:spacing w:before="0" w:after="0" w:line="264" w:lineRule="auto"/>
              <w:jc w:val="left"/>
            </w:pPr>
            <w:r>
              <w:rPr>
                <w:rFonts w:ascii="Calibri" w:hAnsi="Calibri"/>
                <w:b w:val="0"/>
                <w:color w:val="111111"/>
                <w:sz w:val="20"/>
              </w:rPr>
              <w:t>Analyse détaillée des fonctionnalités</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20"/>
              </w:rPr>
              <w:t>5</w:t>
            </w:r>
          </w:p>
        </w:tc>
        <w:tc>
          <w:tcPr>
            <w:tcW w:type="dxa" w:w="8510"/>
            <w:vAlign w:val="center"/>
            <w:tcMar>
              <w:top w:w="80" w:type="dxa"/>
              <w:start w:w="120" w:type="dxa"/>
              <w:bottom w:w="80" w:type="dxa"/>
              <w:end w:w="120" w:type="dxa"/>
            </w:tcMar>
          </w:tcPr>
          <w:p>
            <w:pPr>
              <w:spacing w:before="0" w:after="0" w:line="264" w:lineRule="auto"/>
              <w:jc w:val="left"/>
            </w:pPr>
            <w:r>
              <w:rPr>
                <w:rFonts w:ascii="Calibri" w:hAnsi="Calibri"/>
                <w:b w:val="0"/>
                <w:color w:val="111111"/>
                <w:sz w:val="20"/>
              </w:rPr>
              <w:t>Règles de gestion et décisions métier</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20"/>
              </w:rPr>
              <w:t>6</w:t>
            </w:r>
          </w:p>
        </w:tc>
        <w:tc>
          <w:tcPr>
            <w:tcW w:type="dxa" w:w="8510"/>
            <w:vAlign w:val="center"/>
            <w:tcMar>
              <w:top w:w="80" w:type="dxa"/>
              <w:start w:w="120" w:type="dxa"/>
              <w:bottom w:w="80" w:type="dxa"/>
              <w:end w:w="120" w:type="dxa"/>
            </w:tcMar>
          </w:tcPr>
          <w:p>
            <w:pPr>
              <w:spacing w:before="0" w:after="0" w:line="264" w:lineRule="auto"/>
              <w:jc w:val="left"/>
            </w:pPr>
            <w:r>
              <w:rPr>
                <w:rFonts w:ascii="Calibri" w:hAnsi="Calibri"/>
                <w:b w:val="0"/>
                <w:color w:val="111111"/>
                <w:sz w:val="20"/>
              </w:rPr>
              <w:t>Spécification des cas d’utilisation, activités et séquences</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20"/>
              </w:rPr>
              <w:t>7</w:t>
            </w:r>
          </w:p>
        </w:tc>
        <w:tc>
          <w:tcPr>
            <w:tcW w:type="dxa" w:w="8510"/>
            <w:vAlign w:val="center"/>
            <w:tcMar>
              <w:top w:w="80" w:type="dxa"/>
              <w:start w:w="120" w:type="dxa"/>
              <w:bottom w:w="80" w:type="dxa"/>
              <w:end w:w="120" w:type="dxa"/>
            </w:tcMar>
          </w:tcPr>
          <w:p>
            <w:pPr>
              <w:spacing w:before="0" w:after="0" w:line="264" w:lineRule="auto"/>
              <w:jc w:val="left"/>
            </w:pPr>
            <w:r>
              <w:rPr>
                <w:rFonts w:ascii="Calibri" w:hAnsi="Calibri"/>
                <w:b w:val="0"/>
                <w:color w:val="111111"/>
                <w:sz w:val="20"/>
              </w:rPr>
              <w:t>Conception UML et architecture technique</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20"/>
              </w:rPr>
              <w:t>8</w:t>
            </w:r>
          </w:p>
        </w:tc>
        <w:tc>
          <w:tcPr>
            <w:tcW w:type="dxa" w:w="8510"/>
            <w:vAlign w:val="center"/>
            <w:tcMar>
              <w:top w:w="80" w:type="dxa"/>
              <w:start w:w="120" w:type="dxa"/>
              <w:bottom w:w="80" w:type="dxa"/>
              <w:end w:w="120" w:type="dxa"/>
            </w:tcMar>
          </w:tcPr>
          <w:p>
            <w:pPr>
              <w:spacing w:before="0" w:after="0" w:line="264" w:lineRule="auto"/>
              <w:jc w:val="left"/>
            </w:pPr>
            <w:r>
              <w:rPr>
                <w:rFonts w:ascii="Calibri" w:hAnsi="Calibri"/>
                <w:b w:val="0"/>
                <w:color w:val="111111"/>
                <w:sz w:val="20"/>
              </w:rPr>
              <w:t>Modèle de données</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20"/>
              </w:rPr>
              <w:t>9</w:t>
            </w:r>
          </w:p>
        </w:tc>
        <w:tc>
          <w:tcPr>
            <w:tcW w:type="dxa" w:w="8510"/>
            <w:vAlign w:val="center"/>
            <w:tcMar>
              <w:top w:w="80" w:type="dxa"/>
              <w:start w:w="120" w:type="dxa"/>
              <w:bottom w:w="80" w:type="dxa"/>
              <w:end w:w="120" w:type="dxa"/>
            </w:tcMar>
          </w:tcPr>
          <w:p>
            <w:pPr>
              <w:spacing w:before="0" w:after="0" w:line="264" w:lineRule="auto"/>
              <w:jc w:val="left"/>
            </w:pPr>
            <w:r>
              <w:rPr>
                <w:rFonts w:ascii="Calibri" w:hAnsi="Calibri"/>
                <w:b w:val="0"/>
                <w:color w:val="111111"/>
                <w:sz w:val="20"/>
              </w:rPr>
              <w:t>Catalogue des API REST</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20"/>
              </w:rPr>
              <w:t>10</w:t>
            </w:r>
          </w:p>
        </w:tc>
        <w:tc>
          <w:tcPr>
            <w:tcW w:type="dxa" w:w="8510"/>
            <w:vAlign w:val="center"/>
            <w:tcMar>
              <w:top w:w="80" w:type="dxa"/>
              <w:start w:w="120" w:type="dxa"/>
              <w:bottom w:w="80" w:type="dxa"/>
              <w:end w:w="120" w:type="dxa"/>
            </w:tcMar>
          </w:tcPr>
          <w:p>
            <w:pPr>
              <w:spacing w:before="0" w:after="0" w:line="264" w:lineRule="auto"/>
              <w:jc w:val="left"/>
            </w:pPr>
            <w:r>
              <w:rPr>
                <w:rFonts w:ascii="Calibri" w:hAnsi="Calibri"/>
                <w:b w:val="0"/>
                <w:color w:val="111111"/>
                <w:sz w:val="20"/>
              </w:rPr>
              <w:t>Sécurité, configuration et exploitation</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20"/>
              </w:rPr>
              <w:t>11</w:t>
            </w:r>
          </w:p>
        </w:tc>
        <w:tc>
          <w:tcPr>
            <w:tcW w:type="dxa" w:w="8510"/>
            <w:vAlign w:val="center"/>
            <w:tcMar>
              <w:top w:w="80" w:type="dxa"/>
              <w:start w:w="120" w:type="dxa"/>
              <w:bottom w:w="80" w:type="dxa"/>
              <w:end w:w="120" w:type="dxa"/>
            </w:tcMar>
          </w:tcPr>
          <w:p>
            <w:pPr>
              <w:spacing w:before="0" w:after="0" w:line="264" w:lineRule="auto"/>
              <w:jc w:val="left"/>
            </w:pPr>
            <w:r>
              <w:rPr>
                <w:rFonts w:ascii="Calibri" w:hAnsi="Calibri"/>
                <w:b w:val="0"/>
                <w:color w:val="111111"/>
                <w:sz w:val="20"/>
              </w:rPr>
              <w:t>Tests, recette et qualité</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20"/>
              </w:rPr>
              <w:t>12</w:t>
            </w:r>
          </w:p>
        </w:tc>
        <w:tc>
          <w:tcPr>
            <w:tcW w:type="dxa" w:w="8510"/>
            <w:vAlign w:val="center"/>
            <w:tcMar>
              <w:top w:w="80" w:type="dxa"/>
              <w:start w:w="120" w:type="dxa"/>
              <w:bottom w:w="80" w:type="dxa"/>
              <w:end w:w="120" w:type="dxa"/>
            </w:tcMar>
          </w:tcPr>
          <w:p>
            <w:pPr>
              <w:spacing w:before="0" w:after="0" w:line="264" w:lineRule="auto"/>
              <w:jc w:val="left"/>
            </w:pPr>
            <w:r>
              <w:rPr>
                <w:rFonts w:ascii="Calibri" w:hAnsi="Calibri"/>
                <w:b w:val="0"/>
                <w:color w:val="111111"/>
                <w:sz w:val="20"/>
              </w:rPr>
              <w:t>Écarts, risques et recommandations</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20"/>
              </w:rPr>
              <w:t>13</w:t>
            </w:r>
          </w:p>
        </w:tc>
        <w:tc>
          <w:tcPr>
            <w:tcW w:type="dxa" w:w="8510"/>
            <w:vAlign w:val="center"/>
            <w:tcMar>
              <w:top w:w="80" w:type="dxa"/>
              <w:start w:w="120" w:type="dxa"/>
              <w:bottom w:w="80" w:type="dxa"/>
              <w:end w:w="120" w:type="dxa"/>
            </w:tcMar>
          </w:tcPr>
          <w:p>
            <w:pPr>
              <w:spacing w:before="0" w:after="0" w:line="264" w:lineRule="auto"/>
              <w:jc w:val="left"/>
            </w:pPr>
            <w:r>
              <w:rPr>
                <w:rFonts w:ascii="Calibri" w:hAnsi="Calibri"/>
                <w:b w:val="0"/>
                <w:color w:val="111111"/>
                <w:sz w:val="20"/>
              </w:rPr>
              <w:t>Feuille de route et traçabilité</w:t>
            </w:r>
          </w:p>
        </w:tc>
      </w:tr>
    </w:tbl>
    <w:p>
      <w:pPr>
        <w:spacing w:before="0" w:after="80"/>
      </w:pPr>
    </w:p>
    <w:p>
      <w:pPr>
        <w:pStyle w:val="Heading1"/>
      </w:pPr>
      <w:r>
        <w:rPr>
          <w:rFonts w:ascii="Calibri" w:hAnsi="Calibri"/>
          <w:b/>
          <w:color w:val="2E74B5"/>
          <w:sz w:val="32"/>
        </w:rPr>
        <w:t>Liste des figures</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000"/>
        <w:gridCol w:w="6460"/>
        <w:gridCol w:w="1900"/>
      </w:tblGrid>
      <w:tr>
        <w:trPr>
          <w:tblHeader w:val="true"/>
        </w:trPr>
        <w:tc>
          <w:tcPr>
            <w:tcW w:type="dxa" w:w="10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Figure</w:t>
            </w:r>
          </w:p>
        </w:tc>
        <w:tc>
          <w:tcPr>
            <w:tcW w:type="dxa" w:w="646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Intitulé</w:t>
            </w:r>
          </w:p>
        </w:tc>
        <w:tc>
          <w:tcPr>
            <w:tcW w:type="dxa" w:w="19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Section</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1</w:t>
            </w:r>
          </w:p>
        </w:tc>
        <w:tc>
          <w:tcPr>
            <w:tcW w:type="dxa" w:w="64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Contexte et chaîne fonctionnelle</w:t>
            </w:r>
          </w:p>
        </w:tc>
        <w:tc>
          <w:tcPr>
            <w:tcW w:type="dxa" w:w="1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3.1</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2</w:t>
            </w:r>
          </w:p>
        </w:tc>
        <w:tc>
          <w:tcPr>
            <w:tcW w:type="dxa" w:w="64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Diagramme global des cas d’utilisation</w:t>
            </w:r>
          </w:p>
        </w:tc>
        <w:tc>
          <w:tcPr>
            <w:tcW w:type="dxa" w:w="1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3.3</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3</w:t>
            </w:r>
          </w:p>
        </w:tc>
        <w:tc>
          <w:tcPr>
            <w:tcW w:type="dxa" w:w="64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Diagramme d’activité de l’import</w:t>
            </w:r>
          </w:p>
        </w:tc>
        <w:tc>
          <w:tcPr>
            <w:tcW w:type="dxa" w:w="1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6.5</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4</w:t>
            </w:r>
          </w:p>
        </w:tc>
        <w:tc>
          <w:tcPr>
            <w:tcW w:type="dxa" w:w="64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Diagramme d’activité de la réconciliation</w:t>
            </w:r>
          </w:p>
        </w:tc>
        <w:tc>
          <w:tcPr>
            <w:tcW w:type="dxa" w:w="1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6.5</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5</w:t>
            </w:r>
          </w:p>
        </w:tc>
        <w:tc>
          <w:tcPr>
            <w:tcW w:type="dxa" w:w="64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Diagramme de séquence de l’import</w:t>
            </w:r>
          </w:p>
        </w:tc>
        <w:tc>
          <w:tcPr>
            <w:tcW w:type="dxa" w:w="1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6.6</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6</w:t>
            </w:r>
          </w:p>
        </w:tc>
        <w:tc>
          <w:tcPr>
            <w:tcW w:type="dxa" w:w="64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Diagramme de séquence de la réconciliation</w:t>
            </w:r>
          </w:p>
        </w:tc>
        <w:tc>
          <w:tcPr>
            <w:tcW w:type="dxa" w:w="1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6.6</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7</w:t>
            </w:r>
          </w:p>
        </w:tc>
        <w:tc>
          <w:tcPr>
            <w:tcW w:type="dxa" w:w="64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Diagramme de séquence de la suppression sécurisée</w:t>
            </w:r>
          </w:p>
        </w:tc>
        <w:tc>
          <w:tcPr>
            <w:tcW w:type="dxa" w:w="1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6.6</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8</w:t>
            </w:r>
          </w:p>
        </w:tc>
        <w:tc>
          <w:tcPr>
            <w:tcW w:type="dxa" w:w="64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Diagramme de composants</w:t>
            </w:r>
          </w:p>
        </w:tc>
        <w:tc>
          <w:tcPr>
            <w:tcW w:type="dxa" w:w="1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7.1</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9</w:t>
            </w:r>
          </w:p>
        </w:tc>
        <w:tc>
          <w:tcPr>
            <w:tcW w:type="dxa" w:w="64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Diagramme de classes du domaine</w:t>
            </w:r>
          </w:p>
        </w:tc>
        <w:tc>
          <w:tcPr>
            <w:tcW w:type="dxa" w:w="1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7.5</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10</w:t>
            </w:r>
          </w:p>
        </w:tc>
        <w:tc>
          <w:tcPr>
            <w:tcW w:type="dxa" w:w="64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Diagrammes d’états</w:t>
            </w:r>
          </w:p>
        </w:tc>
        <w:tc>
          <w:tcPr>
            <w:tcW w:type="dxa" w:w="1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7.6</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11</w:t>
            </w:r>
          </w:p>
        </w:tc>
        <w:tc>
          <w:tcPr>
            <w:tcW w:type="dxa" w:w="64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Diagramme de déploiement</w:t>
            </w:r>
          </w:p>
        </w:tc>
        <w:tc>
          <w:tcPr>
            <w:tcW w:type="dxa" w:w="1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7.7</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12</w:t>
            </w:r>
          </w:p>
        </w:tc>
        <w:tc>
          <w:tcPr>
            <w:tcW w:type="dxa" w:w="64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Modèle de données simplifié</w:t>
            </w:r>
          </w:p>
        </w:tc>
        <w:tc>
          <w:tcPr>
            <w:tcW w:type="dxa" w:w="1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8</w:t>
            </w:r>
          </w:p>
        </w:tc>
      </w:tr>
    </w:tbl>
    <w:p>
      <w:pPr>
        <w:spacing w:before="0" w:after="80"/>
      </w:pPr>
    </w:p>
    <w:p>
      <w:r>
        <w:br w:type="page"/>
      </w:r>
    </w:p>
    <w:p>
      <w:pPr>
        <w:pStyle w:val="Heading1"/>
      </w:pPr>
      <w:r>
        <w:rPr>
          <w:rFonts w:ascii="Calibri" w:hAnsi="Calibri"/>
          <w:b/>
          <w:color w:val="2E74B5"/>
          <w:sz w:val="32"/>
        </w:rPr>
        <w:t>1. Cadre, objectifs et méthode</w:t>
      </w:r>
    </w:p>
    <w:p>
      <w:pPr>
        <w:pStyle w:val="Heading2"/>
      </w:pPr>
      <w:r>
        <w:rPr>
          <w:rFonts w:ascii="Calibri" w:hAnsi="Calibri"/>
          <w:b/>
          <w:color w:val="2E74B5"/>
          <w:sz w:val="26"/>
        </w:rPr>
        <w:t>1.1 Objet du cahier</w:t>
      </w:r>
    </w:p>
    <w:p>
      <w:pPr>
        <w:spacing w:before="0" w:after="120" w:line="300" w:lineRule="auto"/>
      </w:pPr>
      <w:r>
        <w:rPr>
          <w:rFonts w:ascii="Calibri" w:hAnsi="Calibri"/>
          <w:color w:val="111111"/>
          <w:sz w:val="22"/>
        </w:rPr>
        <w:t>Ce cahier formalise l’analyse fonctionnelle et la conception technique du service de réconciliation. Il décrit le comportement effectivement observé dans le code afin de servir de référentiel commun aux équipes métier, développement, recette, sécurité et exploitation.</w:t>
      </w:r>
    </w:p>
    <w:p>
      <w:pPr>
        <w:pStyle w:val="Heading2"/>
      </w:pPr>
      <w:r>
        <w:rPr>
          <w:rFonts w:ascii="Calibri" w:hAnsi="Calibri"/>
          <w:b/>
          <w:color w:val="2E74B5"/>
          <w:sz w:val="26"/>
        </w:rPr>
        <w:t>1.2 Objectifs</w:t>
      </w:r>
    </w:p>
    <w:p>
      <w:pPr>
        <w:numPr>
          <w:ilvl w:val="0"/>
          <w:numId w:val="10"/>
        </w:numPr>
        <w:spacing w:before="0" w:after="80" w:line="300" w:lineRule="auto"/>
      </w:pPr>
      <w:r>
        <w:rPr>
          <w:rFonts w:ascii="Calibri" w:hAnsi="Calibri"/>
          <w:color w:val="111111"/>
          <w:sz w:val="22"/>
        </w:rPr>
        <w:t>Définir le périmètre fonctionnel couvert et les acteurs concernés.</w:t>
      </w:r>
    </w:p>
    <w:p>
      <w:pPr>
        <w:numPr>
          <w:ilvl w:val="0"/>
          <w:numId w:val="10"/>
        </w:numPr>
        <w:spacing w:before="0" w:after="80" w:line="300" w:lineRule="auto"/>
      </w:pPr>
      <w:r>
        <w:rPr>
          <w:rFonts w:ascii="Calibri" w:hAnsi="Calibri"/>
          <w:color w:val="111111"/>
          <w:sz w:val="22"/>
        </w:rPr>
        <w:t>Décrire les flux d’import, de rapprochement, de contrôle comptable et de compensation.</w:t>
      </w:r>
    </w:p>
    <w:p>
      <w:pPr>
        <w:numPr>
          <w:ilvl w:val="0"/>
          <w:numId w:val="10"/>
        </w:numPr>
        <w:spacing w:before="0" w:after="80" w:line="300" w:lineRule="auto"/>
      </w:pPr>
      <w:r>
        <w:rPr>
          <w:rFonts w:ascii="Calibri" w:hAnsi="Calibri"/>
          <w:color w:val="111111"/>
          <w:sz w:val="22"/>
        </w:rPr>
        <w:t>Formaliser les règles de normalisation, de dédoublonnage, de classification et de calcul des KPI.</w:t>
      </w:r>
    </w:p>
    <w:p>
      <w:pPr>
        <w:numPr>
          <w:ilvl w:val="0"/>
          <w:numId w:val="10"/>
        </w:numPr>
        <w:spacing w:before="0" w:after="80" w:line="300" w:lineRule="auto"/>
      </w:pPr>
      <w:r>
        <w:rPr>
          <w:rFonts w:ascii="Calibri" w:hAnsi="Calibri"/>
          <w:color w:val="111111"/>
          <w:sz w:val="22"/>
        </w:rPr>
        <w:t>Présenter l’architecture, les données persistées, les API et les exigences non fonctionnelles.</w:t>
      </w:r>
    </w:p>
    <w:p>
      <w:pPr>
        <w:numPr>
          <w:ilvl w:val="0"/>
          <w:numId w:val="10"/>
        </w:numPr>
        <w:spacing w:before="0" w:after="80" w:line="300" w:lineRule="auto"/>
      </w:pPr>
      <w:r>
        <w:rPr>
          <w:rFonts w:ascii="Calibri" w:hAnsi="Calibri"/>
          <w:color w:val="111111"/>
          <w:sz w:val="22"/>
        </w:rPr>
        <w:t>Identifier les écarts entre l’intention documentaire et l’implémentation, puis proposer une trajectoire d’amélioration.</w:t>
      </w:r>
    </w:p>
    <w:p>
      <w:pPr>
        <w:pStyle w:val="Heading2"/>
      </w:pPr>
      <w:r>
        <w:rPr>
          <w:rFonts w:ascii="Calibri" w:hAnsi="Calibri"/>
          <w:b/>
          <w:color w:val="2E74B5"/>
          <w:sz w:val="26"/>
        </w:rPr>
        <w:t>1.3 Méthode d’analyse</w:t>
      </w:r>
    </w:p>
    <w:p>
      <w:pPr>
        <w:spacing w:before="0" w:after="120" w:line="300" w:lineRule="auto"/>
      </w:pPr>
      <w:r>
        <w:rPr>
          <w:rFonts w:ascii="Calibri" w:hAnsi="Calibri"/>
          <w:color w:val="111111"/>
          <w:sz w:val="22"/>
        </w:rPr>
        <w:t>L’analyse a été réalisée par lecture croisée des artefacts suivants : contrôleurs REST, interfaces et implémentations de services, parseurs, stratégies de rapprochement, entités et repositories JPA, migrations Flyway V1 à V28, configurations Spring Security, propriétés d’application, Docker, README et tests. Lorsque la documentation et le code divergent, le comportement du code est retenu comme référence, et l’écart est signalé.</w:t>
      </w:r>
    </w:p>
    <w:tbl>
      <w:tblPr>
        <w:tblW w:type="dxa" w:w="9360"/>
        <w:jc w:val="left"/>
        <w:tblLayout w:type="fixed"/>
        <w:tblLook w:firstColumn="1" w:firstRow="1" w:lastColumn="0" w:lastRow="0" w:noHBand="0" w:noVBand="1" w:val="04A0"/>
        <w:tblInd w:w="120" w:type="dxa"/>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9360"/>
      </w:tblGrid>
      <w:tr>
        <w:trPr>
          <w:tblHeader w:val="true"/>
        </w:trPr>
        <w:tc>
          <w:tcPr>
            <w:tcW w:type="dxa" w:w="9360"/>
            <w:vAlign w:val="center"/>
            <w:tcMar>
              <w:top w:w="80" w:type="dxa"/>
              <w:start w:w="120" w:type="dxa"/>
              <w:bottom w:w="80" w:type="dxa"/>
              <w:end w:w="120" w:type="dxa"/>
            </w:tcMar>
            <w:shd w:fill="F4F6F9" w:val="clear"/>
          </w:tcPr>
          <w:p>
            <w:pPr>
              <w:spacing w:after="0" w:line="276" w:lineRule="auto"/>
            </w:pPr>
            <w:r>
              <w:rPr>
                <w:rFonts w:ascii="Calibri" w:hAnsi="Calibri"/>
                <w:b/>
                <w:color w:val="0B2545"/>
                <w:sz w:val="20"/>
              </w:rPr>
              <w:t xml:space="preserve">Convention  </w:t>
            </w:r>
            <w:r>
              <w:rPr>
                <w:rFonts w:ascii="Calibri" w:hAnsi="Calibri"/>
                <w:color w:val="111111"/>
                <w:sz w:val="20"/>
              </w:rPr>
              <w:t>Les expressions « constaté » et « actuel » décrivent l’implémentation au 22 juin 2026. Les éléments marqués « cible » ou « recommandé » sont des choix de conception proposés, non encore garantis par le code.</w:t>
            </w:r>
          </w:p>
        </w:tc>
      </w:tr>
    </w:tbl>
    <w:p>
      <w:pPr>
        <w:spacing w:after="40"/>
      </w:pPr>
    </w:p>
    <w:p>
      <w:r>
        <w:br w:type="page"/>
      </w:r>
    </w:p>
    <w:p>
      <w:pPr>
        <w:pStyle w:val="Heading1"/>
      </w:pPr>
      <w:r>
        <w:rPr>
          <w:rFonts w:ascii="Calibri" w:hAnsi="Calibri"/>
          <w:b/>
          <w:color w:val="2E74B5"/>
          <w:sz w:val="32"/>
        </w:rPr>
        <w:t>2. Contexte métier, acteurs et périmètre</w:t>
      </w:r>
    </w:p>
    <w:p>
      <w:pPr>
        <w:pStyle w:val="Heading2"/>
      </w:pPr>
      <w:r>
        <w:rPr>
          <w:rFonts w:ascii="Calibri" w:hAnsi="Calibri"/>
          <w:b/>
          <w:color w:val="2E74B5"/>
          <w:sz w:val="26"/>
        </w:rPr>
        <w:t>2.1 Problématique métier</w:t>
      </w:r>
    </w:p>
    <w:p>
      <w:pPr>
        <w:spacing w:before="0" w:after="120" w:line="300" w:lineRule="auto"/>
      </w:pPr>
      <w:r>
        <w:rPr>
          <w:rFonts w:ascii="Calibri" w:hAnsi="Calibri"/>
          <w:color w:val="111111"/>
          <w:sz w:val="22"/>
        </w:rPr>
        <w:t>Les opérations Banque vers Wallet et Wallet vers Banque sont enregistrées par plusieurs systèmes : la Banque/Carthago, MOOV Money, Orange Money et le système comptable AMPLITUDE. Des écarts de présence, de statut, de montant ou de comptabilisation peuvent apparaître. La plateforme centralise les fichiers, rapproche les lignes sur une clé transactionnelle, classe les écarts et fournit des éléments de décision financière.</w:t>
      </w:r>
    </w:p>
    <w:p>
      <w:pPr>
        <w:pStyle w:val="Heading2"/>
      </w:pPr>
      <w:r>
        <w:rPr>
          <w:rFonts w:ascii="Calibri" w:hAnsi="Calibri"/>
          <w:b/>
          <w:color w:val="2E74B5"/>
          <w:sz w:val="26"/>
        </w:rPr>
        <w:t>2.2 Finalités attendues</w:t>
      </w:r>
    </w:p>
    <w:p>
      <w:pPr>
        <w:numPr>
          <w:ilvl w:val="0"/>
          <w:numId w:val="10"/>
        </w:numPr>
        <w:spacing w:before="0" w:after="80" w:line="300" w:lineRule="auto"/>
      </w:pPr>
      <w:r>
        <w:rPr>
          <w:rFonts w:ascii="Calibri" w:hAnsi="Calibri"/>
          <w:color w:val="111111"/>
          <w:sz w:val="22"/>
        </w:rPr>
        <w:t>Sécuriser le contrôle quotidien des flux Mobile Money.</w:t>
      </w:r>
    </w:p>
    <w:p>
      <w:pPr>
        <w:numPr>
          <w:ilvl w:val="0"/>
          <w:numId w:val="10"/>
        </w:numPr>
        <w:spacing w:before="0" w:after="80" w:line="300" w:lineRule="auto"/>
      </w:pPr>
      <w:r>
        <w:rPr>
          <w:rFonts w:ascii="Calibri" w:hAnsi="Calibri"/>
          <w:color w:val="111111"/>
          <w:sz w:val="22"/>
        </w:rPr>
        <w:t>Identifier rapidement les débits à tort, crédits sans débit, absences, doublons et écarts de montant.</w:t>
      </w:r>
    </w:p>
    <w:p>
      <w:pPr>
        <w:numPr>
          <w:ilvl w:val="0"/>
          <w:numId w:val="10"/>
        </w:numPr>
        <w:spacing w:before="0" w:after="80" w:line="300" w:lineRule="auto"/>
      </w:pPr>
      <w:r>
        <w:rPr>
          <w:rFonts w:ascii="Calibri" w:hAnsi="Calibri"/>
          <w:color w:val="111111"/>
          <w:sz w:val="22"/>
        </w:rPr>
        <w:t>Vérifier la présence des opérations Banque dans AMPLITUDE et quantifier le montant à risque.</w:t>
      </w:r>
    </w:p>
    <w:p>
      <w:pPr>
        <w:numPr>
          <w:ilvl w:val="0"/>
          <w:numId w:val="10"/>
        </w:numPr>
        <w:spacing w:before="0" w:after="80" w:line="300" w:lineRule="auto"/>
      </w:pPr>
      <w:r>
        <w:rPr>
          <w:rFonts w:ascii="Calibri" w:hAnsi="Calibri"/>
          <w:color w:val="111111"/>
          <w:sz w:val="22"/>
        </w:rPr>
        <w:t>Consolider les positions Banque/opérateur pour la compensation.</w:t>
      </w:r>
    </w:p>
    <w:p>
      <w:pPr>
        <w:numPr>
          <w:ilvl w:val="0"/>
          <w:numId w:val="10"/>
        </w:numPr>
        <w:spacing w:before="0" w:after="80" w:line="300" w:lineRule="auto"/>
      </w:pPr>
      <w:r>
        <w:rPr>
          <w:rFonts w:ascii="Calibri" w:hAnsi="Calibri"/>
          <w:color w:val="111111"/>
          <w:sz w:val="22"/>
        </w:rPr>
        <w:t>Produire des KPI, exports et historiques auditables.</w:t>
      </w:r>
    </w:p>
    <w:p>
      <w:pPr>
        <w:pStyle w:val="Heading2"/>
      </w:pPr>
      <w:r>
        <w:rPr>
          <w:rFonts w:ascii="Calibri" w:hAnsi="Calibri"/>
          <w:b/>
          <w:color w:val="2E74B5"/>
          <w:sz w:val="26"/>
        </w:rPr>
        <w:t>2.3 Acteurs</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800"/>
        <w:gridCol w:w="5350"/>
        <w:gridCol w:w="2210"/>
      </w:tblGrid>
      <w:tr>
        <w:trPr>
          <w:tblHeader w:val="true"/>
        </w:trPr>
        <w:tc>
          <w:tcPr>
            <w:tcW w:type="dxa" w:w="18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Acteur</w:t>
            </w:r>
          </w:p>
        </w:tc>
        <w:tc>
          <w:tcPr>
            <w:tcW w:type="dxa" w:w="5350"/>
            <w:vAlign w:val="center"/>
            <w:tcMar>
              <w:top w:w="80" w:type="dxa"/>
              <w:start w:w="120" w:type="dxa"/>
              <w:bottom w:w="80" w:type="dxa"/>
              <w:end w:w="120" w:type="dxa"/>
            </w:tcMar>
            <w:shd w:fill="E8EEF5" w:val="clear"/>
          </w:tcPr>
          <w:p>
            <w:pPr>
              <w:spacing w:before="0" w:after="0" w:line="264" w:lineRule="auto"/>
              <w:jc w:val="left"/>
            </w:pPr>
            <w:r>
              <w:rPr>
                <w:rFonts w:ascii="Calibri" w:hAnsi="Calibri"/>
                <w:b/>
                <w:color w:val="0B2545"/>
                <w:sz w:val="18"/>
              </w:rPr>
              <w:t>Responsabilités fonctionnelles</w:t>
            </w:r>
          </w:p>
        </w:tc>
        <w:tc>
          <w:tcPr>
            <w:tcW w:type="dxa" w:w="221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Accès attendu</w:t>
            </w:r>
          </w:p>
        </w:tc>
      </w:tr>
      <w:tr>
        <w:tc>
          <w:tcPr>
            <w:tcW w:type="dxa" w:w="18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Agent de rapprochement</w:t>
            </w:r>
          </w:p>
        </w:tc>
        <w:tc>
          <w:tcPr>
            <w:tcW w:type="dxa" w:w="53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Importer les fichiers, lancer les runs, analyser les anomalies, exporter les résultats.</w:t>
            </w:r>
          </w:p>
        </w:tc>
        <w:tc>
          <w:tcPr>
            <w:tcW w:type="dxa" w:w="22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Lecture/écriture métier</w:t>
            </w:r>
          </w:p>
        </w:tc>
      </w:tr>
      <w:tr>
        <w:tc>
          <w:tcPr>
            <w:tcW w:type="dxa" w:w="18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Contrôle comptable</w:t>
            </w:r>
          </w:p>
        </w:tc>
        <w:tc>
          <w:tcPr>
            <w:tcW w:type="dxa" w:w="53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Contrôler AMPLITUDE, suivre les non-comptabilisés et les montants à risque.</w:t>
            </w:r>
          </w:p>
        </w:tc>
        <w:tc>
          <w:tcPr>
            <w:tcW w:type="dxa" w:w="22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Comptabilisation et exports</w:t>
            </w:r>
          </w:p>
        </w:tc>
      </w:tr>
      <w:tr>
        <w:tc>
          <w:tcPr>
            <w:tcW w:type="dxa" w:w="18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Responsable compensation</w:t>
            </w:r>
          </w:p>
        </w:tc>
        <w:tc>
          <w:tcPr>
            <w:tcW w:type="dxa" w:w="53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Consulter les positions journalières, hebdomadaires et mensuelles ; traiter les écarts.</w:t>
            </w:r>
          </w:p>
        </w:tc>
        <w:tc>
          <w:tcPr>
            <w:tcW w:type="dxa" w:w="22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Compensation et détail</w:t>
            </w:r>
          </w:p>
        </w:tc>
      </w:tr>
      <w:tr>
        <w:tc>
          <w:tcPr>
            <w:tcW w:type="dxa" w:w="18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Superviseur / management</w:t>
            </w:r>
          </w:p>
        </w:tc>
        <w:tc>
          <w:tcPr>
            <w:tcW w:type="dxa" w:w="53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Consulter tableaux de bord, reporting et tendances.</w:t>
            </w:r>
          </w:p>
        </w:tc>
        <w:tc>
          <w:tcPr>
            <w:tcW w:type="dxa" w:w="22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Lecture consolidée</w:t>
            </w:r>
          </w:p>
        </w:tc>
      </w:tr>
      <w:tr>
        <w:tc>
          <w:tcPr>
            <w:tcW w:type="dxa" w:w="18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Administrateur</w:t>
            </w:r>
          </w:p>
        </w:tc>
        <w:tc>
          <w:tcPr>
            <w:tcW w:type="dxa" w:w="53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Gérer utilisateurs, profils, rôles, catégories, produits et paramètres.</w:t>
            </w:r>
          </w:p>
        </w:tc>
        <w:tc>
          <w:tcPr>
            <w:tcW w:type="dxa" w:w="22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Administration</w:t>
            </w:r>
          </w:p>
        </w:tc>
      </w:tr>
      <w:tr>
        <w:tc>
          <w:tcPr>
            <w:tcW w:type="dxa" w:w="18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Exploitant technique</w:t>
            </w:r>
          </w:p>
        </w:tc>
        <w:tc>
          <w:tcPr>
            <w:tcW w:type="dxa" w:w="53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Configurer la base, le stockage, la rétention, le mail, les profils et le déploiement.</w:t>
            </w:r>
          </w:p>
        </w:tc>
        <w:tc>
          <w:tcPr>
            <w:tcW w:type="dxa" w:w="22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Exploitation</w:t>
            </w:r>
          </w:p>
        </w:tc>
      </w:tr>
    </w:tbl>
    <w:p>
      <w:pPr>
        <w:spacing w:before="0" w:after="80"/>
      </w:pPr>
    </w:p>
    <w:tbl>
      <w:tblPr>
        <w:tblW w:type="dxa" w:w="9360"/>
        <w:jc w:val="left"/>
        <w:tblLayout w:type="fixed"/>
        <w:tblLook w:firstColumn="1" w:firstRow="1" w:lastColumn="0" w:lastRow="0" w:noHBand="0" w:noVBand="1" w:val="04A0"/>
        <w:tblInd w:w="120" w:type="dxa"/>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9360"/>
      </w:tblGrid>
      <w:tr>
        <w:trPr>
          <w:tblHeader w:val="true"/>
        </w:trPr>
        <w:tc>
          <w:tcPr>
            <w:tcW w:type="dxa" w:w="9360"/>
            <w:vAlign w:val="center"/>
            <w:tcMar>
              <w:top w:w="80" w:type="dxa"/>
              <w:start w:w="120" w:type="dxa"/>
              <w:bottom w:w="80" w:type="dxa"/>
              <w:end w:w="120" w:type="dxa"/>
            </w:tcMar>
            <w:shd w:fill="FFF7E6" w:val="clear"/>
          </w:tcPr>
          <w:p>
            <w:pPr>
              <w:spacing w:after="0" w:line="276" w:lineRule="auto"/>
            </w:pPr>
            <w:r>
              <w:rPr>
                <w:rFonts w:ascii="Calibri" w:hAnsi="Calibri"/>
                <w:b/>
                <w:color w:val="A16C00"/>
                <w:sz w:val="20"/>
              </w:rPr>
              <w:t xml:space="preserve">Point de conception  </w:t>
            </w:r>
            <w:r>
              <w:rPr>
                <w:rFonts w:ascii="Calibri" w:hAnsi="Calibri"/>
                <w:color w:val="111111"/>
                <w:sz w:val="20"/>
              </w:rPr>
              <w:t>Le code dispose des autorités BA_ADMIN et BA_CONNECT, mais n’applique pas d’autorisations métier fines au niveau des méthodes. La matrice des droits par acteur doit donc être validée et implémentée explicitement.</w:t>
            </w:r>
          </w:p>
        </w:tc>
      </w:tr>
    </w:tbl>
    <w:p>
      <w:pPr>
        <w:spacing w:after="40"/>
      </w:pPr>
    </w:p>
    <w:p>
      <w:pPr>
        <w:pStyle w:val="Heading2"/>
      </w:pPr>
      <w:r>
        <w:rPr>
          <w:rFonts w:ascii="Calibri" w:hAnsi="Calibri"/>
          <w:b/>
          <w:color w:val="2E74B5"/>
          <w:sz w:val="26"/>
        </w:rPr>
        <w:t>2.4 Périmètre</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680"/>
        <w:gridCol w:w="4680"/>
      </w:tblGrid>
      <w:tr>
        <w:trPr>
          <w:tblHeader w:val="true"/>
        </w:trPr>
        <w:tc>
          <w:tcPr>
            <w:tcW w:type="dxa" w:w="468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Inclus</w:t>
            </w:r>
          </w:p>
        </w:tc>
        <w:tc>
          <w:tcPr>
            <w:tcW w:type="dxa" w:w="4680"/>
            <w:vAlign w:val="center"/>
            <w:tcMar>
              <w:top w:w="80" w:type="dxa"/>
              <w:start w:w="120" w:type="dxa"/>
              <w:bottom w:w="80" w:type="dxa"/>
              <w:end w:w="120" w:type="dxa"/>
            </w:tcMar>
            <w:shd w:fill="E8EEF5" w:val="clear"/>
          </w:tcPr>
          <w:p>
            <w:pPr>
              <w:spacing w:before="0" w:after="0" w:line="264" w:lineRule="auto"/>
              <w:jc w:val="left"/>
            </w:pPr>
            <w:r>
              <w:rPr>
                <w:rFonts w:ascii="Calibri" w:hAnsi="Calibri"/>
                <w:b/>
                <w:color w:val="0B2545"/>
                <w:sz w:val="18"/>
              </w:rPr>
              <w:t>Hors périmètre ou non démontré</w:t>
            </w:r>
          </w:p>
        </w:tc>
      </w:tr>
      <w:tr>
        <w:tc>
          <w:tcPr>
            <w:tcW w:type="dxa" w:w="46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9"/>
              </w:rPr>
              <w:t>Backend REST, imports, données, rapprochement MOOV/Orange, AMPLITUDE, dashboard, reporting, compensation, rétention, administration.</w:t>
            </w:r>
          </w:p>
        </w:tc>
        <w:tc>
          <w:tcPr>
            <w:tcW w:type="dxa" w:w="46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9"/>
              </w:rPr>
              <w:t>Écrans frontend, orchestration externe, traitement temps réel, workflow de correction/validation d’anomalie, rapprochement multidevise.</w:t>
            </w:r>
          </w:p>
        </w:tc>
      </w:tr>
    </w:tbl>
    <w:p>
      <w:pPr>
        <w:spacing w:before="0" w:after="80"/>
      </w:pPr>
    </w:p>
    <w:p>
      <w:pPr>
        <w:pStyle w:val="Heading2"/>
      </w:pPr>
      <w:r>
        <w:rPr>
          <w:rFonts w:ascii="Calibri" w:hAnsi="Calibri"/>
          <w:b/>
          <w:color w:val="2E74B5"/>
          <w:sz w:val="26"/>
        </w:rPr>
        <w:t>2.5 Exigences fonctionnelles</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850"/>
        <w:gridCol w:w="5680"/>
        <w:gridCol w:w="1200"/>
        <w:gridCol w:w="1630"/>
      </w:tblGrid>
      <w:tr>
        <w:trPr>
          <w:tblHeader w:val="true"/>
        </w:trPr>
        <w:tc>
          <w:tcPr>
            <w:tcW w:type="dxa" w:w="85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ID</w:t>
            </w:r>
          </w:p>
        </w:tc>
        <w:tc>
          <w:tcPr>
            <w:tcW w:type="dxa" w:w="568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Exigence</w:t>
            </w:r>
          </w:p>
        </w:tc>
        <w:tc>
          <w:tcPr>
            <w:tcW w:type="dxa" w:w="12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Priorité</w:t>
            </w:r>
          </w:p>
        </w:tc>
        <w:tc>
          <w:tcPr>
            <w:tcW w:type="dxa" w:w="163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Cas associé</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RF-01</w:t>
            </w:r>
          </w:p>
        </w:tc>
        <w:tc>
          <w:tcPr>
            <w:tcW w:type="dxa" w:w="56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Importer des fichiers Banque avec une portée MOOV ou Orange.</w:t>
            </w:r>
          </w:p>
        </w:tc>
        <w:tc>
          <w:tcPr>
            <w:tcW w:type="dxa" w:w="12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Haute</w:t>
            </w:r>
          </w:p>
        </w:tc>
        <w:tc>
          <w:tcPr>
            <w:tcW w:type="dxa" w:w="163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UC-01</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RF-02</w:t>
            </w:r>
          </w:p>
        </w:tc>
        <w:tc>
          <w:tcPr>
            <w:tcW w:type="dxa" w:w="56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Importer les fichiers MOOV et Orange et contrôler leur structure.</w:t>
            </w:r>
          </w:p>
        </w:tc>
        <w:tc>
          <w:tcPr>
            <w:tcW w:type="dxa" w:w="12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Haute</w:t>
            </w:r>
          </w:p>
        </w:tc>
        <w:tc>
          <w:tcPr>
            <w:tcW w:type="dxa" w:w="163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UC-02</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RF-03</w:t>
            </w:r>
          </w:p>
        </w:tc>
        <w:tc>
          <w:tcPr>
            <w:tcW w:type="dxa" w:w="56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Importer les écritures AMPLITUDE pour le contrôle comptable.</w:t>
            </w:r>
          </w:p>
        </w:tc>
        <w:tc>
          <w:tcPr>
            <w:tcW w:type="dxa" w:w="12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Haute</w:t>
            </w:r>
          </w:p>
        </w:tc>
        <w:tc>
          <w:tcPr>
            <w:tcW w:type="dxa" w:w="163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UC-03</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RF-04</w:t>
            </w:r>
          </w:p>
        </w:tc>
        <w:tc>
          <w:tcPr>
            <w:tcW w:type="dxa" w:w="56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Tracer les lignes valides, invalides, dupliquées et les erreurs d’import.</w:t>
            </w:r>
          </w:p>
        </w:tc>
        <w:tc>
          <w:tcPr>
            <w:tcW w:type="dxa" w:w="12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Haute</w:t>
            </w:r>
          </w:p>
        </w:tc>
        <w:tc>
          <w:tcPr>
            <w:tcW w:type="dxa" w:w="163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UC-01 à UC-03</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RF-05</w:t>
            </w:r>
          </w:p>
        </w:tc>
        <w:tc>
          <w:tcPr>
            <w:tcW w:type="dxa" w:w="56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Prévisualiser l’impact d’une suppression avant toute cascade.</w:t>
            </w:r>
          </w:p>
        </w:tc>
        <w:tc>
          <w:tcPr>
            <w:tcW w:type="dxa" w:w="12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Haute</w:t>
            </w:r>
          </w:p>
        </w:tc>
        <w:tc>
          <w:tcPr>
            <w:tcW w:type="dxa" w:w="163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UC-04</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RF-06</w:t>
            </w:r>
          </w:p>
        </w:tc>
        <w:tc>
          <w:tcPr>
            <w:tcW w:type="dxa" w:w="56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Exiger une confirmation lorsqu’un import est utilisé par un run.</w:t>
            </w:r>
          </w:p>
        </w:tc>
        <w:tc>
          <w:tcPr>
            <w:tcW w:type="dxa" w:w="12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Haute</w:t>
            </w:r>
          </w:p>
        </w:tc>
        <w:tc>
          <w:tcPr>
            <w:tcW w:type="dxa" w:w="163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UC-04</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RF-07</w:t>
            </w:r>
          </w:p>
        </w:tc>
        <w:tc>
          <w:tcPr>
            <w:tcW w:type="dxa" w:w="56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Exécuter une réconciliation par opérateur et période.</w:t>
            </w:r>
          </w:p>
        </w:tc>
        <w:tc>
          <w:tcPr>
            <w:tcW w:type="dxa" w:w="12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Haute</w:t>
            </w:r>
          </w:p>
        </w:tc>
        <w:tc>
          <w:tcPr>
            <w:tcW w:type="dxa" w:w="163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UC-05</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RF-08</w:t>
            </w:r>
          </w:p>
        </w:tc>
        <w:tc>
          <w:tcPr>
            <w:tcW w:type="dxa" w:w="56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Classifier absences, statuts, écarts, échecs et doublons.</w:t>
            </w:r>
          </w:p>
        </w:tc>
        <w:tc>
          <w:tcPr>
            <w:tcW w:type="dxa" w:w="12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Haute</w:t>
            </w:r>
          </w:p>
        </w:tc>
        <w:tc>
          <w:tcPr>
            <w:tcW w:type="dxa" w:w="163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UC-05</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RF-09</w:t>
            </w:r>
          </w:p>
        </w:tc>
        <w:tc>
          <w:tcPr>
            <w:tcW w:type="dxa" w:w="56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Filtrer, consulter et exporter les résultats détaillés.</w:t>
            </w:r>
          </w:p>
        </w:tc>
        <w:tc>
          <w:tcPr>
            <w:tcW w:type="dxa" w:w="12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Haute</w:t>
            </w:r>
          </w:p>
        </w:tc>
        <w:tc>
          <w:tcPr>
            <w:tcW w:type="dxa" w:w="163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UC-06</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RF-10</w:t>
            </w:r>
          </w:p>
        </w:tc>
        <w:tc>
          <w:tcPr>
            <w:tcW w:type="dxa" w:w="56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Présenter les KPI, montants, tendances et indicateurs qualité.</w:t>
            </w:r>
          </w:p>
        </w:tc>
        <w:tc>
          <w:tcPr>
            <w:tcW w:type="dxa" w:w="12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Moyenne</w:t>
            </w:r>
          </w:p>
        </w:tc>
        <w:tc>
          <w:tcPr>
            <w:tcW w:type="dxa" w:w="163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UC-07</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RF-11</w:t>
            </w:r>
          </w:p>
        </w:tc>
        <w:tc>
          <w:tcPr>
            <w:tcW w:type="dxa" w:w="56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Produire des rapports jour, semaine et mois en Excel/PDF.</w:t>
            </w:r>
          </w:p>
        </w:tc>
        <w:tc>
          <w:tcPr>
            <w:tcW w:type="dxa" w:w="12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Moyenne</w:t>
            </w:r>
          </w:p>
        </w:tc>
        <w:tc>
          <w:tcPr>
            <w:tcW w:type="dxa" w:w="163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UC-08</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RF-12</w:t>
            </w:r>
          </w:p>
        </w:tc>
        <w:tc>
          <w:tcPr>
            <w:tcW w:type="dxa" w:w="56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Contrôler la comptabilisation et quantifier le montant à risque.</w:t>
            </w:r>
          </w:p>
        </w:tc>
        <w:tc>
          <w:tcPr>
            <w:tcW w:type="dxa" w:w="12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Haute</w:t>
            </w:r>
          </w:p>
        </w:tc>
        <w:tc>
          <w:tcPr>
            <w:tcW w:type="dxa" w:w="163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UC-09</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RF-13</w:t>
            </w:r>
          </w:p>
        </w:tc>
        <w:tc>
          <w:tcPr>
            <w:tcW w:type="dxa" w:w="56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Calculer les positions et écarts de compensation.</w:t>
            </w:r>
          </w:p>
        </w:tc>
        <w:tc>
          <w:tcPr>
            <w:tcW w:type="dxa" w:w="12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Haute</w:t>
            </w:r>
          </w:p>
        </w:tc>
        <w:tc>
          <w:tcPr>
            <w:tcW w:type="dxa" w:w="163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UC-10</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RF-14</w:t>
            </w:r>
          </w:p>
        </w:tc>
        <w:tc>
          <w:tcPr>
            <w:tcW w:type="dxa" w:w="56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Archiver ou purger les anciennes réconciliations par lots.</w:t>
            </w:r>
          </w:p>
        </w:tc>
        <w:tc>
          <w:tcPr>
            <w:tcW w:type="dxa" w:w="12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Moyenne</w:t>
            </w:r>
          </w:p>
        </w:tc>
        <w:tc>
          <w:tcPr>
            <w:tcW w:type="dxa" w:w="163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UC-11</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RF-15</w:t>
            </w:r>
          </w:p>
        </w:tc>
        <w:tc>
          <w:tcPr>
            <w:tcW w:type="dxa" w:w="56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Gérer utilisateurs, profils, rôles et paramètres legacy.</w:t>
            </w:r>
          </w:p>
        </w:tc>
        <w:tc>
          <w:tcPr>
            <w:tcW w:type="dxa" w:w="12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Moyenne</w:t>
            </w:r>
          </w:p>
        </w:tc>
        <w:tc>
          <w:tcPr>
            <w:tcW w:type="dxa" w:w="163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UC-12</w:t>
            </w:r>
          </w:p>
        </w:tc>
      </w:tr>
    </w:tbl>
    <w:p>
      <w:pPr>
        <w:spacing w:before="0" w:after="80"/>
      </w:pPr>
    </w:p>
    <w:p>
      <w:r>
        <w:br w:type="page"/>
      </w:r>
    </w:p>
    <w:p>
      <w:pPr>
        <w:pStyle w:val="Heading1"/>
      </w:pPr>
      <w:r>
        <w:rPr>
          <w:rFonts w:ascii="Calibri" w:hAnsi="Calibri"/>
          <w:b/>
          <w:color w:val="2E74B5"/>
          <w:sz w:val="32"/>
        </w:rPr>
        <w:t>3. Cartographie fonctionnelle et cas d’utilisation</w:t>
      </w:r>
    </w:p>
    <w:p>
      <w:pPr>
        <w:pStyle w:val="Heading2"/>
      </w:pPr>
      <w:r>
        <w:rPr>
          <w:rFonts w:ascii="Calibri" w:hAnsi="Calibri"/>
          <w:b/>
          <w:color w:val="2E74B5"/>
          <w:sz w:val="26"/>
        </w:rPr>
        <w:t>3.1 Diagramme de contexte fonctionnel</w:t>
      </w:r>
    </w:p>
    <w:p>
      <w:pPr>
        <w:spacing w:after="40"/>
        <w:jc w:val="center"/>
      </w:pPr>
      <w:r>
        <w:drawing>
          <wp:inline xmlns:a="http://schemas.openxmlformats.org/drawingml/2006/main" xmlns:pic="http://schemas.openxmlformats.org/drawingml/2006/picture">
            <wp:extent cx="5669280" cy="3244088"/>
            <wp:docPr id="1" name="Picture 1" descr="Chaîne fonctionnelle de la plateforme de réconciliation"/>
            <wp:cNvGraphicFramePr>
              <a:graphicFrameLocks noChangeAspect="1"/>
            </wp:cNvGraphicFramePr>
            <a:graphic>
              <a:graphicData uri="http://schemas.openxmlformats.org/drawingml/2006/picture">
                <pic:pic>
                  <pic:nvPicPr>
                    <pic:cNvPr id="0" name="architecture_fonctionnelle.png"/>
                    <pic:cNvPicPr/>
                  </pic:nvPicPr>
                  <pic:blipFill>
                    <a:blip r:embed="rId11"/>
                    <a:stretch>
                      <a:fillRect/>
                    </a:stretch>
                  </pic:blipFill>
                  <pic:spPr>
                    <a:xfrm>
                      <a:off x="0" y="0"/>
                      <a:ext cx="5669280" cy="3244088"/>
                    </a:xfrm>
                    <a:prstGeom prst="rect"/>
                  </pic:spPr>
                </pic:pic>
              </a:graphicData>
            </a:graphic>
          </wp:inline>
        </w:drawing>
      </w:r>
    </w:p>
    <w:p>
      <w:pPr>
        <w:spacing w:before="80" w:after="160"/>
        <w:jc w:val="center"/>
      </w:pPr>
      <w:r>
        <w:rPr>
          <w:rFonts w:ascii="Calibri" w:hAnsi="Calibri"/>
          <w:i/>
          <w:color w:val="5F6B7A"/>
          <w:sz w:val="18"/>
        </w:rPr>
        <w:t>Figure 1 — De l’ingestion des sources à l’analyse et à la décision financière.</w:t>
      </w:r>
    </w:p>
    <w:p>
      <w:pPr>
        <w:pStyle w:val="Heading2"/>
      </w:pPr>
      <w:r>
        <w:rPr>
          <w:rFonts w:ascii="Calibri" w:hAnsi="Calibri"/>
          <w:b/>
          <w:color w:val="2E74B5"/>
          <w:sz w:val="26"/>
        </w:rPr>
        <w:t>3.2 Modules</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900"/>
        <w:gridCol w:w="4760"/>
        <w:gridCol w:w="2700"/>
      </w:tblGrid>
      <w:tr>
        <w:trPr>
          <w:tblHeader w:val="true"/>
        </w:trPr>
        <w:tc>
          <w:tcPr>
            <w:tcW w:type="dxa" w:w="19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Module</w:t>
            </w:r>
          </w:p>
        </w:tc>
        <w:tc>
          <w:tcPr>
            <w:tcW w:type="dxa" w:w="4760"/>
            <w:vAlign w:val="center"/>
            <w:tcMar>
              <w:top w:w="80" w:type="dxa"/>
              <w:start w:w="120" w:type="dxa"/>
              <w:bottom w:w="80" w:type="dxa"/>
              <w:end w:w="120" w:type="dxa"/>
            </w:tcMar>
            <w:shd w:fill="E8EEF5" w:val="clear"/>
          </w:tcPr>
          <w:p>
            <w:pPr>
              <w:spacing w:before="0" w:after="0" w:line="264" w:lineRule="auto"/>
              <w:jc w:val="left"/>
            </w:pPr>
            <w:r>
              <w:rPr>
                <w:rFonts w:ascii="Calibri" w:hAnsi="Calibri"/>
                <w:b/>
                <w:color w:val="0B2545"/>
                <w:sz w:val="18"/>
              </w:rPr>
              <w:t>Fonction principale</w:t>
            </w:r>
          </w:p>
        </w:tc>
        <w:tc>
          <w:tcPr>
            <w:tcW w:type="dxa" w:w="27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Objets clés</w:t>
            </w:r>
          </w:p>
        </w:tc>
      </w:tr>
      <w:tr>
        <w:tc>
          <w:tcPr>
            <w:tcW w:type="dxa" w:w="1900"/>
            <w:vAlign w:val="center"/>
            <w:tcMar>
              <w:top w:w="80" w:type="dxa"/>
              <w:start w:w="120" w:type="dxa"/>
              <w:bottom w:w="80" w:type="dxa"/>
              <w:end w:w="120" w:type="dxa"/>
            </w:tcMar>
          </w:tcPr>
          <w:p>
            <w:pPr>
              <w:spacing w:before="0" w:after="0" w:line="264" w:lineRule="auto"/>
              <w:jc w:val="left"/>
            </w:pPr>
            <w:r>
              <w:rPr>
                <w:rFonts w:ascii="Calibri" w:hAnsi="Calibri"/>
                <w:b/>
                <w:color w:val="111111"/>
                <w:sz w:val="17"/>
              </w:rPr>
              <w:t>Import et qualité</w:t>
            </w:r>
          </w:p>
        </w:tc>
        <w:tc>
          <w:tcPr>
            <w:tcW w:type="dxa" w:w="47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Acquérir, valider, normaliser, dédoublonner et tracer les fichiers.</w:t>
            </w:r>
          </w:p>
        </w:tc>
        <w:tc>
          <w:tcPr>
            <w:tcW w:type="dxa" w:w="27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FileImport, transactions source</w:t>
            </w:r>
          </w:p>
        </w:tc>
      </w:tr>
      <w:tr>
        <w:tc>
          <w:tcPr>
            <w:tcW w:type="dxa" w:w="190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Transactions</w:t>
            </w:r>
          </w:p>
        </w:tc>
        <w:tc>
          <w:tcPr>
            <w:tcW w:type="dxa" w:w="47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Consulter les lignes persistées par import ou par identifiants.</w:t>
            </w:r>
          </w:p>
        </w:tc>
        <w:tc>
          <w:tcPr>
            <w:tcW w:type="dxa" w:w="27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Bank/Moov/OrangeTransaction</w:t>
            </w:r>
          </w:p>
        </w:tc>
      </w:tr>
      <w:tr>
        <w:tc>
          <w:tcPr>
            <w:tcW w:type="dxa" w:w="190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Réconciliation</w:t>
            </w:r>
          </w:p>
        </w:tc>
        <w:tc>
          <w:tcPr>
            <w:tcW w:type="dxa" w:w="47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Créer un run, rapprocher les clés et classifier chaque situation.</w:t>
            </w:r>
          </w:p>
        </w:tc>
        <w:tc>
          <w:tcPr>
            <w:tcW w:type="dxa" w:w="27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ReconciliationRun, Result</w:t>
            </w:r>
          </w:p>
        </w:tc>
      </w:tr>
      <w:tr>
        <w:tc>
          <w:tcPr>
            <w:tcW w:type="dxa" w:w="190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Dashboard</w:t>
            </w:r>
          </w:p>
        </w:tc>
        <w:tc>
          <w:tcPr>
            <w:tcW w:type="dxa" w:w="47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Présenter volumes, distribution, montants, timeline, anomalies et qualité.</w:t>
            </w:r>
          </w:p>
        </w:tc>
        <w:tc>
          <w:tcPr>
            <w:tcW w:type="dxa" w:w="27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KPI et filtres</w:t>
            </w:r>
          </w:p>
        </w:tc>
      </w:tr>
      <w:tr>
        <w:tc>
          <w:tcPr>
            <w:tcW w:type="dxa" w:w="190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Reporting</w:t>
            </w:r>
          </w:p>
        </w:tc>
        <w:tc>
          <w:tcPr>
            <w:tcW w:type="dxa" w:w="47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Produire synthèses jour/semaine/mois et exports Excel/PDF.</w:t>
            </w:r>
          </w:p>
        </w:tc>
        <w:tc>
          <w:tcPr>
            <w:tcW w:type="dxa" w:w="27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ReportingSummary</w:t>
            </w:r>
          </w:p>
        </w:tc>
      </w:tr>
      <w:tr>
        <w:tc>
          <w:tcPr>
            <w:tcW w:type="dxa" w:w="1900"/>
            <w:vAlign w:val="center"/>
            <w:tcMar>
              <w:top w:w="80" w:type="dxa"/>
              <w:start w:w="120" w:type="dxa"/>
              <w:bottom w:w="80" w:type="dxa"/>
              <w:end w:w="120" w:type="dxa"/>
            </w:tcMar>
          </w:tcPr>
          <w:p>
            <w:pPr>
              <w:spacing w:before="0" w:after="0" w:line="264" w:lineRule="auto"/>
              <w:jc w:val="left"/>
            </w:pPr>
            <w:r>
              <w:rPr>
                <w:rFonts w:ascii="Calibri" w:hAnsi="Calibri"/>
                <w:b/>
                <w:color w:val="111111"/>
                <w:sz w:val="17"/>
              </w:rPr>
              <w:t>Comptabilisation</w:t>
            </w:r>
          </w:p>
        </w:tc>
        <w:tc>
          <w:tcPr>
            <w:tcW w:type="dxa" w:w="47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Vérifier les opérations Banque dans AMPLITUDE et calculer le risque.</w:t>
            </w:r>
          </w:p>
        </w:tc>
        <w:tc>
          <w:tcPr>
            <w:tcW w:type="dxa" w:w="27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AccountingCheck/KPI</w:t>
            </w:r>
          </w:p>
        </w:tc>
      </w:tr>
      <w:tr>
        <w:tc>
          <w:tcPr>
            <w:tcW w:type="dxa" w:w="190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Compensation</w:t>
            </w:r>
          </w:p>
        </w:tc>
        <w:tc>
          <w:tcPr>
            <w:tcW w:type="dxa" w:w="47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Comparer les succès Banque/opérateur et fournir une décision.</w:t>
            </w:r>
          </w:p>
        </w:tc>
        <w:tc>
          <w:tcPr>
            <w:tcW w:type="dxa" w:w="27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CompensationDaily/Period</w:t>
            </w:r>
          </w:p>
        </w:tc>
      </w:tr>
      <w:tr>
        <w:tc>
          <w:tcPr>
            <w:tcW w:type="dxa" w:w="1900"/>
            <w:vAlign w:val="center"/>
            <w:tcMar>
              <w:top w:w="80" w:type="dxa"/>
              <w:start w:w="120" w:type="dxa"/>
              <w:bottom w:w="80" w:type="dxa"/>
              <w:end w:w="120" w:type="dxa"/>
            </w:tcMar>
          </w:tcPr>
          <w:p>
            <w:pPr>
              <w:spacing w:before="0" w:after="0" w:line="264" w:lineRule="auto"/>
              <w:jc w:val="left"/>
            </w:pPr>
            <w:r>
              <w:rPr>
                <w:rFonts w:ascii="Calibri" w:hAnsi="Calibri"/>
                <w:b/>
                <w:color w:val="111111"/>
                <w:sz w:val="17"/>
              </w:rPr>
              <w:t>Rétention/nettoyage</w:t>
            </w:r>
          </w:p>
        </w:tc>
        <w:tc>
          <w:tcPr>
            <w:tcW w:type="dxa" w:w="47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Archiver/purger l’historique et supprimer des imports avec impacts.</w:t>
            </w:r>
          </w:p>
        </w:tc>
        <w:tc>
          <w:tcPr>
            <w:tcW w:type="dxa" w:w="27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Archives, bilans de suppression</w:t>
            </w:r>
          </w:p>
        </w:tc>
      </w:tr>
      <w:tr>
        <w:tc>
          <w:tcPr>
            <w:tcW w:type="dxa" w:w="190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Administration</w:t>
            </w:r>
          </w:p>
        </w:tc>
        <w:tc>
          <w:tcPr>
            <w:tcW w:type="dxa" w:w="47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Gérer identités, rôles, profils et catalogue legacy.</w:t>
            </w:r>
          </w:p>
        </w:tc>
        <w:tc>
          <w:tcPr>
            <w:tcW w:type="dxa" w:w="27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BaUser, BaProfil, BaRole</w:t>
            </w:r>
          </w:p>
        </w:tc>
      </w:tr>
    </w:tbl>
    <w:p>
      <w:pPr>
        <w:spacing w:before="0" w:after="80"/>
      </w:pPr>
    </w:p>
    <w:p>
      <w:pPr>
        <w:pStyle w:val="Heading2"/>
      </w:pPr>
      <w:r>
        <w:rPr>
          <w:rFonts w:ascii="Calibri" w:hAnsi="Calibri"/>
          <w:b/>
          <w:color w:val="2E74B5"/>
          <w:sz w:val="26"/>
        </w:rPr>
        <w:t>3.3 Diagramme de cas d’utilisation</w:t>
      </w:r>
    </w:p>
    <w:p>
      <w:pPr>
        <w:spacing w:after="40"/>
        <w:jc w:val="center"/>
      </w:pPr>
      <w:r>
        <w:drawing>
          <wp:inline xmlns:a="http://schemas.openxmlformats.org/drawingml/2006/main" xmlns:pic="http://schemas.openxmlformats.org/drawingml/2006/picture">
            <wp:extent cx="5669280" cy="3905504"/>
            <wp:docPr id="2" name="Picture 2" descr="Diagramme UML des acteurs et cas d’utilisation"/>
            <wp:cNvGraphicFramePr>
              <a:graphicFrameLocks noChangeAspect="1"/>
            </wp:cNvGraphicFramePr>
            <a:graphic>
              <a:graphicData uri="http://schemas.openxmlformats.org/drawingml/2006/picture">
                <pic:pic>
                  <pic:nvPicPr>
                    <pic:cNvPr id="0" name="diagramme_cas_utilisation.png"/>
                    <pic:cNvPicPr/>
                  </pic:nvPicPr>
                  <pic:blipFill>
                    <a:blip r:embed="rId12"/>
                    <a:stretch>
                      <a:fillRect/>
                    </a:stretch>
                  </pic:blipFill>
                  <pic:spPr>
                    <a:xfrm>
                      <a:off x="0" y="0"/>
                      <a:ext cx="5669280" cy="3905504"/>
                    </a:xfrm>
                    <a:prstGeom prst="rect"/>
                  </pic:spPr>
                </pic:pic>
              </a:graphicData>
            </a:graphic>
          </wp:inline>
        </w:drawing>
      </w:r>
    </w:p>
    <w:p>
      <w:pPr>
        <w:spacing w:before="80" w:after="160"/>
        <w:jc w:val="center"/>
      </w:pPr>
      <w:r>
        <w:rPr>
          <w:rFonts w:ascii="Calibri" w:hAnsi="Calibri"/>
          <w:i/>
          <w:color w:val="5F6B7A"/>
          <w:sz w:val="18"/>
        </w:rPr>
        <w:t>Figure 2 — Acteurs métier et services attendus de la plateforme.</w:t>
      </w:r>
    </w:p>
    <w:p>
      <w:pPr>
        <w:pStyle w:val="Heading2"/>
      </w:pPr>
      <w:r>
        <w:rPr>
          <w:rFonts w:ascii="Calibri" w:hAnsi="Calibri"/>
          <w:b/>
          <w:color w:val="2E74B5"/>
          <w:sz w:val="26"/>
        </w:rPr>
        <w:t>3.4 Relations acteurs–cas d’utilisation</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100"/>
        <w:gridCol w:w="3150"/>
        <w:gridCol w:w="4110"/>
      </w:tblGrid>
      <w:tr>
        <w:trPr>
          <w:tblHeader w:val="true"/>
        </w:trPr>
        <w:tc>
          <w:tcPr>
            <w:tcW w:type="dxa" w:w="21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Acteur</w:t>
            </w:r>
          </w:p>
        </w:tc>
        <w:tc>
          <w:tcPr>
            <w:tcW w:type="dxa" w:w="315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Cas principaux</w:t>
            </w:r>
          </w:p>
        </w:tc>
        <w:tc>
          <w:tcPr>
            <w:tcW w:type="dxa" w:w="411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Responsabilité</w:t>
            </w:r>
          </w:p>
        </w:tc>
      </w:tr>
      <w:tr>
        <w:tc>
          <w:tcPr>
            <w:tcW w:type="dxa" w:w="21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Agent de rapprochement</w:t>
            </w:r>
          </w:p>
        </w:tc>
        <w:tc>
          <w:tcPr>
            <w:tcW w:type="dxa" w:w="31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UC-01, UC-02, UC-04, UC-05, UC-06</w:t>
            </w:r>
          </w:p>
        </w:tc>
        <w:tc>
          <w:tcPr>
            <w:tcW w:type="dxa" w:w="41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Alimenter les données et traiter les anomalies.</w:t>
            </w:r>
          </w:p>
        </w:tc>
      </w:tr>
      <w:tr>
        <w:tc>
          <w:tcPr>
            <w:tcW w:type="dxa" w:w="21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Contrôle comptable</w:t>
            </w:r>
          </w:p>
        </w:tc>
        <w:tc>
          <w:tcPr>
            <w:tcW w:type="dxa" w:w="31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UC-03, UC-08, UC-09, UC-10</w:t>
            </w:r>
          </w:p>
        </w:tc>
        <w:tc>
          <w:tcPr>
            <w:tcW w:type="dxa" w:w="41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Vérifier AMPLITUDE et les positions financières.</w:t>
            </w:r>
          </w:p>
        </w:tc>
      </w:tr>
      <w:tr>
        <w:tc>
          <w:tcPr>
            <w:tcW w:type="dxa" w:w="21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Superviseur</w:t>
            </w:r>
          </w:p>
        </w:tc>
        <w:tc>
          <w:tcPr>
            <w:tcW w:type="dxa" w:w="31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UC-06, UC-07, UC-08, UC-10</w:t>
            </w:r>
          </w:p>
        </w:tc>
        <w:tc>
          <w:tcPr>
            <w:tcW w:type="dxa" w:w="41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Piloter les résultats, tendances et risques.</w:t>
            </w:r>
          </w:p>
        </w:tc>
      </w:tr>
      <w:tr>
        <w:tc>
          <w:tcPr>
            <w:tcW w:type="dxa" w:w="21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Administrateur</w:t>
            </w:r>
          </w:p>
        </w:tc>
        <w:tc>
          <w:tcPr>
            <w:tcW w:type="dxa" w:w="31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UC-12</w:t>
            </w:r>
          </w:p>
        </w:tc>
        <w:tc>
          <w:tcPr>
            <w:tcW w:type="dxa" w:w="41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Gérer identités, profils et rôles.</w:t>
            </w:r>
          </w:p>
        </w:tc>
      </w:tr>
      <w:tr>
        <w:tc>
          <w:tcPr>
            <w:tcW w:type="dxa" w:w="21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Exploitant</w:t>
            </w:r>
          </w:p>
        </w:tc>
        <w:tc>
          <w:tcPr>
            <w:tcW w:type="dxa" w:w="31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UC-04, UC-11 et configuration</w:t>
            </w:r>
          </w:p>
        </w:tc>
        <w:tc>
          <w:tcPr>
            <w:tcW w:type="dxa" w:w="41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Assurer la conservation, la disponibilité et le nettoyage.</w:t>
            </w:r>
          </w:p>
        </w:tc>
      </w:tr>
    </w:tbl>
    <w:p>
      <w:pPr>
        <w:spacing w:before="0" w:after="80"/>
      </w:pPr>
    </w:p>
    <w:p>
      <w:r>
        <w:br w:type="page"/>
      </w:r>
    </w:p>
    <w:p>
      <w:pPr>
        <w:pStyle w:val="Heading1"/>
      </w:pPr>
      <w:r>
        <w:rPr>
          <w:rFonts w:ascii="Calibri" w:hAnsi="Calibri"/>
          <w:b/>
          <w:color w:val="2E74B5"/>
          <w:sz w:val="32"/>
        </w:rPr>
        <w:t>4. Analyse détaillée des fonctionnalités</w:t>
      </w:r>
    </w:p>
    <w:p>
      <w:pPr>
        <w:pStyle w:val="Heading2"/>
      </w:pPr>
      <w:r>
        <w:rPr>
          <w:rFonts w:ascii="Calibri" w:hAnsi="Calibri"/>
          <w:b/>
          <w:color w:val="2E74B5"/>
          <w:sz w:val="26"/>
        </w:rPr>
        <w:t>4.1 Import et ingestion des fichiers</w:t>
      </w:r>
    </w:p>
    <w:p>
      <w:pPr>
        <w:spacing w:before="0" w:after="120" w:line="300" w:lineRule="auto"/>
      </w:pPr>
      <w:r>
        <w:rPr>
          <w:rFonts w:ascii="Calibri" w:hAnsi="Calibri"/>
          <w:color w:val="111111"/>
          <w:sz w:val="22"/>
        </w:rPr>
        <w:t>Le service accepte les formats CSV, XLS et XLSX. Il choisit le parseur selon l’extension, calcule un checksum SHA-256, stocke le fichier localement, crée une métadonnée d’import en statut PENDING, parse les lignes, persiste les transactions valides et termine en SUCCESS, PARTIAL_SUCCESS ou FAILED.</w:t>
      </w:r>
    </w:p>
    <w:p>
      <w:pPr>
        <w:pStyle w:val="Heading3"/>
      </w:pPr>
      <w:r>
        <w:rPr>
          <w:rFonts w:ascii="Calibri" w:hAnsi="Calibri"/>
          <w:b/>
          <w:color w:val="1F4D78"/>
          <w:sz w:val="24"/>
        </w:rPr>
        <w:t>Entrées et validations</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400"/>
        <w:gridCol w:w="2950"/>
        <w:gridCol w:w="5010"/>
      </w:tblGrid>
      <w:tr>
        <w:trPr>
          <w:tblHeader w:val="true"/>
        </w:trPr>
        <w:tc>
          <w:tcPr>
            <w:tcW w:type="dxa" w:w="14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Source</w:t>
            </w:r>
          </w:p>
        </w:tc>
        <w:tc>
          <w:tcPr>
            <w:tcW w:type="dxa" w:w="295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Paramètres</w:t>
            </w:r>
          </w:p>
        </w:tc>
        <w:tc>
          <w:tcPr>
            <w:tcW w:type="dxa" w:w="5010"/>
            <w:vAlign w:val="center"/>
            <w:tcMar>
              <w:top w:w="80" w:type="dxa"/>
              <w:start w:w="120" w:type="dxa"/>
              <w:bottom w:w="80" w:type="dxa"/>
              <w:end w:w="120" w:type="dxa"/>
            </w:tcMar>
            <w:shd w:fill="E8EEF5" w:val="clear"/>
          </w:tcPr>
          <w:p>
            <w:pPr>
              <w:spacing w:before="0" w:after="0" w:line="264" w:lineRule="auto"/>
              <w:jc w:val="left"/>
            </w:pPr>
            <w:r>
              <w:rPr>
                <w:rFonts w:ascii="Calibri" w:hAnsi="Calibri"/>
                <w:b/>
                <w:color w:val="0B2545"/>
                <w:sz w:val="18"/>
              </w:rPr>
              <w:t>Contrôles structurants</w:t>
            </w:r>
          </w:p>
        </w:tc>
      </w:tr>
      <w:tr>
        <w:tc>
          <w:tcPr>
            <w:tcW w:type="dxa" w:w="14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BANQUE</w:t>
            </w:r>
          </w:p>
        </w:tc>
        <w:tc>
          <w:tcPr>
            <w:tcW w:type="dxa" w:w="29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Fichier, opérateur MOOV/ORANGE, date métier</w:t>
            </w:r>
          </w:p>
        </w:tc>
        <w:tc>
          <w:tcPr>
            <w:tcW w:type="dxa" w:w="50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Opérateur obligatoire ; clé, statut, montant et date requis.</w:t>
            </w:r>
          </w:p>
        </w:tc>
      </w:tr>
      <w:tr>
        <w:tc>
          <w:tcPr>
            <w:tcW w:type="dxa" w:w="14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MOOV</w:t>
            </w:r>
          </w:p>
        </w:tc>
        <w:tc>
          <w:tcPr>
            <w:tcW w:type="dxa" w:w="29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Fichier, date métier</w:t>
            </w:r>
          </w:p>
        </w:tc>
        <w:tc>
          <w:tcPr>
            <w:tcW w:type="dxa" w:w="50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Receipt No et statut requis ; receipt valide si longueur ≥ 11.</w:t>
            </w:r>
          </w:p>
        </w:tc>
      </w:tr>
      <w:tr>
        <w:tc>
          <w:tcPr>
            <w:tcW w:type="dxa" w:w="14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ORANGE</w:t>
            </w:r>
          </w:p>
        </w:tc>
        <w:tc>
          <w:tcPr>
            <w:tcW w:type="dxa" w:w="29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Fichier, date métier</w:t>
            </w:r>
          </w:p>
        </w:tc>
        <w:tc>
          <w:tcPr>
            <w:tcW w:type="dxa" w:w="50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ID OM, compte alias, date, montant et statut requis ; CSV forcé au séparateur « ; ».</w:t>
            </w:r>
          </w:p>
        </w:tc>
      </w:tr>
      <w:tr>
        <w:tc>
          <w:tcPr>
            <w:tcW w:type="dxa" w:w="14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AMPLITUDE</w:t>
            </w:r>
          </w:p>
        </w:tc>
        <w:tc>
          <w:tcPr>
            <w:tcW w:type="dxa" w:w="29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Fichier, date métier</w:t>
            </w:r>
          </w:p>
        </w:tc>
        <w:tc>
          <w:tcPr>
            <w:tcW w:type="dxa" w:w="50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Libellé requis ; les lignes non transactionnelles sont ignorées ; téléphone attendu.</w:t>
            </w:r>
          </w:p>
        </w:tc>
      </w:tr>
    </w:tbl>
    <w:p>
      <w:pPr>
        <w:spacing w:before="0" w:after="80"/>
      </w:pPr>
    </w:p>
    <w:p>
      <w:pPr>
        <w:pStyle w:val="Heading3"/>
      </w:pPr>
      <w:r>
        <w:rPr>
          <w:rFonts w:ascii="Calibri" w:hAnsi="Calibri"/>
          <w:b/>
          <w:color w:val="1F4D78"/>
          <w:sz w:val="24"/>
        </w:rPr>
        <w:t>Comportements</w:t>
      </w:r>
    </w:p>
    <w:p>
      <w:pPr>
        <w:numPr>
          <w:ilvl w:val="0"/>
          <w:numId w:val="10"/>
        </w:numPr>
        <w:spacing w:before="0" w:after="80" w:line="300" w:lineRule="auto"/>
      </w:pPr>
      <w:r>
        <w:rPr>
          <w:rFonts w:ascii="Calibri" w:hAnsi="Calibri"/>
          <w:color w:val="111111"/>
          <w:sz w:val="22"/>
        </w:rPr>
        <w:t>Recherche de la ligne d’en-tête dans les 30 premières lignes Excel ; suppression des lignes vides.</w:t>
      </w:r>
    </w:p>
    <w:p>
      <w:pPr>
        <w:numPr>
          <w:ilvl w:val="0"/>
          <w:numId w:val="10"/>
        </w:numPr>
        <w:spacing w:before="0" w:after="80" w:line="300" w:lineRule="auto"/>
      </w:pPr>
      <w:r>
        <w:rPr>
          <w:rFonts w:ascii="Calibri" w:hAnsi="Calibri"/>
          <w:color w:val="111111"/>
          <w:sz w:val="22"/>
        </w:rPr>
        <w:t>Conservation du numéro de ligne source et du contenu brut sous forme textuelle pour diagnostic.</w:t>
      </w:r>
    </w:p>
    <w:p>
      <w:pPr>
        <w:numPr>
          <w:ilvl w:val="0"/>
          <w:numId w:val="10"/>
        </w:numPr>
        <w:spacing w:before="0" w:after="80" w:line="300" w:lineRule="auto"/>
      </w:pPr>
      <w:r>
        <w:rPr>
          <w:rFonts w:ascii="Calibri" w:hAnsi="Calibri"/>
          <w:color w:val="111111"/>
          <w:sz w:val="22"/>
        </w:rPr>
        <w:t>Normalisation des montants, dates, comptes, téléphones, références et statuts.</w:t>
      </w:r>
    </w:p>
    <w:p>
      <w:pPr>
        <w:numPr>
          <w:ilvl w:val="0"/>
          <w:numId w:val="10"/>
        </w:numPr>
        <w:spacing w:before="0" w:after="80" w:line="300" w:lineRule="auto"/>
      </w:pPr>
      <w:r>
        <w:rPr>
          <w:rFonts w:ascii="Calibri" w:hAnsi="Calibri"/>
          <w:color w:val="111111"/>
          <w:sz w:val="22"/>
        </w:rPr>
        <w:t>Dédoublonnage intra-fichier et vis-à-vis de la base sur la clé transactionnelle.</w:t>
      </w:r>
    </w:p>
    <w:p>
      <w:pPr>
        <w:numPr>
          <w:ilvl w:val="0"/>
          <w:numId w:val="10"/>
        </w:numPr>
        <w:spacing w:before="0" w:after="80" w:line="300" w:lineRule="auto"/>
      </w:pPr>
      <w:r>
        <w:rPr>
          <w:rFonts w:ascii="Calibri" w:hAnsi="Calibri"/>
          <w:color w:val="111111"/>
          <w:sz w:val="22"/>
        </w:rPr>
        <w:t>Blocage d’un même fichier par source, date métier, portée opérateur et checksum ; récupération automatique d’une métadonnée orpheline sans transaction.</w:t>
      </w:r>
    </w:p>
    <w:p>
      <w:pPr>
        <w:numPr>
          <w:ilvl w:val="0"/>
          <w:numId w:val="10"/>
        </w:numPr>
        <w:spacing w:before="0" w:after="80" w:line="300" w:lineRule="auto"/>
      </w:pPr>
      <w:r>
        <w:rPr>
          <w:rFonts w:ascii="Calibri" w:hAnsi="Calibri"/>
          <w:color w:val="111111"/>
          <w:sz w:val="22"/>
        </w:rPr>
        <w:t>Conservation d’un maximum de 50 avertissements détaillés pour les reçus MOOV invalides ou dupliqués.</w:t>
      </w:r>
    </w:p>
    <w:p>
      <w:pPr>
        <w:pStyle w:val="Heading3"/>
      </w:pPr>
      <w:r>
        <w:rPr>
          <w:rFonts w:ascii="Calibri" w:hAnsi="Calibri"/>
          <w:b/>
          <w:color w:val="1F4D78"/>
          <w:sz w:val="24"/>
        </w:rPr>
        <w:t>Suppression et prévisualisation</w:t>
      </w:r>
    </w:p>
    <w:p>
      <w:pPr>
        <w:spacing w:before="0" w:after="120" w:line="300" w:lineRule="auto"/>
      </w:pPr>
      <w:r>
        <w:rPr>
          <w:rFonts w:ascii="Calibri" w:hAnsi="Calibri"/>
          <w:color w:val="111111"/>
          <w:sz w:val="22"/>
        </w:rPr>
        <w:t>Les imports peuvent être supprimés par dernier import, source/date, ou totalité d’une source. La suppression calcule les runs utilisant les identifiants d’import, supprime les résultats et runs impactés, supprime les transactions, la métadonnée et le fichier physique. Une API de prévisualisation expose les volumes avant action.</w:t>
      </w:r>
    </w:p>
    <w:p>
      <w:pPr>
        <w:pStyle w:val="Heading2"/>
      </w:pPr>
      <w:r>
        <w:rPr>
          <w:rFonts w:ascii="Calibri" w:hAnsi="Calibri"/>
          <w:b/>
          <w:color w:val="2E74B5"/>
          <w:sz w:val="26"/>
        </w:rPr>
        <w:t>4.2 Consultation des transactions</w:t>
      </w:r>
    </w:p>
    <w:p>
      <w:pPr>
        <w:spacing w:before="0" w:after="120" w:line="300" w:lineRule="auto"/>
      </w:pPr>
      <w:r>
        <w:rPr>
          <w:rFonts w:ascii="Calibri" w:hAnsi="Calibri"/>
          <w:color w:val="111111"/>
          <w:sz w:val="22"/>
        </w:rPr>
        <w:t>Les transactions Banque, MOOV et Orange sont consultables par import avec pagination. Des endpoints GET et POST permettent aussi de charger des lignes par liste d’identifiants, notamment pour enrichir des vues de détail côté client.</w:t>
      </w:r>
    </w:p>
    <w:p>
      <w:pPr>
        <w:pStyle w:val="Heading2"/>
      </w:pPr>
      <w:r>
        <w:rPr>
          <w:rFonts w:ascii="Calibri" w:hAnsi="Calibri"/>
          <w:b/>
          <w:color w:val="2E74B5"/>
          <w:sz w:val="26"/>
        </w:rPr>
        <w:t>4.3 Exécution de la réconciliation</w:t>
      </w:r>
    </w:p>
    <w:p>
      <w:pPr>
        <w:spacing w:before="0" w:after="120" w:line="300" w:lineRule="auto"/>
      </w:pPr>
      <w:r>
        <w:rPr>
          <w:rFonts w:ascii="Calibri" w:hAnsi="Calibri"/>
          <w:color w:val="111111"/>
          <w:sz w:val="22"/>
        </w:rPr>
        <w:t>Un run est défini par un libellé, un opérateur et une date ou plage de dates. L’opérateur par défaut est MOOV si le champ est absent. Le service sélectionne les imports Banque portant la même portée opérateur, crée le run RUNNING, charge les transactions, puis délègue au composant de stratégie MOOV ou Orange.</w:t>
      </w:r>
    </w:p>
    <w:p>
      <w:pPr>
        <w:numPr>
          <w:ilvl w:val="0"/>
          <w:numId w:val="10"/>
        </w:numPr>
        <w:spacing w:before="0" w:after="80" w:line="300" w:lineRule="auto"/>
      </w:pPr>
      <w:r>
        <w:rPr>
          <w:rFonts w:ascii="Calibri" w:hAnsi="Calibri"/>
          <w:color w:val="111111"/>
          <w:sz w:val="22"/>
        </w:rPr>
        <w:t>MOOV rapproche BankTransaction.transactionId avec MoovTransaction.receiptNo.</w:t>
      </w:r>
    </w:p>
    <w:p>
      <w:pPr>
        <w:numPr>
          <w:ilvl w:val="0"/>
          <w:numId w:val="10"/>
        </w:numPr>
        <w:spacing w:before="0" w:after="80" w:line="300" w:lineRule="auto"/>
      </w:pPr>
      <w:r>
        <w:rPr>
          <w:rFonts w:ascii="Calibri" w:hAnsi="Calibri"/>
          <w:color w:val="111111"/>
          <w:sz w:val="22"/>
        </w:rPr>
        <w:t>Orange rapproche BankTransaction.transactionId avec OrangeTransaction.omTransactionId.</w:t>
      </w:r>
    </w:p>
    <w:p>
      <w:pPr>
        <w:numPr>
          <w:ilvl w:val="0"/>
          <w:numId w:val="10"/>
        </w:numPr>
        <w:spacing w:before="0" w:after="80" w:line="300" w:lineRule="auto"/>
      </w:pPr>
      <w:r>
        <w:rPr>
          <w:rFonts w:ascii="Calibri" w:hAnsi="Calibri"/>
          <w:color w:val="111111"/>
          <w:sz w:val="22"/>
        </w:rPr>
        <w:t>L’union des clés Banque et opérateur est parcourue ; chaque clé produit un ou plusieurs résultats.</w:t>
      </w:r>
    </w:p>
    <w:p>
      <w:pPr>
        <w:numPr>
          <w:ilvl w:val="0"/>
          <w:numId w:val="10"/>
        </w:numPr>
        <w:spacing w:before="0" w:after="80" w:line="300" w:lineRule="auto"/>
      </w:pPr>
      <w:r>
        <w:rPr>
          <w:rFonts w:ascii="Calibri" w:hAnsi="Calibri"/>
          <w:color w:val="111111"/>
          <w:sz w:val="22"/>
        </w:rPr>
        <w:t>Les doublons Banque sont prioritaires sur les doublons opérateur.</w:t>
      </w:r>
    </w:p>
    <w:p>
      <w:pPr>
        <w:numPr>
          <w:ilvl w:val="0"/>
          <w:numId w:val="10"/>
        </w:numPr>
        <w:spacing w:before="0" w:after="80" w:line="300" w:lineRule="auto"/>
      </w:pPr>
      <w:r>
        <w:rPr>
          <w:rFonts w:ascii="Calibri" w:hAnsi="Calibri"/>
          <w:color w:val="111111"/>
          <w:sz w:val="22"/>
        </w:rPr>
        <w:t>Le résultat conserve les identifiants, statuts bruts, montants, écart, raison et date métier résolue.</w:t>
      </w:r>
    </w:p>
    <w:p>
      <w:pPr>
        <w:numPr>
          <w:ilvl w:val="0"/>
          <w:numId w:val="10"/>
        </w:numPr>
        <w:spacing w:before="0" w:after="80" w:line="300" w:lineRule="auto"/>
      </w:pPr>
      <w:r>
        <w:rPr>
          <w:rFonts w:ascii="Calibri" w:hAnsi="Calibri"/>
          <w:color w:val="111111"/>
          <w:sz w:val="22"/>
        </w:rPr>
        <w:t>Le run est finalisé COMPLETED et reçoit une synthèse textuelle.</w:t>
      </w:r>
    </w:p>
    <w:p>
      <w:pPr>
        <w:pStyle w:val="Heading3"/>
      </w:pPr>
      <w:r>
        <w:rPr>
          <w:rFonts w:ascii="Calibri" w:hAnsi="Calibri"/>
          <w:b/>
          <w:color w:val="1F4D78"/>
          <w:sz w:val="24"/>
        </w:rPr>
        <w:t>Consultation et export</w:t>
      </w:r>
    </w:p>
    <w:p>
      <w:pPr>
        <w:spacing w:before="0" w:after="120" w:line="300" w:lineRule="auto"/>
      </w:pPr>
      <w:r>
        <w:rPr>
          <w:rFonts w:ascii="Calibri" w:hAnsi="Calibri"/>
          <w:color w:val="111111"/>
          <w:sz w:val="22"/>
        </w:rPr>
        <w:t>Les runs sont filtrables par opérateur, jour, plage ou préréglage (7 jours, 30 jours, 3 mois). Les résultats sont paginés et filtrables par type, référence d’opération, téléphone, compte et clé. Le CSV courant est minimal (clé et type) ; l’export XLSX contient les champs détaillés.</w:t>
      </w:r>
    </w:p>
    <w:p>
      <w:pPr>
        <w:pStyle w:val="Heading2"/>
      </w:pPr>
      <w:r>
        <w:rPr>
          <w:rFonts w:ascii="Calibri" w:hAnsi="Calibri"/>
          <w:b/>
          <w:color w:val="2E74B5"/>
          <w:sz w:val="26"/>
        </w:rPr>
        <w:t>4.4 Tableau de bord</w:t>
      </w:r>
    </w:p>
    <w:p>
      <w:pPr>
        <w:spacing w:before="0" w:after="120" w:line="300" w:lineRule="auto"/>
      </w:pPr>
      <w:r>
        <w:rPr>
          <w:rFonts w:ascii="Calibri" w:hAnsi="Calibri"/>
          <w:color w:val="111111"/>
          <w:sz w:val="22"/>
        </w:rPr>
        <w:t>Le tableau de bord exige un canal et accepte une date métier ou une plage, avec filtres facultatifs runId et importId. Il produit la synthèse, la distribution des catégories, les montants, une timeline horaire sur 24 heures, les plus grosses anomalies et la qualité des imports.</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500"/>
        <w:gridCol w:w="6860"/>
      </w:tblGrid>
      <w:tr>
        <w:trPr>
          <w:tblHeader w:val="true"/>
        </w:trPr>
        <w:tc>
          <w:tcPr>
            <w:tcW w:type="dxa" w:w="25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Indicateur</w:t>
            </w:r>
          </w:p>
        </w:tc>
        <w:tc>
          <w:tcPr>
            <w:tcW w:type="dxa" w:w="6860"/>
            <w:vAlign w:val="center"/>
            <w:tcMar>
              <w:top w:w="80" w:type="dxa"/>
              <w:start w:w="120" w:type="dxa"/>
              <w:bottom w:w="80" w:type="dxa"/>
              <w:end w:w="120" w:type="dxa"/>
            </w:tcMar>
            <w:shd w:fill="E8EEF5" w:val="clear"/>
          </w:tcPr>
          <w:p>
            <w:pPr>
              <w:spacing w:before="0" w:after="0" w:line="264" w:lineRule="auto"/>
              <w:jc w:val="left"/>
            </w:pPr>
            <w:r>
              <w:rPr>
                <w:rFonts w:ascii="Calibri" w:hAnsi="Calibri"/>
                <w:b/>
                <w:color w:val="0B2545"/>
                <w:sz w:val="18"/>
              </w:rPr>
              <w:t>Définition actuelle</w:t>
            </w:r>
          </w:p>
        </w:tc>
      </w:tr>
      <w:tr>
        <w:tc>
          <w:tcPr>
            <w:tcW w:type="dxa" w:w="25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Matching rate</w:t>
            </w:r>
          </w:p>
        </w:tc>
        <w:tc>
          <w:tcPr>
            <w:tcW w:type="dxa" w:w="68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MATCH_OK rapporté au nombre de lignes Banque du périmètre financier.</w:t>
            </w:r>
          </w:p>
        </w:tc>
      </w:tr>
      <w:tr>
        <w:tc>
          <w:tcPr>
            <w:tcW w:type="dxa" w:w="25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Success rate</w:t>
            </w:r>
          </w:p>
        </w:tc>
        <w:tc>
          <w:tcPr>
            <w:tcW w:type="dxa" w:w="68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MATCH_OK rapporté au nombre total de résultats financièrement pertinents.</w:t>
            </w:r>
          </w:p>
        </w:tc>
      </w:tr>
      <w:tr>
        <w:tc>
          <w:tcPr>
            <w:tcW w:type="dxa" w:w="25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Anomaly rate</w:t>
            </w:r>
          </w:p>
        </w:tc>
        <w:tc>
          <w:tcPr>
            <w:tcW w:type="dxa" w:w="68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Résultats pertinents hors MATCH_OK rapportés au total pertinent.</w:t>
            </w:r>
          </w:p>
        </w:tc>
      </w:tr>
      <w:tr>
        <w:tc>
          <w:tcPr>
            <w:tcW w:type="dxa" w:w="25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Data quality</w:t>
            </w:r>
          </w:p>
        </w:tc>
        <w:tc>
          <w:tcPr>
            <w:tcW w:type="dxa" w:w="68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Volumes valides/invalides, taux de parsing et doublons issus des résultats.</w:t>
            </w:r>
          </w:p>
        </w:tc>
      </w:tr>
      <w:tr>
        <w:tc>
          <w:tcPr>
            <w:tcW w:type="dxa" w:w="25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Timeline</w:t>
            </w:r>
          </w:p>
        </w:tc>
        <w:tc>
          <w:tcPr>
            <w:tcW w:type="dxa" w:w="68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Comptage des événements Banque et opérateur par heure, avec anomalies par clé.</w:t>
            </w:r>
          </w:p>
        </w:tc>
      </w:tr>
    </w:tbl>
    <w:p>
      <w:pPr>
        <w:spacing w:before="0" w:after="80"/>
      </w:pPr>
    </w:p>
    <w:p>
      <w:pPr>
        <w:pStyle w:val="Heading2"/>
      </w:pPr>
      <w:r>
        <w:rPr>
          <w:rFonts w:ascii="Calibri" w:hAnsi="Calibri"/>
          <w:b/>
          <w:color w:val="2E74B5"/>
          <w:sz w:val="26"/>
        </w:rPr>
        <w:t>4.5 Reporting périodique</w:t>
      </w:r>
    </w:p>
    <w:p>
      <w:pPr>
        <w:spacing w:before="0" w:after="120" w:line="300" w:lineRule="auto"/>
      </w:pPr>
      <w:r>
        <w:rPr>
          <w:rFonts w:ascii="Calibri" w:hAnsi="Calibri"/>
          <w:color w:val="111111"/>
          <w:sz w:val="22"/>
        </w:rPr>
        <w:t>Le reporting construit une fenêtre DAY, WEEK (lundi à dimanche) ou MONTH (premier au dernier jour). Il enrichit les résultats par les dates réelles des transactions, calcule les KPI, la distribution, la ventilation journalière et un détail de transactions. Le JSON est limité à 300 détails, le PDF à 80 données chargées puis 24 lignes affichées, et Excel exporte tous les détails.</w:t>
      </w:r>
    </w:p>
    <w:p>
      <w:pPr>
        <w:numPr>
          <w:ilvl w:val="0"/>
          <w:numId w:val="10"/>
        </w:numPr>
        <w:spacing w:before="0" w:after="80" w:line="300" w:lineRule="auto"/>
      </w:pPr>
      <w:r>
        <w:rPr>
          <w:rFonts w:ascii="Calibri" w:hAnsi="Calibri"/>
          <w:color w:val="111111"/>
          <w:sz w:val="22"/>
        </w:rPr>
        <w:t>Excel : feuilles Synthèse, Distribution, Journalier et Transactions.</w:t>
      </w:r>
    </w:p>
    <w:p>
      <w:pPr>
        <w:numPr>
          <w:ilvl w:val="0"/>
          <w:numId w:val="10"/>
        </w:numPr>
        <w:spacing w:before="0" w:after="80" w:line="300" w:lineRule="auto"/>
      </w:pPr>
      <w:r>
        <w:rPr>
          <w:rFonts w:ascii="Calibri" w:hAnsi="Calibri"/>
          <w:color w:val="111111"/>
          <w:sz w:val="22"/>
        </w:rPr>
        <w:t>PDF : KPI principaux, synthèse exécutive automatique et top détails.</w:t>
      </w:r>
    </w:p>
    <w:p>
      <w:pPr>
        <w:numPr>
          <w:ilvl w:val="0"/>
          <w:numId w:val="10"/>
        </w:numPr>
        <w:spacing w:before="0" w:after="80" w:line="300" w:lineRule="auto"/>
      </w:pPr>
      <w:r>
        <w:rPr>
          <w:rFonts w:ascii="Calibri" w:hAnsi="Calibri"/>
          <w:color w:val="111111"/>
          <w:sz w:val="22"/>
        </w:rPr>
        <w:t>Indicateurs étendus : succès opérateur, succès Banque/Carthago, succès opérateur sans Carthago, hors périmètre, moyenne et pic journalier.</w:t>
      </w:r>
    </w:p>
    <w:p>
      <w:pPr>
        <w:pStyle w:val="Heading2"/>
      </w:pPr>
      <w:r>
        <w:rPr>
          <w:rFonts w:ascii="Calibri" w:hAnsi="Calibri"/>
          <w:b/>
          <w:color w:val="2E74B5"/>
          <w:sz w:val="26"/>
        </w:rPr>
        <w:t>4.6 Comptabilisation AMPLITUDE</w:t>
      </w:r>
    </w:p>
    <w:p>
      <w:pPr>
        <w:spacing w:before="0" w:after="120" w:line="300" w:lineRule="auto"/>
      </w:pPr>
      <w:r>
        <w:rPr>
          <w:rFonts w:ascii="Calibri" w:hAnsi="Calibri"/>
          <w:color w:val="111111"/>
          <w:sz w:val="22"/>
        </w:rPr>
        <w:t>Le contrôle retient les transactions Banque normalisées SUCCESS_BANK sur la période et, si demandé, sur l’opérateur. Il cherche d’abord une transaction AMPLITUDE portant la même référence normalisée (au moins 10 chiffres), puis applique un fallback sur date ±1 jour, montant identique et compte identique lorsque les deux comptes sont disponibles.</w:t>
      </w:r>
    </w:p>
    <w:p>
      <w:pPr>
        <w:numPr>
          <w:ilvl w:val="0"/>
          <w:numId w:val="10"/>
        </w:numPr>
        <w:spacing w:before="0" w:after="80" w:line="300" w:lineRule="auto"/>
      </w:pPr>
      <w:r>
        <w:rPr>
          <w:rFonts w:ascii="Calibri" w:hAnsi="Calibri"/>
          <w:color w:val="111111"/>
          <w:sz w:val="22"/>
        </w:rPr>
        <w:t>Une ligne trouvée est COMPTABILISE ; une ligne attendue mais absente est NON_COMPTABILISE.</w:t>
      </w:r>
    </w:p>
    <w:p>
      <w:pPr>
        <w:numPr>
          <w:ilvl w:val="0"/>
          <w:numId w:val="10"/>
        </w:numPr>
        <w:spacing w:before="0" w:after="80" w:line="300" w:lineRule="auto"/>
      </w:pPr>
      <w:r>
        <w:rPr>
          <w:rFonts w:ascii="Calibri" w:hAnsi="Calibri"/>
          <w:color w:val="111111"/>
          <w:sz w:val="22"/>
        </w:rPr>
        <w:t>Un « paiement généré » absent d’AMPLITUDE est exclu du périmètre et ne contribue pas au risque.</w:t>
      </w:r>
    </w:p>
    <w:p>
      <w:pPr>
        <w:numPr>
          <w:ilvl w:val="0"/>
          <w:numId w:val="10"/>
        </w:numPr>
        <w:spacing w:before="0" w:after="80" w:line="300" w:lineRule="auto"/>
      </w:pPr>
      <w:r>
        <w:rPr>
          <w:rFonts w:ascii="Calibri" w:hAnsi="Calibri"/>
          <w:color w:val="111111"/>
          <w:sz w:val="22"/>
        </w:rPr>
        <w:t>Les KPI couvrent volumes/montants comptabilisés, non comptabilisés, taux, montant à risque, écarts net/absolu et nombre d’écarts.</w:t>
      </w:r>
    </w:p>
    <w:p>
      <w:pPr>
        <w:numPr>
          <w:ilvl w:val="0"/>
          <w:numId w:val="10"/>
        </w:numPr>
        <w:spacing w:before="0" w:after="80" w:line="300" w:lineRule="auto"/>
      </w:pPr>
      <w:r>
        <w:rPr>
          <w:rFonts w:ascii="Calibri" w:hAnsi="Calibri"/>
          <w:color w:val="111111"/>
          <w:sz w:val="22"/>
        </w:rPr>
        <w:t>Les exports KPI sont disponibles en CSV et PDF ; AMPLITUDE peut être nettoyé par jour, plage, semaine ou totalité.</w:t>
      </w:r>
    </w:p>
    <w:p>
      <w:pPr>
        <w:pStyle w:val="Heading2"/>
      </w:pPr>
      <w:r>
        <w:rPr>
          <w:rFonts w:ascii="Calibri" w:hAnsi="Calibri"/>
          <w:b/>
          <w:color w:val="2E74B5"/>
          <w:sz w:val="26"/>
        </w:rPr>
        <w:t>4.7 Compensation</w:t>
      </w:r>
    </w:p>
    <w:p>
      <w:pPr>
        <w:spacing w:before="0" w:after="120" w:line="300" w:lineRule="auto"/>
      </w:pPr>
      <w:r>
        <w:rPr>
          <w:rFonts w:ascii="Calibri" w:hAnsi="Calibri"/>
          <w:color w:val="111111"/>
          <w:sz w:val="22"/>
        </w:rPr>
        <w:t>La compensation agrège, pour chaque jour et opérateur, le nombre et le montant des transactions normalisées en succès côté Banque et côté opérateur. La différence est montant Banque moins montant opérateur. Une différence nulle donne OK_COMPENSATION ; toute autre valeur donne A_VERIFIER.</w:t>
      </w:r>
    </w:p>
    <w:p>
      <w:pPr>
        <w:spacing w:before="0" w:after="120" w:line="300" w:lineRule="auto"/>
      </w:pPr>
      <w:r>
        <w:rPr>
          <w:rFonts w:ascii="Calibri" w:hAnsi="Calibri"/>
          <w:color w:val="111111"/>
          <w:sz w:val="22"/>
        </w:rPr>
        <w:t>Les vues disponibles sont journalière, hebdomadaire par plage ou semaine de référence, mensuelle, et détail paginé des écarts issus des résultats de réconciliation hors MATCH_OK et hors OPERATEUR_NON_ABOUTI_SANS_BANQUE.</w:t>
      </w:r>
    </w:p>
    <w:p>
      <w:pPr>
        <w:pStyle w:val="Heading2"/>
      </w:pPr>
      <w:r>
        <w:rPr>
          <w:rFonts w:ascii="Calibri" w:hAnsi="Calibri"/>
          <w:b/>
          <w:color w:val="2E74B5"/>
          <w:sz w:val="26"/>
        </w:rPr>
        <w:t>4.8 Rétention et nettoyage</w:t>
      </w:r>
    </w:p>
    <w:p>
      <w:pPr>
        <w:spacing w:before="0" w:after="120" w:line="300" w:lineRule="auto"/>
      </w:pPr>
      <w:r>
        <w:rPr>
          <w:rFonts w:ascii="Calibri" w:hAnsi="Calibri"/>
          <w:color w:val="111111"/>
          <w:sz w:val="22"/>
        </w:rPr>
        <w:t>La rétention est désactivée par défaut. Lorsqu’elle est activée ou déclenchée manuellement, elle calcule une date limite (180 jours par défaut), traite par lots de 5 000 et applique ARCHIVE_AND_PURGE ou PURGE_ONLY. Les résultats sont traités avant les runs afin de respecter les dépendances.</w:t>
      </w:r>
    </w:p>
    <w:p>
      <w:pPr>
        <w:spacing w:before="0" w:after="120" w:line="300" w:lineRule="auto"/>
      </w:pPr>
      <w:r>
        <w:rPr>
          <w:rFonts w:ascii="Calibri" w:hAnsi="Calibri"/>
          <w:color w:val="111111"/>
          <w:sz w:val="22"/>
        </w:rPr>
        <w:t>Le cron par défaut est 02 h 30 chaque jour. L’API permet de fournir une date limite, un nombre de jours ou un mode. Les archives sont stockées dans reconciliation_result_archive et reconciliation_run_archive.</w:t>
      </w:r>
    </w:p>
    <w:p>
      <w:pPr>
        <w:pStyle w:val="Heading2"/>
      </w:pPr>
      <w:r>
        <w:rPr>
          <w:rFonts w:ascii="Calibri" w:hAnsi="Calibri"/>
          <w:b/>
          <w:color w:val="2E74B5"/>
          <w:sz w:val="26"/>
        </w:rPr>
        <w:t>4.9 Administration et services transverses</w:t>
      </w:r>
    </w:p>
    <w:p>
      <w:pPr>
        <w:numPr>
          <w:ilvl w:val="0"/>
          <w:numId w:val="10"/>
        </w:numPr>
        <w:spacing w:before="0" w:after="80" w:line="300" w:lineRule="auto"/>
      </w:pPr>
      <w:r>
        <w:rPr>
          <w:rFonts w:ascii="Calibri" w:hAnsi="Calibri"/>
          <w:color w:val="111111"/>
          <w:sz w:val="22"/>
        </w:rPr>
        <w:t>Authentification JWT, activation, changement et réinitialisation de mot de passe.</w:t>
      </w:r>
    </w:p>
    <w:p>
      <w:pPr>
        <w:numPr>
          <w:ilvl w:val="0"/>
          <w:numId w:val="10"/>
        </w:numPr>
        <w:spacing w:before="0" w:after="80" w:line="300" w:lineRule="auto"/>
      </w:pPr>
      <w:r>
        <w:rPr>
          <w:rFonts w:ascii="Calibri" w:hAnsi="Calibri"/>
          <w:color w:val="111111"/>
          <w:sz w:val="22"/>
        </w:rPr>
        <w:t>CRUD des utilisateurs, rôles et profils ; relation profil–rôles et utilisateur–profil.</w:t>
      </w:r>
    </w:p>
    <w:p>
      <w:pPr>
        <w:numPr>
          <w:ilvl w:val="0"/>
          <w:numId w:val="10"/>
        </w:numPr>
        <w:spacing w:before="0" w:after="80" w:line="300" w:lineRule="auto"/>
      </w:pPr>
      <w:r>
        <w:rPr>
          <w:rFonts w:ascii="Calibri" w:hAnsi="Calibri"/>
          <w:color w:val="111111"/>
          <w:sz w:val="22"/>
        </w:rPr>
        <w:t>CRUD des catégories et produits, journalisation métier et rapport Jasper legacy.</w:t>
      </w:r>
    </w:p>
    <w:p>
      <w:pPr>
        <w:numPr>
          <w:ilvl w:val="0"/>
          <w:numId w:val="10"/>
        </w:numPr>
        <w:spacing w:before="0" w:after="80" w:line="300" w:lineRule="auto"/>
      </w:pPr>
      <w:r>
        <w:rPr>
          <w:rFonts w:ascii="Calibri" w:hAnsi="Calibri"/>
          <w:color w:val="111111"/>
          <w:sz w:val="22"/>
        </w:rPr>
        <w:t>Stockage de documents, envoi d’e-mails asynchrone avec template Thymeleaf et tentative d’archivage IMAP.</w:t>
      </w:r>
    </w:p>
    <w:p>
      <w:pPr>
        <w:numPr>
          <w:ilvl w:val="0"/>
          <w:numId w:val="10"/>
        </w:numPr>
        <w:spacing w:before="0" w:after="80" w:line="300" w:lineRule="auto"/>
      </w:pPr>
      <w:r>
        <w:rPr>
          <w:rFonts w:ascii="Calibri" w:hAnsi="Calibri"/>
          <w:color w:val="111111"/>
          <w:sz w:val="22"/>
        </w:rPr>
        <w:t>Audit JPA des créations/modifications sur les entités backoffice héritées.</w:t>
      </w:r>
    </w:p>
    <w:p>
      <w:r>
        <w:br w:type="page"/>
      </w:r>
    </w:p>
    <w:p>
      <w:pPr>
        <w:pStyle w:val="Heading1"/>
      </w:pPr>
      <w:r>
        <w:rPr>
          <w:rFonts w:ascii="Calibri" w:hAnsi="Calibri"/>
          <w:b/>
          <w:color w:val="2E74B5"/>
          <w:sz w:val="32"/>
        </w:rPr>
        <w:t>5. Règles de gestion et décisions métier</w:t>
      </w:r>
    </w:p>
    <w:p>
      <w:pPr>
        <w:pStyle w:val="Heading2"/>
      </w:pPr>
      <w:r>
        <w:rPr>
          <w:rFonts w:ascii="Calibri" w:hAnsi="Calibri"/>
          <w:b/>
          <w:color w:val="2E74B5"/>
          <w:sz w:val="26"/>
        </w:rPr>
        <w:t>5.1 Colonnes obligatoires par source</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600"/>
        <w:gridCol w:w="7760"/>
      </w:tblGrid>
      <w:tr>
        <w:trPr>
          <w:tblHeader w:val="true"/>
        </w:trPr>
        <w:tc>
          <w:tcPr>
            <w:tcW w:type="dxa" w:w="16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Source</w:t>
            </w:r>
          </w:p>
        </w:tc>
        <w:tc>
          <w:tcPr>
            <w:tcW w:type="dxa" w:w="7760"/>
            <w:vAlign w:val="center"/>
            <w:tcMar>
              <w:top w:w="80" w:type="dxa"/>
              <w:start w:w="120" w:type="dxa"/>
              <w:bottom w:w="80" w:type="dxa"/>
              <w:end w:w="120" w:type="dxa"/>
            </w:tcMar>
            <w:shd w:fill="E8EEF5" w:val="clear"/>
          </w:tcPr>
          <w:p>
            <w:pPr>
              <w:spacing w:before="0" w:after="0" w:line="264" w:lineRule="auto"/>
              <w:jc w:val="left"/>
            </w:pPr>
            <w:r>
              <w:rPr>
                <w:rFonts w:ascii="Calibri" w:hAnsi="Calibri"/>
                <w:b/>
                <w:color w:val="0B2545"/>
                <w:sz w:val="18"/>
              </w:rPr>
              <w:t>Groupes d’en-têtes acceptés</w:t>
            </w:r>
          </w:p>
        </w:tc>
      </w:tr>
      <w:tr>
        <w:tc>
          <w:tcPr>
            <w:tcW w:type="dxa" w:w="16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BANQUE</w:t>
            </w:r>
          </w:p>
        </w:tc>
        <w:tc>
          <w:tcPr>
            <w:tcW w:type="dxa" w:w="77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Transaction ID ; statut allocation ; montant ; date transaction (alias français/anglais et champs techniques).</w:t>
            </w:r>
          </w:p>
        </w:tc>
      </w:tr>
      <w:tr>
        <w:tc>
          <w:tcPr>
            <w:tcW w:type="dxa" w:w="16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MOOV</w:t>
            </w:r>
          </w:p>
        </w:tc>
        <w:tc>
          <w:tcPr>
            <w:tcW w:type="dxa" w:w="77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Receipt No ; Transaction Status.</w:t>
            </w:r>
          </w:p>
        </w:tc>
      </w:tr>
      <w:tr>
        <w:tc>
          <w:tcPr>
            <w:tcW w:type="dxa" w:w="16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ORANGE</w:t>
            </w:r>
          </w:p>
        </w:tc>
        <w:tc>
          <w:tcPr>
            <w:tcW w:type="dxa" w:w="77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OM_TRANSACTION_ID ; ALIAS_BANKACCOUNTNUMBER ; TRANSACTION_DATE_TIME ; montant ; statut.</w:t>
            </w:r>
          </w:p>
        </w:tc>
      </w:tr>
      <w:tr>
        <w:tc>
          <w:tcPr>
            <w:tcW w:type="dxa" w:w="16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AMPLITUDE</w:t>
            </w:r>
          </w:p>
        </w:tc>
        <w:tc>
          <w:tcPr>
            <w:tcW w:type="dxa" w:w="77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Libellé.</w:t>
            </w:r>
          </w:p>
        </w:tc>
      </w:tr>
    </w:tbl>
    <w:p>
      <w:pPr>
        <w:spacing w:before="0" w:after="80"/>
      </w:pPr>
    </w:p>
    <w:p>
      <w:pPr>
        <w:pStyle w:val="Heading2"/>
      </w:pPr>
      <w:r>
        <w:rPr>
          <w:rFonts w:ascii="Calibri" w:hAnsi="Calibri"/>
          <w:b/>
          <w:color w:val="2E74B5"/>
          <w:sz w:val="26"/>
        </w:rPr>
        <w:t>5.2 Normalisation des statuts</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350"/>
        <w:gridCol w:w="3100"/>
        <w:gridCol w:w="3100"/>
        <w:gridCol w:w="1810"/>
      </w:tblGrid>
      <w:tr>
        <w:trPr>
          <w:tblHeader w:val="true"/>
        </w:trPr>
        <w:tc>
          <w:tcPr>
            <w:tcW w:type="dxa" w:w="135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Source</w:t>
            </w:r>
          </w:p>
        </w:tc>
        <w:tc>
          <w:tcPr>
            <w:tcW w:type="dxa" w:w="31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Succès</w:t>
            </w:r>
          </w:p>
        </w:tc>
        <w:tc>
          <w:tcPr>
            <w:tcW w:type="dxa" w:w="31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Échec</w:t>
            </w:r>
          </w:p>
        </w:tc>
        <w:tc>
          <w:tcPr>
            <w:tcW w:type="dxa" w:w="181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Inconnu</w:t>
            </w:r>
          </w:p>
        </w:tc>
      </w:tr>
      <w:tr>
        <w:tc>
          <w:tcPr>
            <w:tcW w:type="dxa" w:w="13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BANQUE</w:t>
            </w:r>
          </w:p>
        </w:tc>
        <w:tc>
          <w:tcPr>
            <w:tcW w:type="dxa" w:w="31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alloué, paiement généré, allocated, deallocated, paymentissued</w:t>
            </w:r>
          </w:p>
        </w:tc>
        <w:tc>
          <w:tcPr>
            <w:tcW w:type="dxa" w:w="31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non alloué, paiement rejeté, échec allocation, paymentrejected, allocationfailed</w:t>
            </w:r>
          </w:p>
        </w:tc>
        <w:tc>
          <w:tcPr>
            <w:tcW w:type="dxa" w:w="18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Toute autre valeur</w:t>
            </w:r>
          </w:p>
        </w:tc>
      </w:tr>
      <w:tr>
        <w:tc>
          <w:tcPr>
            <w:tcW w:type="dxa" w:w="13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MOOV</w:t>
            </w:r>
          </w:p>
        </w:tc>
        <w:tc>
          <w:tcPr>
            <w:tcW w:type="dxa" w:w="31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completed</w:t>
            </w:r>
          </w:p>
        </w:tc>
        <w:tc>
          <w:tcPr>
            <w:tcW w:type="dxa" w:w="31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cancelled</w:t>
            </w:r>
          </w:p>
        </w:tc>
        <w:tc>
          <w:tcPr>
            <w:tcW w:type="dxa" w:w="18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Toute autre valeur</w:t>
            </w:r>
          </w:p>
        </w:tc>
      </w:tr>
      <w:tr>
        <w:tc>
          <w:tcPr>
            <w:tcW w:type="dxa" w:w="13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ORANGE</w:t>
            </w:r>
          </w:p>
        </w:tc>
        <w:tc>
          <w:tcPr>
            <w:tcW w:type="dxa" w:w="31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TS</w:t>
            </w:r>
          </w:p>
        </w:tc>
        <w:tc>
          <w:tcPr>
            <w:tcW w:type="dxa" w:w="31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TF</w:t>
            </w:r>
          </w:p>
        </w:tc>
        <w:tc>
          <w:tcPr>
            <w:tcW w:type="dxa" w:w="18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Toute autre valeur</w:t>
            </w:r>
          </w:p>
        </w:tc>
      </w:tr>
    </w:tbl>
    <w:p>
      <w:pPr>
        <w:spacing w:before="0" w:after="80"/>
      </w:pPr>
    </w:p>
    <w:p>
      <w:pPr>
        <w:pStyle w:val="Heading2"/>
      </w:pPr>
      <w:r>
        <w:rPr>
          <w:rFonts w:ascii="Calibri" w:hAnsi="Calibri"/>
          <w:b/>
          <w:color w:val="2E74B5"/>
          <w:sz w:val="26"/>
        </w:rPr>
        <w:t>5.3 Matrice de classification</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260"/>
        <w:gridCol w:w="1910"/>
        <w:gridCol w:w="1910"/>
        <w:gridCol w:w="3280"/>
      </w:tblGrid>
      <w:tr>
        <w:trPr>
          <w:tblHeader w:val="true"/>
        </w:trPr>
        <w:tc>
          <w:tcPr>
            <w:tcW w:type="dxa" w:w="226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Situation</w:t>
            </w:r>
          </w:p>
        </w:tc>
        <w:tc>
          <w:tcPr>
            <w:tcW w:type="dxa" w:w="191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MOOV</w:t>
            </w:r>
          </w:p>
        </w:tc>
        <w:tc>
          <w:tcPr>
            <w:tcW w:type="dxa" w:w="191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ORANGE</w:t>
            </w:r>
          </w:p>
        </w:tc>
        <w:tc>
          <w:tcPr>
            <w:tcW w:type="dxa" w:w="328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Commentaire</w:t>
            </w:r>
          </w:p>
        </w:tc>
      </w:tr>
      <w:tr>
        <w:tc>
          <w:tcPr>
            <w:tcW w:type="dxa" w:w="2260"/>
            <w:vAlign w:val="center"/>
            <w:tcMar>
              <w:top w:w="80" w:type="dxa"/>
              <w:start w:w="120" w:type="dxa"/>
              <w:bottom w:w="80" w:type="dxa"/>
              <w:end w:w="120" w:type="dxa"/>
            </w:tcMar>
          </w:tcPr>
          <w:p>
            <w:pPr>
              <w:spacing w:before="0" w:after="0" w:line="264" w:lineRule="auto"/>
              <w:jc w:val="left"/>
            </w:pPr>
            <w:r>
              <w:rPr>
                <w:rFonts w:ascii="Calibri" w:hAnsi="Calibri"/>
                <w:b/>
                <w:color w:val="111111"/>
                <w:sz w:val="16"/>
              </w:rPr>
              <w:t>Opérateur succès, Banque absente</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ABSENT_COTE_BANQUE</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ABSENT_COTE_BANQUE</w:t>
            </w:r>
          </w:p>
        </w:tc>
        <w:tc>
          <w:tcPr>
            <w:tcW w:type="dxa" w:w="32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Anomalie financière.</w:t>
            </w:r>
          </w:p>
        </w:tc>
      </w:tr>
      <w:tr>
        <w:tc>
          <w:tcPr>
            <w:tcW w:type="dxa" w:w="2260"/>
            <w:vAlign w:val="center"/>
            <w:tcMar>
              <w:top w:w="80" w:type="dxa"/>
              <w:start w:w="120" w:type="dxa"/>
              <w:bottom w:w="80" w:type="dxa"/>
              <w:end w:w="120" w:type="dxa"/>
            </w:tcMar>
          </w:tcPr>
          <w:p>
            <w:pPr>
              <w:spacing w:before="0" w:after="0" w:line="264" w:lineRule="auto"/>
              <w:jc w:val="left"/>
            </w:pPr>
            <w:r>
              <w:rPr>
                <w:rFonts w:ascii="Calibri" w:hAnsi="Calibri"/>
                <w:b/>
                <w:color w:val="111111"/>
                <w:sz w:val="16"/>
              </w:rPr>
              <w:t>Opérateur échec, Banque absente</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OPERATEUR_NON_ABOUTI_SANS_BANQUE</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Identique</w:t>
            </w:r>
          </w:p>
        </w:tc>
        <w:tc>
          <w:tcPr>
            <w:tcW w:type="dxa" w:w="32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Exclu des KPI financiers.</w:t>
            </w:r>
          </w:p>
        </w:tc>
      </w:tr>
      <w:tr>
        <w:tc>
          <w:tcPr>
            <w:tcW w:type="dxa" w:w="2260"/>
            <w:vAlign w:val="center"/>
            <w:tcMar>
              <w:top w:w="80" w:type="dxa"/>
              <w:start w:w="120" w:type="dxa"/>
              <w:bottom w:w="80" w:type="dxa"/>
              <w:end w:w="120" w:type="dxa"/>
            </w:tcMar>
          </w:tcPr>
          <w:p>
            <w:pPr>
              <w:spacing w:before="0" w:after="0" w:line="264" w:lineRule="auto"/>
              <w:jc w:val="left"/>
            </w:pPr>
            <w:r>
              <w:rPr>
                <w:rFonts w:ascii="Calibri" w:hAnsi="Calibri"/>
                <w:b/>
                <w:color w:val="111111"/>
                <w:sz w:val="16"/>
              </w:rPr>
              <w:t>Banque seule, succès</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ABSENT_COTE_MOOV</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DEBIT_A_TORT</w:t>
            </w:r>
          </w:p>
        </w:tc>
        <w:tc>
          <w:tcPr>
            <w:tcW w:type="dxa" w:w="32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Asymétrie constatée.</w:t>
            </w:r>
          </w:p>
        </w:tc>
      </w:tr>
      <w:tr>
        <w:tc>
          <w:tcPr>
            <w:tcW w:type="dxa" w:w="2260"/>
            <w:vAlign w:val="center"/>
            <w:tcMar>
              <w:top w:w="80" w:type="dxa"/>
              <w:start w:w="120" w:type="dxa"/>
              <w:bottom w:w="80" w:type="dxa"/>
              <w:end w:w="120" w:type="dxa"/>
            </w:tcMar>
          </w:tcPr>
          <w:p>
            <w:pPr>
              <w:spacing w:before="0" w:after="0" w:line="264" w:lineRule="auto"/>
              <w:jc w:val="left"/>
            </w:pPr>
            <w:r>
              <w:rPr>
                <w:rFonts w:ascii="Calibri" w:hAnsi="Calibri"/>
                <w:b/>
                <w:color w:val="111111"/>
                <w:sz w:val="16"/>
              </w:rPr>
              <w:t>Banque seule, échec</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ABSENT_COTE_MOOV</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ABSENT_COTE_ORANGE</w:t>
            </w:r>
          </w:p>
        </w:tc>
        <w:tc>
          <w:tcPr>
            <w:tcW w:type="dxa" w:w="32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Asymétrie constatée.</w:t>
            </w:r>
          </w:p>
        </w:tc>
      </w:tr>
      <w:tr>
        <w:tc>
          <w:tcPr>
            <w:tcW w:type="dxa" w:w="226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Statut inconnu</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STATUT_INCONNU</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STATUT_INCONNU</w:t>
            </w:r>
          </w:p>
        </w:tc>
        <w:tc>
          <w:tcPr>
            <w:tcW w:type="dxa" w:w="32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Prioritaire sur le cas AMPLITUDE.</w:t>
            </w:r>
          </w:p>
        </w:tc>
      </w:tr>
      <w:tr>
        <w:tc>
          <w:tcPr>
            <w:tcW w:type="dxa" w:w="2260"/>
            <w:vAlign w:val="center"/>
            <w:tcMar>
              <w:top w:w="80" w:type="dxa"/>
              <w:start w:w="120" w:type="dxa"/>
              <w:bottom w:w="80" w:type="dxa"/>
              <w:end w:w="120" w:type="dxa"/>
            </w:tcMar>
          </w:tcPr>
          <w:p>
            <w:pPr>
              <w:spacing w:before="0" w:after="0" w:line="264" w:lineRule="auto"/>
              <w:jc w:val="left"/>
            </w:pPr>
            <w:r>
              <w:rPr>
                <w:rFonts w:ascii="Calibri" w:hAnsi="Calibri"/>
                <w:b/>
                <w:color w:val="111111"/>
                <w:sz w:val="16"/>
              </w:rPr>
              <w:t>Paiement généré + référence AMPLITUDE</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MATCH_OK</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MATCH_OK</w:t>
            </w:r>
          </w:p>
        </w:tc>
        <w:tc>
          <w:tcPr>
            <w:tcW w:type="dxa" w:w="32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Après contrôle des statuts inconnus.</w:t>
            </w:r>
          </w:p>
        </w:tc>
      </w:tr>
      <w:tr>
        <w:tc>
          <w:tcPr>
            <w:tcW w:type="dxa" w:w="226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Deux succès</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MATCH_OK</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MATCH_OK</w:t>
            </w:r>
          </w:p>
        </w:tc>
        <w:tc>
          <w:tcPr>
            <w:tcW w:type="dxa" w:w="32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MOOV vérifie d’abord la tolérance montant.</w:t>
            </w:r>
          </w:p>
        </w:tc>
      </w:tr>
      <w:tr>
        <w:tc>
          <w:tcPr>
            <w:tcW w:type="dxa" w:w="2260"/>
            <w:vAlign w:val="center"/>
            <w:tcMar>
              <w:top w:w="80" w:type="dxa"/>
              <w:start w:w="120" w:type="dxa"/>
              <w:bottom w:w="80" w:type="dxa"/>
              <w:end w:w="120" w:type="dxa"/>
            </w:tcMar>
          </w:tcPr>
          <w:p>
            <w:pPr>
              <w:spacing w:before="0" w:after="0" w:line="264" w:lineRule="auto"/>
              <w:jc w:val="left"/>
            </w:pPr>
            <w:r>
              <w:rPr>
                <w:rFonts w:ascii="Calibri" w:hAnsi="Calibri"/>
                <w:b/>
                <w:color w:val="111111"/>
                <w:sz w:val="16"/>
              </w:rPr>
              <w:t>Banque succès / opérateur échec</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DEBIT_A_TORT</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DEBIT_A_TORT</w:t>
            </w:r>
          </w:p>
        </w:tc>
        <w:tc>
          <w:tcPr>
            <w:tcW w:type="dxa" w:w="32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Débit sans aboutissement opérateur.</w:t>
            </w:r>
          </w:p>
        </w:tc>
      </w:tr>
      <w:tr>
        <w:tc>
          <w:tcPr>
            <w:tcW w:type="dxa" w:w="2260"/>
            <w:vAlign w:val="center"/>
            <w:tcMar>
              <w:top w:w="80" w:type="dxa"/>
              <w:start w:w="120" w:type="dxa"/>
              <w:bottom w:w="80" w:type="dxa"/>
              <w:end w:w="120" w:type="dxa"/>
            </w:tcMar>
          </w:tcPr>
          <w:p>
            <w:pPr>
              <w:spacing w:before="0" w:after="0" w:line="264" w:lineRule="auto"/>
              <w:jc w:val="left"/>
            </w:pPr>
            <w:r>
              <w:rPr>
                <w:rFonts w:ascii="Calibri" w:hAnsi="Calibri"/>
                <w:b/>
                <w:color w:val="111111"/>
                <w:sz w:val="16"/>
              </w:rPr>
              <w:t>Banque échec / opérateur succès</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CREDIT_SANS_DEBIT</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CREDIT_SANS_DEBIT</w:t>
            </w:r>
          </w:p>
        </w:tc>
        <w:tc>
          <w:tcPr>
            <w:tcW w:type="dxa" w:w="32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Crédit opérateur sans débit Banque.</w:t>
            </w:r>
          </w:p>
        </w:tc>
      </w:tr>
      <w:tr>
        <w:tc>
          <w:tcPr>
            <w:tcW w:type="dxa" w:w="226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Deux échecs</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ECHEC_DES_DEUX_COTES</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ECHEC_DES_DEUX_COTES</w:t>
            </w:r>
          </w:p>
        </w:tc>
        <w:tc>
          <w:tcPr>
            <w:tcW w:type="dxa" w:w="32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MOOV peut devenir MONTANT_DIFFERENT si montants différents.</w:t>
            </w:r>
          </w:p>
        </w:tc>
      </w:tr>
      <w:tr>
        <w:tc>
          <w:tcPr>
            <w:tcW w:type="dxa" w:w="2260"/>
            <w:vAlign w:val="center"/>
            <w:tcMar>
              <w:top w:w="80" w:type="dxa"/>
              <w:start w:w="120" w:type="dxa"/>
              <w:bottom w:w="80" w:type="dxa"/>
              <w:end w:w="120" w:type="dxa"/>
            </w:tcMar>
          </w:tcPr>
          <w:p>
            <w:pPr>
              <w:spacing w:before="0" w:after="0" w:line="264" w:lineRule="auto"/>
              <w:jc w:val="left"/>
            </w:pPr>
            <w:r>
              <w:rPr>
                <w:rFonts w:ascii="Calibri" w:hAnsi="Calibri"/>
                <w:b/>
                <w:color w:val="111111"/>
                <w:sz w:val="16"/>
              </w:rPr>
              <w:t>Écart montant &gt; tolérance</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MONTANT_DIFFERENT</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Non contrôlé dans la classification</w:t>
            </w:r>
          </w:p>
        </w:tc>
        <w:tc>
          <w:tcPr>
            <w:tcW w:type="dxa" w:w="32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Écart majeur à harmoniser.</w:t>
            </w:r>
          </w:p>
        </w:tc>
      </w:tr>
      <w:tr>
        <w:tc>
          <w:tcPr>
            <w:tcW w:type="dxa" w:w="2260"/>
            <w:vAlign w:val="center"/>
            <w:tcMar>
              <w:top w:w="80" w:type="dxa"/>
              <w:start w:w="120" w:type="dxa"/>
              <w:bottom w:w="80" w:type="dxa"/>
              <w:end w:w="120" w:type="dxa"/>
            </w:tcMar>
          </w:tcPr>
          <w:p>
            <w:pPr>
              <w:spacing w:before="0" w:after="0" w:line="264" w:lineRule="auto"/>
              <w:jc w:val="left"/>
            </w:pPr>
            <w:r>
              <w:rPr>
                <w:rFonts w:ascii="Calibri" w:hAnsi="Calibri"/>
                <w:b/>
                <w:color w:val="111111"/>
                <w:sz w:val="16"/>
              </w:rPr>
              <w:t>Plusieurs lignes Banque</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DOUBLON_BANQUE</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DOUBLON_BANQUE</w:t>
            </w:r>
          </w:p>
        </w:tc>
        <w:tc>
          <w:tcPr>
            <w:tcW w:type="dxa" w:w="32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Un résultat par ligne Banque.</w:t>
            </w:r>
          </w:p>
        </w:tc>
      </w:tr>
      <w:tr>
        <w:tc>
          <w:tcPr>
            <w:tcW w:type="dxa" w:w="2260"/>
            <w:vAlign w:val="center"/>
            <w:tcMar>
              <w:top w:w="80" w:type="dxa"/>
              <w:start w:w="120" w:type="dxa"/>
              <w:bottom w:w="80" w:type="dxa"/>
              <w:end w:w="120" w:type="dxa"/>
            </w:tcMar>
          </w:tcPr>
          <w:p>
            <w:pPr>
              <w:spacing w:before="0" w:after="0" w:line="264" w:lineRule="auto"/>
              <w:jc w:val="left"/>
            </w:pPr>
            <w:r>
              <w:rPr>
                <w:rFonts w:ascii="Calibri" w:hAnsi="Calibri"/>
                <w:b/>
                <w:color w:val="111111"/>
                <w:sz w:val="16"/>
              </w:rPr>
              <w:t>Plusieurs lignes opérateur</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DOUBLON_MOOV</w:t>
            </w:r>
          </w:p>
        </w:tc>
        <w:tc>
          <w:tcPr>
            <w:tcW w:type="dxa" w:w="19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DOUBLON_MOOV</w:t>
            </w:r>
          </w:p>
        </w:tc>
        <w:tc>
          <w:tcPr>
            <w:tcW w:type="dxa" w:w="328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Libellé historique réutilisé pour Orange.</w:t>
            </w:r>
          </w:p>
        </w:tc>
      </w:tr>
    </w:tbl>
    <w:p>
      <w:pPr>
        <w:spacing w:before="0" w:after="80"/>
      </w:pPr>
    </w:p>
    <w:tbl>
      <w:tblPr>
        <w:tblW w:type="dxa" w:w="9360"/>
        <w:jc w:val="left"/>
        <w:tblLayout w:type="fixed"/>
        <w:tblLook w:firstColumn="1" w:firstRow="1" w:lastColumn="0" w:lastRow="0" w:noHBand="0" w:noVBand="1" w:val="04A0"/>
        <w:tblInd w:w="120" w:type="dxa"/>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9360"/>
      </w:tblGrid>
      <w:tr>
        <w:trPr>
          <w:tblHeader w:val="true"/>
        </w:trPr>
        <w:tc>
          <w:tcPr>
            <w:tcW w:type="dxa" w:w="9360"/>
            <w:vAlign w:val="center"/>
            <w:tcMar>
              <w:top w:w="80" w:type="dxa"/>
              <w:start w:w="120" w:type="dxa"/>
              <w:bottom w:w="80" w:type="dxa"/>
              <w:end w:w="120" w:type="dxa"/>
            </w:tcMar>
            <w:shd w:fill="FFF1F1" w:val="clear"/>
          </w:tcPr>
          <w:p>
            <w:pPr>
              <w:spacing w:after="0" w:line="276" w:lineRule="auto"/>
            </w:pPr>
            <w:r>
              <w:rPr>
                <w:rFonts w:ascii="Calibri" w:hAnsi="Calibri"/>
                <w:b/>
                <w:color w:val="9B1C1C"/>
                <w:sz w:val="20"/>
              </w:rPr>
              <w:t xml:space="preserve">Règle financière  </w:t>
            </w:r>
            <w:r>
              <w:rPr>
                <w:rFonts w:ascii="Calibri" w:hAnsi="Calibri"/>
                <w:color w:val="111111"/>
                <w:sz w:val="20"/>
              </w:rPr>
              <w:t>La tolérance de montant est configurable via app.reconciliation.amount-tolerance. Dans l’implémentation actuelle, elle est appliquée à MOOV mais pas à Orange.</w:t>
            </w:r>
          </w:p>
        </w:tc>
      </w:tr>
    </w:tbl>
    <w:p>
      <w:pPr>
        <w:spacing w:after="40"/>
      </w:pPr>
    </w:p>
    <w:p>
      <w:pPr>
        <w:pStyle w:val="Heading2"/>
      </w:pPr>
      <w:r>
        <w:rPr>
          <w:rFonts w:ascii="Calibri" w:hAnsi="Calibri"/>
          <w:b/>
          <w:color w:val="2E74B5"/>
          <w:sz w:val="26"/>
        </w:rPr>
        <w:t>5.4 Date métier d’un résultat</w:t>
      </w:r>
    </w:p>
    <w:p>
      <w:pPr>
        <w:numPr>
          <w:ilvl w:val="0"/>
          <w:numId w:val="11"/>
        </w:numPr>
        <w:spacing w:before="0" w:after="80" w:line="300" w:lineRule="auto"/>
      </w:pPr>
      <w:r>
        <w:rPr>
          <w:rFonts w:ascii="Calibri" w:hAnsi="Calibri"/>
          <w:color w:val="111111"/>
          <w:sz w:val="22"/>
        </w:rPr>
        <w:t>Date réelle de transaction Banque si disponible.</w:t>
      </w:r>
    </w:p>
    <w:p>
      <w:pPr>
        <w:numPr>
          <w:ilvl w:val="0"/>
          <w:numId w:val="11"/>
        </w:numPr>
        <w:spacing w:before="0" w:after="80" w:line="300" w:lineRule="auto"/>
      </w:pPr>
      <w:r>
        <w:rPr>
          <w:rFonts w:ascii="Calibri" w:hAnsi="Calibri"/>
          <w:color w:val="111111"/>
          <w:sz w:val="22"/>
        </w:rPr>
        <w:t>Sinon date opérateur : completionTime puis initiationTime pour MOOV ; transactionDateTime pour Orange.</w:t>
      </w:r>
    </w:p>
    <w:p>
      <w:pPr>
        <w:numPr>
          <w:ilvl w:val="0"/>
          <w:numId w:val="11"/>
        </w:numPr>
        <w:spacing w:before="0" w:after="80" w:line="300" w:lineRule="auto"/>
      </w:pPr>
      <w:r>
        <w:rPr>
          <w:rFonts w:ascii="Calibri" w:hAnsi="Calibri"/>
          <w:color w:val="111111"/>
          <w:sz w:val="22"/>
        </w:rPr>
        <w:t>Sinon date métier de l’import Banque.</w:t>
      </w:r>
    </w:p>
    <w:p>
      <w:pPr>
        <w:numPr>
          <w:ilvl w:val="0"/>
          <w:numId w:val="11"/>
        </w:numPr>
        <w:spacing w:before="0" w:after="80" w:line="300" w:lineRule="auto"/>
      </w:pPr>
      <w:r>
        <w:rPr>
          <w:rFonts w:ascii="Calibri" w:hAnsi="Calibri"/>
          <w:color w:val="111111"/>
          <w:sz w:val="22"/>
        </w:rPr>
        <w:t>Sinon date métier de l’import opérateur.</w:t>
      </w:r>
    </w:p>
    <w:p>
      <w:pPr>
        <w:numPr>
          <w:ilvl w:val="0"/>
          <w:numId w:val="11"/>
        </w:numPr>
        <w:spacing w:before="0" w:after="80" w:line="300" w:lineRule="auto"/>
      </w:pPr>
      <w:r>
        <w:rPr>
          <w:rFonts w:ascii="Calibri" w:hAnsi="Calibri"/>
          <w:color w:val="111111"/>
          <w:sz w:val="22"/>
        </w:rPr>
        <w:t>Sinon date de début du run.</w:t>
      </w:r>
    </w:p>
    <w:p>
      <w:pPr>
        <w:pStyle w:val="Heading2"/>
      </w:pPr>
      <w:r>
        <w:rPr>
          <w:rFonts w:ascii="Calibri" w:hAnsi="Calibri"/>
          <w:b/>
          <w:color w:val="2E74B5"/>
          <w:sz w:val="26"/>
        </w:rPr>
        <w:t>5.5 Dédoublonnage et idempotence</w:t>
      </w:r>
    </w:p>
    <w:p>
      <w:pPr>
        <w:spacing w:before="0" w:after="120" w:line="300" w:lineRule="auto"/>
      </w:pPr>
      <w:r>
        <w:rPr>
          <w:rFonts w:ascii="Calibri" w:hAnsi="Calibri"/>
          <w:color w:val="111111"/>
          <w:sz w:val="22"/>
        </w:rPr>
        <w:t>L’import refuse une clé transactionnelle déjà traitée dans le fichier ou déjà présente en base. Un index unique protège aussi le quadruplet source/date/portée opérateur/checksum. Les runs de réconciliation, en revanche, ne possèdent pas de clé d’idempotence : un même périmètre peut être relancé et produire un nouvel historique.</w:t>
      </w:r>
    </w:p>
    <w:p>
      <w:pPr>
        <w:pStyle w:val="Heading2"/>
      </w:pPr>
      <w:r>
        <w:rPr>
          <w:rFonts w:ascii="Calibri" w:hAnsi="Calibri"/>
          <w:b/>
          <w:color w:val="2E74B5"/>
          <w:sz w:val="26"/>
        </w:rPr>
        <w:t>5.6 Calculs principaux</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650"/>
        <w:gridCol w:w="6710"/>
      </w:tblGrid>
      <w:tr>
        <w:trPr>
          <w:tblHeader w:val="true"/>
        </w:trPr>
        <w:tc>
          <w:tcPr>
            <w:tcW w:type="dxa" w:w="265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Calcul</w:t>
            </w:r>
          </w:p>
        </w:tc>
        <w:tc>
          <w:tcPr>
            <w:tcW w:type="dxa" w:w="671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Formule</w:t>
            </w:r>
          </w:p>
        </w:tc>
      </w:tr>
      <w:tr>
        <w:tc>
          <w:tcPr>
            <w:tcW w:type="dxa" w:w="265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Écart de résultat</w:t>
            </w:r>
          </w:p>
        </w:tc>
        <w:tc>
          <w:tcPr>
            <w:tcW w:type="dxa" w:w="67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bankAmount − operatorAmount</w:t>
            </w:r>
          </w:p>
        </w:tc>
      </w:tr>
      <w:tr>
        <w:tc>
          <w:tcPr>
            <w:tcW w:type="dxa" w:w="265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Taux</w:t>
            </w:r>
          </w:p>
        </w:tc>
        <w:tc>
          <w:tcPr>
            <w:tcW w:type="dxa" w:w="67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compteur × 100 / total, arrondi à 2 décimales</w:t>
            </w:r>
          </w:p>
        </w:tc>
      </w:tr>
      <w:tr>
        <w:tc>
          <w:tcPr>
            <w:tcW w:type="dxa" w:w="265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Écart compensation</w:t>
            </w:r>
          </w:p>
        </w:tc>
        <w:tc>
          <w:tcPr>
            <w:tcW w:type="dxa" w:w="67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somme succès Banque − somme succès opérateur</w:t>
            </w:r>
          </w:p>
        </w:tc>
      </w:tr>
      <w:tr>
        <w:tc>
          <w:tcPr>
            <w:tcW w:type="dxa" w:w="265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Montant à risque comptable</w:t>
            </w:r>
          </w:p>
        </w:tc>
        <w:tc>
          <w:tcPr>
            <w:tcW w:type="dxa" w:w="67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somme des transactions allouées attendues mais absentes d’AMPLITUDE</w:t>
            </w:r>
          </w:p>
        </w:tc>
      </w:tr>
      <w:tr>
        <w:tc>
          <w:tcPr>
            <w:tcW w:type="dxa" w:w="265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Fenêtre semaine</w:t>
            </w:r>
          </w:p>
        </w:tc>
        <w:tc>
          <w:tcPr>
            <w:tcW w:type="dxa" w:w="67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lundi au dimanche autour de la date de référence</w:t>
            </w:r>
          </w:p>
        </w:tc>
      </w:tr>
      <w:tr>
        <w:tc>
          <w:tcPr>
            <w:tcW w:type="dxa" w:w="265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Fenêtre mois</w:t>
            </w:r>
          </w:p>
        </w:tc>
        <w:tc>
          <w:tcPr>
            <w:tcW w:type="dxa" w:w="67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premier au dernier jour du mois de référence</w:t>
            </w:r>
          </w:p>
        </w:tc>
      </w:tr>
    </w:tbl>
    <w:p>
      <w:pPr>
        <w:spacing w:before="0" w:after="80"/>
      </w:pPr>
    </w:p>
    <w:p>
      <w:r>
        <w:br w:type="page"/>
      </w:r>
    </w:p>
    <w:p>
      <w:pPr>
        <w:pStyle w:val="Heading1"/>
      </w:pPr>
      <w:r>
        <w:rPr>
          <w:rFonts w:ascii="Calibri" w:hAnsi="Calibri"/>
          <w:b/>
          <w:color w:val="2E74B5"/>
          <w:sz w:val="32"/>
        </w:rPr>
        <w:t>6. Spécification des cas d’utilisation, activités et séquences</w:t>
      </w:r>
    </w:p>
    <w:p>
      <w:pPr>
        <w:pStyle w:val="Heading2"/>
      </w:pPr>
      <w:r>
        <w:rPr>
          <w:rFonts w:ascii="Calibri" w:hAnsi="Calibri"/>
          <w:b/>
          <w:color w:val="2E74B5"/>
          <w:sz w:val="26"/>
        </w:rPr>
        <w:t>6.1 Catalogue des cas d’utilisation</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850"/>
        <w:gridCol w:w="2700"/>
        <w:gridCol w:w="1660"/>
        <w:gridCol w:w="4150"/>
      </w:tblGrid>
      <w:tr>
        <w:trPr>
          <w:tblHeader w:val="true"/>
        </w:trPr>
        <w:tc>
          <w:tcPr>
            <w:tcW w:type="dxa" w:w="85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ID</w:t>
            </w:r>
          </w:p>
        </w:tc>
        <w:tc>
          <w:tcPr>
            <w:tcW w:type="dxa" w:w="27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Cas</w:t>
            </w:r>
          </w:p>
        </w:tc>
        <w:tc>
          <w:tcPr>
            <w:tcW w:type="dxa" w:w="166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Acteur</w:t>
            </w:r>
          </w:p>
        </w:tc>
        <w:tc>
          <w:tcPr>
            <w:tcW w:type="dxa" w:w="415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Résultat attendu</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UC-01</w:t>
            </w:r>
          </w:p>
        </w:tc>
        <w:tc>
          <w:tcPr>
            <w:tcW w:type="dxa" w:w="27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Importer un fichier Banque</w:t>
            </w:r>
          </w:p>
        </w:tc>
        <w:tc>
          <w:tcPr>
            <w:tcW w:type="dxa" w:w="16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Agent</w:t>
            </w:r>
          </w:p>
        </w:tc>
        <w:tc>
          <w:tcPr>
            <w:tcW w:type="dxa" w:w="41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Import tracé, lignes valides persistées, erreurs comptées.</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UC-02</w:t>
            </w:r>
          </w:p>
        </w:tc>
        <w:tc>
          <w:tcPr>
            <w:tcW w:type="dxa" w:w="27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Importer un fichier opérateur</w:t>
            </w:r>
          </w:p>
        </w:tc>
        <w:tc>
          <w:tcPr>
            <w:tcW w:type="dxa" w:w="16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Agent</w:t>
            </w:r>
          </w:p>
        </w:tc>
        <w:tc>
          <w:tcPr>
            <w:tcW w:type="dxa" w:w="41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MOOV ou Orange disponible pour rapprochement.</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UC-03</w:t>
            </w:r>
          </w:p>
        </w:tc>
        <w:tc>
          <w:tcPr>
            <w:tcW w:type="dxa" w:w="27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Importer AMPLITUDE</w:t>
            </w:r>
          </w:p>
        </w:tc>
        <w:tc>
          <w:tcPr>
            <w:tcW w:type="dxa" w:w="16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Comptable</w:t>
            </w:r>
          </w:p>
        </w:tc>
        <w:tc>
          <w:tcPr>
            <w:tcW w:type="dxa" w:w="41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Écritures disponibles pour contrôle comptable.</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UC-04</w:t>
            </w:r>
          </w:p>
        </w:tc>
        <w:tc>
          <w:tcPr>
            <w:tcW w:type="dxa" w:w="27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Prévisualiser/supprimer un import</w:t>
            </w:r>
          </w:p>
        </w:tc>
        <w:tc>
          <w:tcPr>
            <w:tcW w:type="dxa" w:w="16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Superviseur</w:t>
            </w:r>
          </w:p>
        </w:tc>
        <w:tc>
          <w:tcPr>
            <w:tcW w:type="dxa" w:w="41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Impacts connus puis suppression cohérente.</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UC-05</w:t>
            </w:r>
          </w:p>
        </w:tc>
        <w:tc>
          <w:tcPr>
            <w:tcW w:type="dxa" w:w="27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Lancer une réconciliation</w:t>
            </w:r>
          </w:p>
        </w:tc>
        <w:tc>
          <w:tcPr>
            <w:tcW w:type="dxa" w:w="16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Agent</w:t>
            </w:r>
          </w:p>
        </w:tc>
        <w:tc>
          <w:tcPr>
            <w:tcW w:type="dxa" w:w="41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Run terminé avec résultats et synthèse.</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UC-06</w:t>
            </w:r>
          </w:p>
        </w:tc>
        <w:tc>
          <w:tcPr>
            <w:tcW w:type="dxa" w:w="27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Analyser une anomalie</w:t>
            </w:r>
          </w:p>
        </w:tc>
        <w:tc>
          <w:tcPr>
            <w:tcW w:type="dxa" w:w="16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Agent</w:t>
            </w:r>
          </w:p>
        </w:tc>
        <w:tc>
          <w:tcPr>
            <w:tcW w:type="dxa" w:w="41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Détail filtré et exportable.</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UC-07</w:t>
            </w:r>
          </w:p>
        </w:tc>
        <w:tc>
          <w:tcPr>
            <w:tcW w:type="dxa" w:w="27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Consulter le dashboard</w:t>
            </w:r>
          </w:p>
        </w:tc>
        <w:tc>
          <w:tcPr>
            <w:tcW w:type="dxa" w:w="16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Superviseur</w:t>
            </w:r>
          </w:p>
        </w:tc>
        <w:tc>
          <w:tcPr>
            <w:tcW w:type="dxa" w:w="41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KPI, distribution, timeline et qualité.</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UC-08</w:t>
            </w:r>
          </w:p>
        </w:tc>
        <w:tc>
          <w:tcPr>
            <w:tcW w:type="dxa" w:w="27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Produire un rapport</w:t>
            </w:r>
          </w:p>
        </w:tc>
        <w:tc>
          <w:tcPr>
            <w:tcW w:type="dxa" w:w="16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Superviseur</w:t>
            </w:r>
          </w:p>
        </w:tc>
        <w:tc>
          <w:tcPr>
            <w:tcW w:type="dxa" w:w="41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Synthèse DAY/WEEK/MONTH et export.</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UC-09</w:t>
            </w:r>
          </w:p>
        </w:tc>
        <w:tc>
          <w:tcPr>
            <w:tcW w:type="dxa" w:w="27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Contrôler AMPLITUDE</w:t>
            </w:r>
          </w:p>
        </w:tc>
        <w:tc>
          <w:tcPr>
            <w:tcW w:type="dxa" w:w="16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Comptable</w:t>
            </w:r>
          </w:p>
        </w:tc>
        <w:tc>
          <w:tcPr>
            <w:tcW w:type="dxa" w:w="41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Statut comptable et risque calculés.</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UC-10</w:t>
            </w:r>
          </w:p>
        </w:tc>
        <w:tc>
          <w:tcPr>
            <w:tcW w:type="dxa" w:w="27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Analyser la compensation</w:t>
            </w:r>
          </w:p>
        </w:tc>
        <w:tc>
          <w:tcPr>
            <w:tcW w:type="dxa" w:w="16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Responsable</w:t>
            </w:r>
          </w:p>
        </w:tc>
        <w:tc>
          <w:tcPr>
            <w:tcW w:type="dxa" w:w="41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Position et décision OK/A_VERIFIER.</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UC-11</w:t>
            </w:r>
          </w:p>
        </w:tc>
        <w:tc>
          <w:tcPr>
            <w:tcW w:type="dxa" w:w="27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Exécuter la rétention</w:t>
            </w:r>
          </w:p>
        </w:tc>
        <w:tc>
          <w:tcPr>
            <w:tcW w:type="dxa" w:w="16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Exploitant</w:t>
            </w:r>
          </w:p>
        </w:tc>
        <w:tc>
          <w:tcPr>
            <w:tcW w:type="dxa" w:w="41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Données archivées/purgées avec bilan.</w:t>
            </w:r>
          </w:p>
        </w:tc>
      </w:tr>
      <w:tr>
        <w:tc>
          <w:tcPr>
            <w:tcW w:type="dxa" w:w="8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UC-12</w:t>
            </w:r>
          </w:p>
        </w:tc>
        <w:tc>
          <w:tcPr>
            <w:tcW w:type="dxa" w:w="27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Administrer les accès</w:t>
            </w:r>
          </w:p>
        </w:tc>
        <w:tc>
          <w:tcPr>
            <w:tcW w:type="dxa" w:w="16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Administrateur</w:t>
            </w:r>
          </w:p>
        </w:tc>
        <w:tc>
          <w:tcPr>
            <w:tcW w:type="dxa" w:w="41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Identités et profils à jour.</w:t>
            </w:r>
          </w:p>
        </w:tc>
      </w:tr>
    </w:tbl>
    <w:p>
      <w:pPr>
        <w:spacing w:before="0" w:after="80"/>
      </w:pPr>
    </w:p>
    <w:p>
      <w:pPr>
        <w:pStyle w:val="Heading2"/>
      </w:pPr>
      <w:r>
        <w:rPr>
          <w:rFonts w:ascii="Calibri" w:hAnsi="Calibri"/>
          <w:b/>
          <w:color w:val="2E74B5"/>
          <w:sz w:val="26"/>
        </w:rPr>
        <w:t>6.2 Description détaillée des cas d’utilisation</w:t>
      </w:r>
    </w:p>
    <w:p>
      <w:pPr>
        <w:pStyle w:val="Heading3"/>
      </w:pPr>
      <w:r>
        <w:rPr>
          <w:rFonts w:ascii="Calibri" w:hAnsi="Calibri"/>
          <w:b/>
          <w:color w:val="1F4D78"/>
          <w:sz w:val="24"/>
        </w:rPr>
        <w:t>UC-01 — Importer un fichier Banque</w:t>
      </w:r>
    </w:p>
    <w:p>
      <w:pPr>
        <w:spacing w:before="0" w:after="120" w:line="300" w:lineRule="auto"/>
      </w:pPr>
      <w:r>
        <w:rPr>
          <w:rFonts w:ascii="Calibri" w:hAnsi="Calibri"/>
          <w:b/>
          <w:color w:val="0B2545"/>
          <w:sz w:val="22"/>
        </w:rPr>
        <w:t>Acteur principal :</w:t>
      </w:r>
      <w:r>
        <w:rPr>
          <w:rFonts w:ascii="Calibri" w:hAnsi="Calibri"/>
          <w:color w:val="111111"/>
          <w:sz w:val="22"/>
        </w:rPr>
        <w:t xml:space="preserve"> Agent de rapprochement</w:t>
      </w:r>
    </w:p>
    <w:p>
      <w:pPr>
        <w:spacing w:before="0" w:after="120" w:line="300" w:lineRule="auto"/>
      </w:pPr>
      <w:r>
        <w:rPr>
          <w:rFonts w:ascii="Calibri" w:hAnsi="Calibri"/>
          <w:b/>
          <w:color w:val="0B2545"/>
          <w:sz w:val="22"/>
        </w:rPr>
        <w:t>Objectif :</w:t>
      </w:r>
      <w:r>
        <w:rPr>
          <w:rFonts w:ascii="Calibri" w:hAnsi="Calibri"/>
          <w:color w:val="111111"/>
          <w:sz w:val="22"/>
        </w:rPr>
        <w:t xml:space="preserve"> Charger les transactions Carthago destinées à un canal opérateur.</w:t>
      </w:r>
    </w:p>
    <w:p>
      <w:pPr>
        <w:spacing w:before="0" w:after="120" w:line="300" w:lineRule="auto"/>
      </w:pPr>
      <w:r>
        <w:rPr>
          <w:rFonts w:ascii="Calibri" w:hAnsi="Calibri"/>
          <w:b/>
          <w:color w:val="0B2545"/>
          <w:sz w:val="22"/>
        </w:rPr>
        <w:t>Préconditions :</w:t>
      </w:r>
      <w:r>
        <w:rPr>
          <w:rFonts w:ascii="Calibri" w:hAnsi="Calibri"/>
          <w:color w:val="111111"/>
          <w:sz w:val="22"/>
        </w:rPr>
        <w:t xml:space="preserve"> Utilisateur authentifié ; fichier CSV/XLS/XLSX ; opérateur et date métier connus.</w:t>
      </w:r>
    </w:p>
    <w:p>
      <w:pPr>
        <w:spacing w:before="0" w:after="120" w:line="300" w:lineRule="auto"/>
      </w:pPr>
      <w:r>
        <w:rPr>
          <w:rFonts w:ascii="Calibri" w:hAnsi="Calibri"/>
          <w:b/>
          <w:color w:val="0B2545"/>
          <w:sz w:val="22"/>
        </w:rPr>
        <w:t>Déclencheur :</w:t>
      </w:r>
      <w:r>
        <w:rPr>
          <w:rFonts w:ascii="Calibri" w:hAnsi="Calibri"/>
          <w:color w:val="111111"/>
          <w:sz w:val="22"/>
        </w:rPr>
        <w:t xml:space="preserve"> L’utilisateur sélectionne le fichier Banque et lance l’import.</w:t>
      </w:r>
    </w:p>
    <w:p>
      <w:pPr>
        <w:spacing w:after="80"/>
      </w:pPr>
      <w:r>
        <w:rPr>
          <w:rFonts w:ascii="Calibri" w:hAnsi="Calibri"/>
          <w:b/>
          <w:color w:val="0B2545"/>
          <w:sz w:val="21"/>
        </w:rPr>
        <w:t>Scénario nominal</w:t>
      </w:r>
    </w:p>
    <w:p>
      <w:pPr>
        <w:numPr>
          <w:ilvl w:val="0"/>
          <w:numId w:val="11"/>
        </w:numPr>
        <w:spacing w:before="0" w:after="80" w:line="300" w:lineRule="auto"/>
      </w:pPr>
      <w:r>
        <w:rPr>
          <w:rFonts w:ascii="Calibri" w:hAnsi="Calibri"/>
          <w:color w:val="111111"/>
          <w:sz w:val="22"/>
        </w:rPr>
        <w:t>Transmettre le fichier, l’opérateur et la date métier.</w:t>
      </w:r>
    </w:p>
    <w:p>
      <w:pPr>
        <w:numPr>
          <w:ilvl w:val="0"/>
          <w:numId w:val="11"/>
        </w:numPr>
        <w:spacing w:before="0" w:after="80" w:line="300" w:lineRule="auto"/>
      </w:pPr>
      <w:r>
        <w:rPr>
          <w:rFonts w:ascii="Calibri" w:hAnsi="Calibri"/>
          <w:color w:val="111111"/>
          <w:sz w:val="22"/>
        </w:rPr>
        <w:t>Calculer le checksum et vérifier l’absence de doublon.</w:t>
      </w:r>
    </w:p>
    <w:p>
      <w:pPr>
        <w:numPr>
          <w:ilvl w:val="0"/>
          <w:numId w:val="11"/>
        </w:numPr>
        <w:spacing w:before="0" w:after="80" w:line="300" w:lineRule="auto"/>
      </w:pPr>
      <w:r>
        <w:rPr>
          <w:rFonts w:ascii="Calibri" w:hAnsi="Calibri"/>
          <w:color w:val="111111"/>
          <w:sz w:val="22"/>
        </w:rPr>
        <w:t>Stocker le fichier et créer l’import PENDING.</w:t>
      </w:r>
    </w:p>
    <w:p>
      <w:pPr>
        <w:numPr>
          <w:ilvl w:val="0"/>
          <w:numId w:val="11"/>
        </w:numPr>
        <w:spacing w:before="0" w:after="80" w:line="300" w:lineRule="auto"/>
      </w:pPr>
      <w:r>
        <w:rPr>
          <w:rFonts w:ascii="Calibri" w:hAnsi="Calibri"/>
          <w:color w:val="111111"/>
          <w:sz w:val="22"/>
        </w:rPr>
        <w:t>Parser, normaliser et persister les lignes valides.</w:t>
      </w:r>
    </w:p>
    <w:p>
      <w:pPr>
        <w:numPr>
          <w:ilvl w:val="0"/>
          <w:numId w:val="11"/>
        </w:numPr>
        <w:spacing w:before="0" w:after="80" w:line="300" w:lineRule="auto"/>
      </w:pPr>
      <w:r>
        <w:rPr>
          <w:rFonts w:ascii="Calibri" w:hAnsi="Calibri"/>
          <w:color w:val="111111"/>
          <w:sz w:val="22"/>
        </w:rPr>
        <w:t>Retourner le statut et les compteurs de qualité.</w:t>
      </w:r>
    </w:p>
    <w:p>
      <w:pPr>
        <w:spacing w:after="80"/>
      </w:pPr>
      <w:r>
        <w:rPr>
          <w:rFonts w:ascii="Calibri" w:hAnsi="Calibri"/>
          <w:b/>
          <w:color w:val="0B2545"/>
          <w:sz w:val="21"/>
        </w:rPr>
        <w:t>Alternatives et erreurs</w:t>
      </w:r>
    </w:p>
    <w:p>
      <w:pPr>
        <w:numPr>
          <w:ilvl w:val="0"/>
          <w:numId w:val="10"/>
        </w:numPr>
        <w:spacing w:before="0" w:after="80" w:line="300" w:lineRule="auto"/>
      </w:pPr>
      <w:r>
        <w:rPr>
          <w:rFonts w:ascii="Calibri" w:hAnsi="Calibri"/>
          <w:color w:val="111111"/>
          <w:sz w:val="22"/>
        </w:rPr>
        <w:t>Opérateur absent : rejet de la requête.</w:t>
      </w:r>
    </w:p>
    <w:p>
      <w:pPr>
        <w:numPr>
          <w:ilvl w:val="0"/>
          <w:numId w:val="10"/>
        </w:numPr>
        <w:spacing w:before="0" w:after="80" w:line="300" w:lineRule="auto"/>
      </w:pPr>
      <w:r>
        <w:rPr>
          <w:rFonts w:ascii="Calibri" w:hAnsi="Calibri"/>
          <w:color w:val="111111"/>
          <w:sz w:val="22"/>
        </w:rPr>
        <w:t>Structure invalide : statut FAILED.</w:t>
      </w:r>
    </w:p>
    <w:p>
      <w:pPr>
        <w:numPr>
          <w:ilvl w:val="0"/>
          <w:numId w:val="10"/>
        </w:numPr>
        <w:spacing w:before="0" w:after="80" w:line="300" w:lineRule="auto"/>
      </w:pPr>
      <w:r>
        <w:rPr>
          <w:rFonts w:ascii="Calibri" w:hAnsi="Calibri"/>
          <w:color w:val="111111"/>
          <w:sz w:val="22"/>
        </w:rPr>
        <w:t>Quelques lignes invalides : statut PARTIAL_SUCCESS.</w:t>
      </w:r>
    </w:p>
    <w:p>
      <w:pPr>
        <w:numPr>
          <w:ilvl w:val="0"/>
          <w:numId w:val="10"/>
        </w:numPr>
        <w:spacing w:before="0" w:after="80" w:line="300" w:lineRule="auto"/>
      </w:pPr>
      <w:r>
        <w:rPr>
          <w:rFonts w:ascii="Calibri" w:hAnsi="Calibri"/>
          <w:color w:val="111111"/>
          <w:sz w:val="22"/>
        </w:rPr>
        <w:t>Fichier déjà importé : rejet avec l’import existant.</w:t>
      </w:r>
    </w:p>
    <w:p>
      <w:pPr>
        <w:spacing w:before="0" w:after="120" w:line="300" w:lineRule="auto"/>
      </w:pPr>
      <w:r>
        <w:rPr>
          <w:rFonts w:ascii="Calibri" w:hAnsi="Calibri"/>
          <w:b/>
          <w:color w:val="0B2545"/>
          <w:sz w:val="22"/>
        </w:rPr>
        <w:t>Postconditions :</w:t>
      </w:r>
      <w:r>
        <w:rPr>
          <w:rFonts w:ascii="Calibri" w:hAnsi="Calibri"/>
          <w:color w:val="111111"/>
          <w:sz w:val="22"/>
        </w:rPr>
        <w:t xml:space="preserve"> L’import et les transactions Banque sont traçables et disponibles pour un run.</w:t>
      </w:r>
    </w:p>
    <w:p>
      <w:pPr>
        <w:spacing w:before="0" w:after="120" w:line="300" w:lineRule="auto"/>
      </w:pPr>
      <w:r>
        <w:rPr>
          <w:rFonts w:ascii="Calibri" w:hAnsi="Calibri"/>
          <w:b/>
          <w:color w:val="0B2545"/>
          <w:sz w:val="22"/>
        </w:rPr>
        <w:t>API principales :</w:t>
      </w:r>
      <w:r>
        <w:rPr>
          <w:rFonts w:ascii="Calibri" w:hAnsi="Calibri"/>
          <w:color w:val="111111"/>
          <w:sz w:val="22"/>
        </w:rPr>
        <w:t xml:space="preserve"> POST /api/imports/bank ; GET /api/imports/{id}/errors</w:t>
      </w:r>
    </w:p>
    <w:p>
      <w:pPr>
        <w:pStyle w:val="Heading3"/>
      </w:pPr>
      <w:r>
        <w:rPr>
          <w:rFonts w:ascii="Calibri" w:hAnsi="Calibri"/>
          <w:b/>
          <w:color w:val="1F4D78"/>
          <w:sz w:val="24"/>
        </w:rPr>
        <w:t>UC-02 — Importer un fichier opérateur</w:t>
      </w:r>
    </w:p>
    <w:p>
      <w:pPr>
        <w:spacing w:before="0" w:after="120" w:line="300" w:lineRule="auto"/>
      </w:pPr>
      <w:r>
        <w:rPr>
          <w:rFonts w:ascii="Calibri" w:hAnsi="Calibri"/>
          <w:b/>
          <w:color w:val="0B2545"/>
          <w:sz w:val="22"/>
        </w:rPr>
        <w:t>Acteur principal :</w:t>
      </w:r>
      <w:r>
        <w:rPr>
          <w:rFonts w:ascii="Calibri" w:hAnsi="Calibri"/>
          <w:color w:val="111111"/>
          <w:sz w:val="22"/>
        </w:rPr>
        <w:t xml:space="preserve"> Agent de rapprochement</w:t>
      </w:r>
    </w:p>
    <w:p>
      <w:pPr>
        <w:spacing w:before="0" w:after="120" w:line="300" w:lineRule="auto"/>
      </w:pPr>
      <w:r>
        <w:rPr>
          <w:rFonts w:ascii="Calibri" w:hAnsi="Calibri"/>
          <w:b/>
          <w:color w:val="0B2545"/>
          <w:sz w:val="22"/>
        </w:rPr>
        <w:t>Objectif :</w:t>
      </w:r>
      <w:r>
        <w:rPr>
          <w:rFonts w:ascii="Calibri" w:hAnsi="Calibri"/>
          <w:color w:val="111111"/>
          <w:sz w:val="22"/>
        </w:rPr>
        <w:t xml:space="preserve"> Charger les transactions MOOV ou Orange à rapprocher avec la Banque.</w:t>
      </w:r>
    </w:p>
    <w:p>
      <w:pPr>
        <w:spacing w:before="0" w:after="120" w:line="300" w:lineRule="auto"/>
      </w:pPr>
      <w:r>
        <w:rPr>
          <w:rFonts w:ascii="Calibri" w:hAnsi="Calibri"/>
          <w:b/>
          <w:color w:val="0B2545"/>
          <w:sz w:val="22"/>
        </w:rPr>
        <w:t>Préconditions :</w:t>
      </w:r>
      <w:r>
        <w:rPr>
          <w:rFonts w:ascii="Calibri" w:hAnsi="Calibri"/>
          <w:color w:val="111111"/>
          <w:sz w:val="22"/>
        </w:rPr>
        <w:t xml:space="preserve"> Fichier opérateur disponible et date métier connue.</w:t>
      </w:r>
    </w:p>
    <w:p>
      <w:pPr>
        <w:spacing w:before="0" w:after="120" w:line="300" w:lineRule="auto"/>
      </w:pPr>
      <w:r>
        <w:rPr>
          <w:rFonts w:ascii="Calibri" w:hAnsi="Calibri"/>
          <w:b/>
          <w:color w:val="0B2545"/>
          <w:sz w:val="22"/>
        </w:rPr>
        <w:t>Déclencheur :</w:t>
      </w:r>
      <w:r>
        <w:rPr>
          <w:rFonts w:ascii="Calibri" w:hAnsi="Calibri"/>
          <w:color w:val="111111"/>
          <w:sz w:val="22"/>
        </w:rPr>
        <w:t xml:space="preserve"> L’utilisateur lance l’import MOOV ou Orange.</w:t>
      </w:r>
    </w:p>
    <w:p>
      <w:pPr>
        <w:spacing w:after="80"/>
      </w:pPr>
      <w:r>
        <w:rPr>
          <w:rFonts w:ascii="Calibri" w:hAnsi="Calibri"/>
          <w:b/>
          <w:color w:val="0B2545"/>
          <w:sz w:val="21"/>
        </w:rPr>
        <w:t>Scénario nominal</w:t>
      </w:r>
    </w:p>
    <w:p>
      <w:pPr>
        <w:numPr>
          <w:ilvl w:val="0"/>
          <w:numId w:val="11"/>
        </w:numPr>
        <w:spacing w:before="0" w:after="80" w:line="300" w:lineRule="auto"/>
      </w:pPr>
      <w:r>
        <w:rPr>
          <w:rFonts w:ascii="Calibri" w:hAnsi="Calibri"/>
          <w:color w:val="111111"/>
          <w:sz w:val="22"/>
        </w:rPr>
        <w:t>Identifier le parseur à partir de l’extension.</w:t>
      </w:r>
    </w:p>
    <w:p>
      <w:pPr>
        <w:numPr>
          <w:ilvl w:val="0"/>
          <w:numId w:val="11"/>
        </w:numPr>
        <w:spacing w:before="0" w:after="80" w:line="300" w:lineRule="auto"/>
      </w:pPr>
      <w:r>
        <w:rPr>
          <w:rFonts w:ascii="Calibri" w:hAnsi="Calibri"/>
          <w:color w:val="111111"/>
          <w:sz w:val="22"/>
        </w:rPr>
        <w:t>Contrôler les colonnes obligatoires.</w:t>
      </w:r>
    </w:p>
    <w:p>
      <w:pPr>
        <w:numPr>
          <w:ilvl w:val="0"/>
          <w:numId w:val="11"/>
        </w:numPr>
        <w:spacing w:before="0" w:after="80" w:line="300" w:lineRule="auto"/>
      </w:pPr>
      <w:r>
        <w:rPr>
          <w:rFonts w:ascii="Calibri" w:hAnsi="Calibri"/>
          <w:color w:val="111111"/>
          <w:sz w:val="22"/>
        </w:rPr>
        <w:t>Normaliser les identifiants, statuts, montants et dates.</w:t>
      </w:r>
    </w:p>
    <w:p>
      <w:pPr>
        <w:numPr>
          <w:ilvl w:val="0"/>
          <w:numId w:val="11"/>
        </w:numPr>
        <w:spacing w:before="0" w:after="80" w:line="300" w:lineRule="auto"/>
      </w:pPr>
      <w:r>
        <w:rPr>
          <w:rFonts w:ascii="Calibri" w:hAnsi="Calibri"/>
          <w:color w:val="111111"/>
          <w:sz w:val="22"/>
        </w:rPr>
        <w:t>Écarter les doublons et lignes invalides.</w:t>
      </w:r>
    </w:p>
    <w:p>
      <w:pPr>
        <w:numPr>
          <w:ilvl w:val="0"/>
          <w:numId w:val="11"/>
        </w:numPr>
        <w:spacing w:before="0" w:after="80" w:line="300" w:lineRule="auto"/>
      </w:pPr>
      <w:r>
        <w:rPr>
          <w:rFonts w:ascii="Calibri" w:hAnsi="Calibri"/>
          <w:color w:val="111111"/>
          <w:sz w:val="22"/>
        </w:rPr>
        <w:t>Persister les transactions et les compteurs.</w:t>
      </w:r>
    </w:p>
    <w:p>
      <w:pPr>
        <w:spacing w:after="80"/>
      </w:pPr>
      <w:r>
        <w:rPr>
          <w:rFonts w:ascii="Calibri" w:hAnsi="Calibri"/>
          <w:b/>
          <w:color w:val="0B2545"/>
          <w:sz w:val="21"/>
        </w:rPr>
        <w:t>Alternatives et erreurs</w:t>
      </w:r>
    </w:p>
    <w:p>
      <w:pPr>
        <w:numPr>
          <w:ilvl w:val="0"/>
          <w:numId w:val="10"/>
        </w:numPr>
        <w:spacing w:before="0" w:after="80" w:line="300" w:lineRule="auto"/>
      </w:pPr>
      <w:r>
        <w:rPr>
          <w:rFonts w:ascii="Calibri" w:hAnsi="Calibri"/>
          <w:color w:val="111111"/>
          <w:sz w:val="22"/>
        </w:rPr>
        <w:t>Receipt MOOV trop court : ligne invalide.</w:t>
      </w:r>
    </w:p>
    <w:p>
      <w:pPr>
        <w:numPr>
          <w:ilvl w:val="0"/>
          <w:numId w:val="10"/>
        </w:numPr>
        <w:spacing w:before="0" w:after="80" w:line="300" w:lineRule="auto"/>
      </w:pPr>
      <w:r>
        <w:rPr>
          <w:rFonts w:ascii="Calibri" w:hAnsi="Calibri"/>
          <w:color w:val="111111"/>
          <w:sz w:val="22"/>
        </w:rPr>
        <w:t>Compte ou date Orange manquant : ligne invalide.</w:t>
      </w:r>
    </w:p>
    <w:p>
      <w:pPr>
        <w:numPr>
          <w:ilvl w:val="0"/>
          <w:numId w:val="10"/>
        </w:numPr>
        <w:spacing w:before="0" w:after="80" w:line="300" w:lineRule="auto"/>
      </w:pPr>
      <w:r>
        <w:rPr>
          <w:rFonts w:ascii="Calibri" w:hAnsi="Calibri"/>
          <w:color w:val="111111"/>
          <w:sz w:val="22"/>
        </w:rPr>
        <w:t>Aucune ligne valide : import FAILED.</w:t>
      </w:r>
    </w:p>
    <w:p>
      <w:pPr>
        <w:spacing w:before="0" w:after="120" w:line="300" w:lineRule="auto"/>
      </w:pPr>
      <w:r>
        <w:rPr>
          <w:rFonts w:ascii="Calibri" w:hAnsi="Calibri"/>
          <w:b/>
          <w:color w:val="0B2545"/>
          <w:sz w:val="22"/>
        </w:rPr>
        <w:t>Postconditions :</w:t>
      </w:r>
      <w:r>
        <w:rPr>
          <w:rFonts w:ascii="Calibri" w:hAnsi="Calibri"/>
          <w:color w:val="111111"/>
          <w:sz w:val="22"/>
        </w:rPr>
        <w:t xml:space="preserve"> Les transactions opérateur sont disponibles pour la stratégie correspondante.</w:t>
      </w:r>
    </w:p>
    <w:p>
      <w:pPr>
        <w:spacing w:before="0" w:after="120" w:line="300" w:lineRule="auto"/>
      </w:pPr>
      <w:r>
        <w:rPr>
          <w:rFonts w:ascii="Calibri" w:hAnsi="Calibri"/>
          <w:b/>
          <w:color w:val="0B2545"/>
          <w:sz w:val="22"/>
        </w:rPr>
        <w:t>API principales :</w:t>
      </w:r>
      <w:r>
        <w:rPr>
          <w:rFonts w:ascii="Calibri" w:hAnsi="Calibri"/>
          <w:color w:val="111111"/>
          <w:sz w:val="22"/>
        </w:rPr>
        <w:t xml:space="preserve"> POST /api/imports/moov ; POST /api/imports/orange</w:t>
      </w:r>
    </w:p>
    <w:p>
      <w:pPr>
        <w:pStyle w:val="Heading3"/>
      </w:pPr>
      <w:r>
        <w:rPr>
          <w:rFonts w:ascii="Calibri" w:hAnsi="Calibri"/>
          <w:b/>
          <w:color w:val="1F4D78"/>
          <w:sz w:val="24"/>
        </w:rPr>
        <w:t>UC-03 — Importer AMPLITUDE</w:t>
      </w:r>
    </w:p>
    <w:p>
      <w:pPr>
        <w:spacing w:before="0" w:after="120" w:line="300" w:lineRule="auto"/>
      </w:pPr>
      <w:r>
        <w:rPr>
          <w:rFonts w:ascii="Calibri" w:hAnsi="Calibri"/>
          <w:b/>
          <w:color w:val="0B2545"/>
          <w:sz w:val="22"/>
        </w:rPr>
        <w:t>Acteur principal :</w:t>
      </w:r>
      <w:r>
        <w:rPr>
          <w:rFonts w:ascii="Calibri" w:hAnsi="Calibri"/>
          <w:color w:val="111111"/>
          <w:sz w:val="22"/>
        </w:rPr>
        <w:t xml:space="preserve"> Contrôle comptable</w:t>
      </w:r>
    </w:p>
    <w:p>
      <w:pPr>
        <w:spacing w:before="0" w:after="120" w:line="300" w:lineRule="auto"/>
      </w:pPr>
      <w:r>
        <w:rPr>
          <w:rFonts w:ascii="Calibri" w:hAnsi="Calibri"/>
          <w:b/>
          <w:color w:val="0B2545"/>
          <w:sz w:val="22"/>
        </w:rPr>
        <w:t>Objectif :</w:t>
      </w:r>
      <w:r>
        <w:rPr>
          <w:rFonts w:ascii="Calibri" w:hAnsi="Calibri"/>
          <w:color w:val="111111"/>
          <w:sz w:val="22"/>
        </w:rPr>
        <w:t xml:space="preserve"> Alimenter la base des écritures utilisées pour vérifier la comptabilisation.</w:t>
      </w:r>
    </w:p>
    <w:p>
      <w:pPr>
        <w:spacing w:before="0" w:after="120" w:line="300" w:lineRule="auto"/>
      </w:pPr>
      <w:r>
        <w:rPr>
          <w:rFonts w:ascii="Calibri" w:hAnsi="Calibri"/>
          <w:b/>
          <w:color w:val="0B2545"/>
          <w:sz w:val="22"/>
        </w:rPr>
        <w:t>Préconditions :</w:t>
      </w:r>
      <w:r>
        <w:rPr>
          <w:rFonts w:ascii="Calibri" w:hAnsi="Calibri"/>
          <w:color w:val="111111"/>
          <w:sz w:val="22"/>
        </w:rPr>
        <w:t xml:space="preserve"> Export AMPLITUDE lisible et date métier connue.</w:t>
      </w:r>
    </w:p>
    <w:p>
      <w:pPr>
        <w:spacing w:before="0" w:after="120" w:line="300" w:lineRule="auto"/>
      </w:pPr>
      <w:r>
        <w:rPr>
          <w:rFonts w:ascii="Calibri" w:hAnsi="Calibri"/>
          <w:b/>
          <w:color w:val="0B2545"/>
          <w:sz w:val="22"/>
        </w:rPr>
        <w:t>Déclencheur :</w:t>
      </w:r>
      <w:r>
        <w:rPr>
          <w:rFonts w:ascii="Calibri" w:hAnsi="Calibri"/>
          <w:color w:val="111111"/>
          <w:sz w:val="22"/>
        </w:rPr>
        <w:t xml:space="preserve"> Le comptable dépose un export AMPLITUDE.</w:t>
      </w:r>
    </w:p>
    <w:p>
      <w:pPr>
        <w:spacing w:after="80"/>
      </w:pPr>
      <w:r>
        <w:rPr>
          <w:rFonts w:ascii="Calibri" w:hAnsi="Calibri"/>
          <w:b/>
          <w:color w:val="0B2545"/>
          <w:sz w:val="21"/>
        </w:rPr>
        <w:t>Scénario nominal</w:t>
      </w:r>
    </w:p>
    <w:p>
      <w:pPr>
        <w:numPr>
          <w:ilvl w:val="0"/>
          <w:numId w:val="11"/>
        </w:numPr>
        <w:spacing w:before="0" w:after="80" w:line="300" w:lineRule="auto"/>
      </w:pPr>
      <w:r>
        <w:rPr>
          <w:rFonts w:ascii="Calibri" w:hAnsi="Calibri"/>
          <w:color w:val="111111"/>
          <w:sz w:val="22"/>
        </w:rPr>
        <w:t>Détecter la ligne d’en-tête.</w:t>
      </w:r>
    </w:p>
    <w:p>
      <w:pPr>
        <w:numPr>
          <w:ilvl w:val="0"/>
          <w:numId w:val="11"/>
        </w:numPr>
        <w:spacing w:before="0" w:after="80" w:line="300" w:lineRule="auto"/>
      </w:pPr>
      <w:r>
        <w:rPr>
          <w:rFonts w:ascii="Calibri" w:hAnsi="Calibri"/>
          <w:color w:val="111111"/>
          <w:sz w:val="22"/>
        </w:rPr>
        <w:t>Extraire référence, téléphone, compte, montant, date et direction.</w:t>
      </w:r>
    </w:p>
    <w:p>
      <w:pPr>
        <w:numPr>
          <w:ilvl w:val="0"/>
          <w:numId w:val="11"/>
        </w:numPr>
        <w:spacing w:before="0" w:after="80" w:line="300" w:lineRule="auto"/>
      </w:pPr>
      <w:r>
        <w:rPr>
          <w:rFonts w:ascii="Calibri" w:hAnsi="Calibri"/>
          <w:color w:val="111111"/>
          <w:sz w:val="22"/>
        </w:rPr>
        <w:t>Ignorer les lignes de rapport non transactionnelles.</w:t>
      </w:r>
    </w:p>
    <w:p>
      <w:pPr>
        <w:numPr>
          <w:ilvl w:val="0"/>
          <w:numId w:val="11"/>
        </w:numPr>
        <w:spacing w:before="0" w:after="80" w:line="300" w:lineRule="auto"/>
      </w:pPr>
      <w:r>
        <w:rPr>
          <w:rFonts w:ascii="Calibri" w:hAnsi="Calibri"/>
          <w:color w:val="111111"/>
          <w:sz w:val="22"/>
        </w:rPr>
        <w:t>Persister les écritures valides.</w:t>
      </w:r>
    </w:p>
    <w:p>
      <w:pPr>
        <w:spacing w:after="80"/>
      </w:pPr>
      <w:r>
        <w:rPr>
          <w:rFonts w:ascii="Calibri" w:hAnsi="Calibri"/>
          <w:b/>
          <w:color w:val="0B2545"/>
          <w:sz w:val="21"/>
        </w:rPr>
        <w:t>Alternatives et erreurs</w:t>
      </w:r>
    </w:p>
    <w:p>
      <w:pPr>
        <w:numPr>
          <w:ilvl w:val="0"/>
          <w:numId w:val="10"/>
        </w:numPr>
        <w:spacing w:before="0" w:after="80" w:line="300" w:lineRule="auto"/>
      </w:pPr>
      <w:r>
        <w:rPr>
          <w:rFonts w:ascii="Calibri" w:hAnsi="Calibri"/>
          <w:color w:val="111111"/>
          <w:sz w:val="22"/>
        </w:rPr>
        <w:t>Libellé obligatoire absent : import refusé.</w:t>
      </w:r>
    </w:p>
    <w:p>
      <w:pPr>
        <w:numPr>
          <w:ilvl w:val="0"/>
          <w:numId w:val="10"/>
        </w:numPr>
        <w:spacing w:before="0" w:after="80" w:line="300" w:lineRule="auto"/>
      </w:pPr>
      <w:r>
        <w:rPr>
          <w:rFonts w:ascii="Calibri" w:hAnsi="Calibri"/>
          <w:color w:val="111111"/>
          <w:sz w:val="22"/>
        </w:rPr>
        <w:t>Téléphone absent sur une ligne transactionnelle : ligne invalide.</w:t>
      </w:r>
    </w:p>
    <w:p>
      <w:pPr>
        <w:spacing w:before="0" w:after="120" w:line="300" w:lineRule="auto"/>
      </w:pPr>
      <w:r>
        <w:rPr>
          <w:rFonts w:ascii="Calibri" w:hAnsi="Calibri"/>
          <w:b/>
          <w:color w:val="0B2545"/>
          <w:sz w:val="22"/>
        </w:rPr>
        <w:t>Postconditions :</w:t>
      </w:r>
      <w:r>
        <w:rPr>
          <w:rFonts w:ascii="Calibri" w:hAnsi="Calibri"/>
          <w:color w:val="111111"/>
          <w:sz w:val="22"/>
        </w:rPr>
        <w:t xml:space="preserve"> Les écritures sont disponibles pour le contrôle comptable et le cas paiement généré.</w:t>
      </w:r>
    </w:p>
    <w:p>
      <w:pPr>
        <w:spacing w:before="0" w:after="120" w:line="300" w:lineRule="auto"/>
      </w:pPr>
      <w:r>
        <w:rPr>
          <w:rFonts w:ascii="Calibri" w:hAnsi="Calibri"/>
          <w:b/>
          <w:color w:val="0B2545"/>
          <w:sz w:val="22"/>
        </w:rPr>
        <w:t>API principales :</w:t>
      </w:r>
      <w:r>
        <w:rPr>
          <w:rFonts w:ascii="Calibri" w:hAnsi="Calibri"/>
          <w:color w:val="111111"/>
          <w:sz w:val="22"/>
        </w:rPr>
        <w:t xml:space="preserve"> POST /api/imports/amplitude</w:t>
      </w:r>
    </w:p>
    <w:p>
      <w:pPr>
        <w:pStyle w:val="Heading3"/>
      </w:pPr>
      <w:r>
        <w:rPr>
          <w:rFonts w:ascii="Calibri" w:hAnsi="Calibri"/>
          <w:b/>
          <w:color w:val="1F4D78"/>
          <w:sz w:val="24"/>
        </w:rPr>
        <w:t>UC-04 — Prévisualiser et supprimer un import</w:t>
      </w:r>
    </w:p>
    <w:p>
      <w:pPr>
        <w:spacing w:before="0" w:after="120" w:line="300" w:lineRule="auto"/>
      </w:pPr>
      <w:r>
        <w:rPr>
          <w:rFonts w:ascii="Calibri" w:hAnsi="Calibri"/>
          <w:b/>
          <w:color w:val="0B2545"/>
          <w:sz w:val="22"/>
        </w:rPr>
        <w:t>Acteur principal :</w:t>
      </w:r>
      <w:r>
        <w:rPr>
          <w:rFonts w:ascii="Calibri" w:hAnsi="Calibri"/>
          <w:color w:val="111111"/>
          <w:sz w:val="22"/>
        </w:rPr>
        <w:t xml:space="preserve"> Superviseur ou exploitant</w:t>
      </w:r>
    </w:p>
    <w:p>
      <w:pPr>
        <w:spacing w:before="0" w:after="120" w:line="300" w:lineRule="auto"/>
      </w:pPr>
      <w:r>
        <w:rPr>
          <w:rFonts w:ascii="Calibri" w:hAnsi="Calibri"/>
          <w:b/>
          <w:color w:val="0B2545"/>
          <w:sz w:val="22"/>
        </w:rPr>
        <w:t>Objectif :</w:t>
      </w:r>
      <w:r>
        <w:rPr>
          <w:rFonts w:ascii="Calibri" w:hAnsi="Calibri"/>
          <w:color w:val="111111"/>
          <w:sz w:val="22"/>
        </w:rPr>
        <w:t xml:space="preserve"> Nettoyer un import sans laisser de résultats ou runs incohérents.</w:t>
      </w:r>
    </w:p>
    <w:p>
      <w:pPr>
        <w:spacing w:before="0" w:after="120" w:line="300" w:lineRule="auto"/>
      </w:pPr>
      <w:r>
        <w:rPr>
          <w:rFonts w:ascii="Calibri" w:hAnsi="Calibri"/>
          <w:b/>
          <w:color w:val="0B2545"/>
          <w:sz w:val="22"/>
        </w:rPr>
        <w:t>Préconditions :</w:t>
      </w:r>
      <w:r>
        <w:rPr>
          <w:rFonts w:ascii="Calibri" w:hAnsi="Calibri"/>
          <w:color w:val="111111"/>
          <w:sz w:val="22"/>
        </w:rPr>
        <w:t xml:space="preserve"> Source et date identifiées ; utilisateur autorisé à supprimer.</w:t>
      </w:r>
    </w:p>
    <w:p>
      <w:pPr>
        <w:spacing w:before="0" w:after="120" w:line="300" w:lineRule="auto"/>
      </w:pPr>
      <w:r>
        <w:rPr>
          <w:rFonts w:ascii="Calibri" w:hAnsi="Calibri"/>
          <w:b/>
          <w:color w:val="0B2545"/>
          <w:sz w:val="22"/>
        </w:rPr>
        <w:t>Déclencheur :</w:t>
      </w:r>
      <w:r>
        <w:rPr>
          <w:rFonts w:ascii="Calibri" w:hAnsi="Calibri"/>
          <w:color w:val="111111"/>
          <w:sz w:val="22"/>
        </w:rPr>
        <w:t xml:space="preserve"> L’utilisateur demande l’impact d’une suppression.</w:t>
      </w:r>
    </w:p>
    <w:p>
      <w:pPr>
        <w:spacing w:after="80"/>
      </w:pPr>
      <w:r>
        <w:rPr>
          <w:rFonts w:ascii="Calibri" w:hAnsi="Calibri"/>
          <w:b/>
          <w:color w:val="0B2545"/>
          <w:sz w:val="21"/>
        </w:rPr>
        <w:t>Scénario nominal</w:t>
      </w:r>
    </w:p>
    <w:p>
      <w:pPr>
        <w:numPr>
          <w:ilvl w:val="0"/>
          <w:numId w:val="11"/>
        </w:numPr>
        <w:spacing w:before="0" w:after="80" w:line="300" w:lineRule="auto"/>
      </w:pPr>
      <w:r>
        <w:rPr>
          <w:rFonts w:ascii="Calibri" w:hAnsi="Calibri"/>
          <w:color w:val="111111"/>
          <w:sz w:val="22"/>
        </w:rPr>
        <w:t>Construire un plan contenant imports, transactions, runs et résultats impactés.</w:t>
      </w:r>
    </w:p>
    <w:p>
      <w:pPr>
        <w:numPr>
          <w:ilvl w:val="0"/>
          <w:numId w:val="11"/>
        </w:numPr>
        <w:spacing w:before="0" w:after="80" w:line="300" w:lineRule="auto"/>
      </w:pPr>
      <w:r>
        <w:rPr>
          <w:rFonts w:ascii="Calibri" w:hAnsi="Calibri"/>
          <w:color w:val="111111"/>
          <w:sz w:val="22"/>
        </w:rPr>
        <w:t>Afficher les compteurs et identifiants concernés.</w:t>
      </w:r>
    </w:p>
    <w:p>
      <w:pPr>
        <w:numPr>
          <w:ilvl w:val="0"/>
          <w:numId w:val="11"/>
        </w:numPr>
        <w:spacing w:before="0" w:after="80" w:line="300" w:lineRule="auto"/>
      </w:pPr>
      <w:r>
        <w:rPr>
          <w:rFonts w:ascii="Calibri" w:hAnsi="Calibri"/>
          <w:color w:val="111111"/>
          <w:sz w:val="22"/>
        </w:rPr>
        <w:t>Exiger confirmCascade=true si un run utilise l’import.</w:t>
      </w:r>
    </w:p>
    <w:p>
      <w:pPr>
        <w:numPr>
          <w:ilvl w:val="0"/>
          <w:numId w:val="11"/>
        </w:numPr>
        <w:spacing w:before="0" w:after="80" w:line="300" w:lineRule="auto"/>
      </w:pPr>
      <w:r>
        <w:rPr>
          <w:rFonts w:ascii="Calibri" w:hAnsi="Calibri"/>
          <w:color w:val="111111"/>
          <w:sz w:val="22"/>
        </w:rPr>
        <w:t>Supprimer résultats, runs, transactions, métadonnées puis fichier physique.</w:t>
      </w:r>
    </w:p>
    <w:p>
      <w:pPr>
        <w:numPr>
          <w:ilvl w:val="0"/>
          <w:numId w:val="11"/>
        </w:numPr>
        <w:spacing w:before="0" w:after="80" w:line="300" w:lineRule="auto"/>
      </w:pPr>
      <w:r>
        <w:rPr>
          <w:rFonts w:ascii="Calibri" w:hAnsi="Calibri"/>
          <w:color w:val="111111"/>
          <w:sz w:val="22"/>
        </w:rPr>
        <w:t>Retourner un bilan identique au plan prévisualisé.</w:t>
      </w:r>
    </w:p>
    <w:p>
      <w:pPr>
        <w:spacing w:after="80"/>
      </w:pPr>
      <w:r>
        <w:rPr>
          <w:rFonts w:ascii="Calibri" w:hAnsi="Calibri"/>
          <w:b/>
          <w:color w:val="0B2545"/>
          <w:sz w:val="21"/>
        </w:rPr>
        <w:t>Alternatives et erreurs</w:t>
      </w:r>
    </w:p>
    <w:p>
      <w:pPr>
        <w:numPr>
          <w:ilvl w:val="0"/>
          <w:numId w:val="10"/>
        </w:numPr>
        <w:spacing w:before="0" w:after="80" w:line="300" w:lineRule="auto"/>
      </w:pPr>
      <w:r>
        <w:rPr>
          <w:rFonts w:ascii="Calibri" w:hAnsi="Calibri"/>
          <w:color w:val="111111"/>
          <w:sz w:val="22"/>
        </w:rPr>
        <w:t>Sans confirmation alors qu’un run est impacté : HTTP 409, aucune suppression.</w:t>
      </w:r>
    </w:p>
    <w:p>
      <w:pPr>
        <w:numPr>
          <w:ilvl w:val="0"/>
          <w:numId w:val="10"/>
        </w:numPr>
        <w:spacing w:before="0" w:after="80" w:line="300" w:lineRule="auto"/>
      </w:pPr>
      <w:r>
        <w:rPr>
          <w:rFonts w:ascii="Calibri" w:hAnsi="Calibri"/>
          <w:color w:val="111111"/>
          <w:sz w:val="22"/>
        </w:rPr>
        <w:t>Aucun import candidat : bilan nul.</w:t>
      </w:r>
    </w:p>
    <w:p>
      <w:pPr>
        <w:numPr>
          <w:ilvl w:val="0"/>
          <w:numId w:val="10"/>
        </w:numPr>
        <w:spacing w:before="0" w:after="80" w:line="300" w:lineRule="auto"/>
      </w:pPr>
      <w:r>
        <w:rPr>
          <w:rFonts w:ascii="Calibri" w:hAnsi="Calibri"/>
          <w:color w:val="111111"/>
          <w:sz w:val="22"/>
        </w:rPr>
        <w:t>Import Banque : opérateur obligatoire pour les suppressions par périmètre.</w:t>
      </w:r>
    </w:p>
    <w:p>
      <w:pPr>
        <w:spacing w:before="0" w:after="120" w:line="300" w:lineRule="auto"/>
      </w:pPr>
      <w:r>
        <w:rPr>
          <w:rFonts w:ascii="Calibri" w:hAnsi="Calibri"/>
          <w:b/>
          <w:color w:val="0B2545"/>
          <w:sz w:val="22"/>
        </w:rPr>
        <w:t>Postconditions :</w:t>
      </w:r>
      <w:r>
        <w:rPr>
          <w:rFonts w:ascii="Calibri" w:hAnsi="Calibri"/>
          <w:color w:val="111111"/>
          <w:sz w:val="22"/>
        </w:rPr>
        <w:t xml:space="preserve"> Aucune donnée de réconciliation ne référence l’import supprimé.</w:t>
      </w:r>
    </w:p>
    <w:p>
      <w:pPr>
        <w:spacing w:before="0" w:after="120" w:line="300" w:lineRule="auto"/>
      </w:pPr>
      <w:r>
        <w:rPr>
          <w:rFonts w:ascii="Calibri" w:hAnsi="Calibri"/>
          <w:b/>
          <w:color w:val="0B2545"/>
          <w:sz w:val="22"/>
        </w:rPr>
        <w:t>API principales :</w:t>
      </w:r>
      <w:r>
        <w:rPr>
          <w:rFonts w:ascii="Calibri" w:hAnsi="Calibri"/>
          <w:color w:val="111111"/>
          <w:sz w:val="22"/>
        </w:rPr>
        <w:t xml:space="preserve"> GET /api/imports/{source}/preview-delete ; DELETE /api/imports/{source}?confirmCascade=true</w:t>
      </w:r>
    </w:p>
    <w:p>
      <w:pPr>
        <w:pStyle w:val="Heading3"/>
      </w:pPr>
      <w:r>
        <w:rPr>
          <w:rFonts w:ascii="Calibri" w:hAnsi="Calibri"/>
          <w:b/>
          <w:color w:val="1F4D78"/>
          <w:sz w:val="24"/>
        </w:rPr>
        <w:t>UC-05 — Lancer une réconciliation</w:t>
      </w:r>
    </w:p>
    <w:p>
      <w:pPr>
        <w:spacing w:before="0" w:after="120" w:line="300" w:lineRule="auto"/>
      </w:pPr>
      <w:r>
        <w:rPr>
          <w:rFonts w:ascii="Calibri" w:hAnsi="Calibri"/>
          <w:b/>
          <w:color w:val="0B2545"/>
          <w:sz w:val="22"/>
        </w:rPr>
        <w:t>Acteur principal :</w:t>
      </w:r>
      <w:r>
        <w:rPr>
          <w:rFonts w:ascii="Calibri" w:hAnsi="Calibri"/>
          <w:color w:val="111111"/>
          <w:sz w:val="22"/>
        </w:rPr>
        <w:t xml:space="preserve"> Agent de rapprochement</w:t>
      </w:r>
    </w:p>
    <w:p>
      <w:pPr>
        <w:spacing w:before="0" w:after="120" w:line="300" w:lineRule="auto"/>
      </w:pPr>
      <w:r>
        <w:rPr>
          <w:rFonts w:ascii="Calibri" w:hAnsi="Calibri"/>
          <w:b/>
          <w:color w:val="0B2545"/>
          <w:sz w:val="22"/>
        </w:rPr>
        <w:t>Objectif :</w:t>
      </w:r>
      <w:r>
        <w:rPr>
          <w:rFonts w:ascii="Calibri" w:hAnsi="Calibri"/>
          <w:color w:val="111111"/>
          <w:sz w:val="22"/>
        </w:rPr>
        <w:t xml:space="preserve"> Comparer les transactions Banque et opérateur sur une période.</w:t>
      </w:r>
    </w:p>
    <w:p>
      <w:pPr>
        <w:spacing w:before="0" w:after="120" w:line="300" w:lineRule="auto"/>
      </w:pPr>
      <w:r>
        <w:rPr>
          <w:rFonts w:ascii="Calibri" w:hAnsi="Calibri"/>
          <w:b/>
          <w:color w:val="0B2545"/>
          <w:sz w:val="22"/>
        </w:rPr>
        <w:t>Préconditions :</w:t>
      </w:r>
      <w:r>
        <w:rPr>
          <w:rFonts w:ascii="Calibri" w:hAnsi="Calibri"/>
          <w:color w:val="111111"/>
          <w:sz w:val="22"/>
        </w:rPr>
        <w:t xml:space="preserve"> Imports Banque et opérateur disponibles ; libellé de run renseigné.</w:t>
      </w:r>
    </w:p>
    <w:p>
      <w:pPr>
        <w:spacing w:before="0" w:after="120" w:line="300" w:lineRule="auto"/>
      </w:pPr>
      <w:r>
        <w:rPr>
          <w:rFonts w:ascii="Calibri" w:hAnsi="Calibri"/>
          <w:b/>
          <w:color w:val="0B2545"/>
          <w:sz w:val="22"/>
        </w:rPr>
        <w:t>Déclencheur :</w:t>
      </w:r>
      <w:r>
        <w:rPr>
          <w:rFonts w:ascii="Calibri" w:hAnsi="Calibri"/>
          <w:color w:val="111111"/>
          <w:sz w:val="22"/>
        </w:rPr>
        <w:t xml:space="preserve"> L’utilisateur soumet une demande de run.</w:t>
      </w:r>
    </w:p>
    <w:p>
      <w:pPr>
        <w:spacing w:after="80"/>
      </w:pPr>
      <w:r>
        <w:rPr>
          <w:rFonts w:ascii="Calibri" w:hAnsi="Calibri"/>
          <w:b/>
          <w:color w:val="0B2545"/>
          <w:sz w:val="21"/>
        </w:rPr>
        <w:t>Scénario nominal</w:t>
      </w:r>
    </w:p>
    <w:p>
      <w:pPr>
        <w:numPr>
          <w:ilvl w:val="0"/>
          <w:numId w:val="11"/>
        </w:numPr>
        <w:spacing w:before="0" w:after="80" w:line="300" w:lineRule="auto"/>
      </w:pPr>
      <w:r>
        <w:rPr>
          <w:rFonts w:ascii="Calibri" w:hAnsi="Calibri"/>
          <w:color w:val="111111"/>
          <w:sz w:val="22"/>
        </w:rPr>
        <w:t>Résoudre l’opérateur et la période.</w:t>
      </w:r>
    </w:p>
    <w:p>
      <w:pPr>
        <w:numPr>
          <w:ilvl w:val="0"/>
          <w:numId w:val="11"/>
        </w:numPr>
        <w:spacing w:before="0" w:after="80" w:line="300" w:lineRule="auto"/>
      </w:pPr>
      <w:r>
        <w:rPr>
          <w:rFonts w:ascii="Calibri" w:hAnsi="Calibri"/>
          <w:color w:val="111111"/>
          <w:sz w:val="22"/>
        </w:rPr>
        <w:t>Créer le run RUNNING et mémoriser les imports.</w:t>
      </w:r>
    </w:p>
    <w:p>
      <w:pPr>
        <w:numPr>
          <w:ilvl w:val="0"/>
          <w:numId w:val="11"/>
        </w:numPr>
        <w:spacing w:before="0" w:after="80" w:line="300" w:lineRule="auto"/>
      </w:pPr>
      <w:r>
        <w:rPr>
          <w:rFonts w:ascii="Calibri" w:hAnsi="Calibri"/>
          <w:color w:val="111111"/>
          <w:sz w:val="22"/>
        </w:rPr>
        <w:t>Choisir la stratégie MOOV ou Orange.</w:t>
      </w:r>
    </w:p>
    <w:p>
      <w:pPr>
        <w:numPr>
          <w:ilvl w:val="0"/>
          <w:numId w:val="11"/>
        </w:numPr>
        <w:spacing w:before="0" w:after="80" w:line="300" w:lineRule="auto"/>
      </w:pPr>
      <w:r>
        <w:rPr>
          <w:rFonts w:ascii="Calibri" w:hAnsi="Calibri"/>
          <w:color w:val="111111"/>
          <w:sz w:val="22"/>
        </w:rPr>
        <w:t>Regrouper les lignes par clé et détecter les doublons.</w:t>
      </w:r>
    </w:p>
    <w:p>
      <w:pPr>
        <w:numPr>
          <w:ilvl w:val="0"/>
          <w:numId w:val="11"/>
        </w:numPr>
        <w:spacing w:before="0" w:after="80" w:line="300" w:lineRule="auto"/>
      </w:pPr>
      <w:r>
        <w:rPr>
          <w:rFonts w:ascii="Calibri" w:hAnsi="Calibri"/>
          <w:color w:val="111111"/>
          <w:sz w:val="22"/>
        </w:rPr>
        <w:t>Classifier et persister chaque résultat.</w:t>
      </w:r>
    </w:p>
    <w:p>
      <w:pPr>
        <w:numPr>
          <w:ilvl w:val="0"/>
          <w:numId w:val="11"/>
        </w:numPr>
        <w:spacing w:before="0" w:after="80" w:line="300" w:lineRule="auto"/>
      </w:pPr>
      <w:r>
        <w:rPr>
          <w:rFonts w:ascii="Calibri" w:hAnsi="Calibri"/>
          <w:color w:val="111111"/>
          <w:sz w:val="22"/>
        </w:rPr>
        <w:t>Calculer la synthèse et terminer le run.</w:t>
      </w:r>
    </w:p>
    <w:p>
      <w:pPr>
        <w:spacing w:after="80"/>
      </w:pPr>
      <w:r>
        <w:rPr>
          <w:rFonts w:ascii="Calibri" w:hAnsi="Calibri"/>
          <w:b/>
          <w:color w:val="0B2545"/>
          <w:sz w:val="21"/>
        </w:rPr>
        <w:t>Alternatives et erreurs</w:t>
      </w:r>
    </w:p>
    <w:p>
      <w:pPr>
        <w:numPr>
          <w:ilvl w:val="0"/>
          <w:numId w:val="10"/>
        </w:numPr>
        <w:spacing w:before="0" w:after="80" w:line="300" w:lineRule="auto"/>
      </w:pPr>
      <w:r>
        <w:rPr>
          <w:rFonts w:ascii="Calibri" w:hAnsi="Calibri"/>
          <w:color w:val="111111"/>
          <w:sz w:val="22"/>
        </w:rPr>
        <w:t>Aucun import : le comportement actuel peut produire un run vide.</w:t>
      </w:r>
    </w:p>
    <w:p>
      <w:pPr>
        <w:numPr>
          <w:ilvl w:val="0"/>
          <w:numId w:val="10"/>
        </w:numPr>
        <w:spacing w:before="0" w:after="80" w:line="300" w:lineRule="auto"/>
      </w:pPr>
      <w:r>
        <w:rPr>
          <w:rFonts w:ascii="Calibri" w:hAnsi="Calibri"/>
          <w:color w:val="111111"/>
          <w:sz w:val="22"/>
        </w:rPr>
        <w:t>Statut inconnu : résultat STATUT_INCONNU.</w:t>
      </w:r>
    </w:p>
    <w:p>
      <w:pPr>
        <w:numPr>
          <w:ilvl w:val="0"/>
          <w:numId w:val="10"/>
        </w:numPr>
        <w:spacing w:before="0" w:after="80" w:line="300" w:lineRule="auto"/>
      </w:pPr>
      <w:r>
        <w:rPr>
          <w:rFonts w:ascii="Calibri" w:hAnsi="Calibri"/>
          <w:color w:val="111111"/>
          <w:sz w:val="22"/>
        </w:rPr>
        <w:t>Doublon : résultat prioritaire DOUBLON_BANQUE ou DOUBLON_MOOV.</w:t>
      </w:r>
    </w:p>
    <w:p>
      <w:pPr>
        <w:spacing w:before="0" w:after="120" w:line="300" w:lineRule="auto"/>
      </w:pPr>
      <w:r>
        <w:rPr>
          <w:rFonts w:ascii="Calibri" w:hAnsi="Calibri"/>
          <w:b/>
          <w:color w:val="0B2545"/>
          <w:sz w:val="22"/>
        </w:rPr>
        <w:t>Postconditions :</w:t>
      </w:r>
      <w:r>
        <w:rPr>
          <w:rFonts w:ascii="Calibri" w:hAnsi="Calibri"/>
          <w:color w:val="111111"/>
          <w:sz w:val="22"/>
        </w:rPr>
        <w:t xml:space="preserve"> Un run COMPLETED et ses résultats sont consultables.</w:t>
      </w:r>
    </w:p>
    <w:p>
      <w:pPr>
        <w:spacing w:before="0" w:after="120" w:line="300" w:lineRule="auto"/>
      </w:pPr>
      <w:r>
        <w:rPr>
          <w:rFonts w:ascii="Calibri" w:hAnsi="Calibri"/>
          <w:b/>
          <w:color w:val="0B2545"/>
          <w:sz w:val="22"/>
        </w:rPr>
        <w:t>API principales :</w:t>
      </w:r>
      <w:r>
        <w:rPr>
          <w:rFonts w:ascii="Calibri" w:hAnsi="Calibri"/>
          <w:color w:val="111111"/>
          <w:sz w:val="22"/>
        </w:rPr>
        <w:t xml:space="preserve"> POST /api/reconciliations/run</w:t>
      </w:r>
    </w:p>
    <w:p>
      <w:pPr>
        <w:pStyle w:val="Heading3"/>
      </w:pPr>
      <w:r>
        <w:rPr>
          <w:rFonts w:ascii="Calibri" w:hAnsi="Calibri"/>
          <w:b/>
          <w:color w:val="1F4D78"/>
          <w:sz w:val="24"/>
        </w:rPr>
        <w:t>UC-06 — Analyser une anomalie</w:t>
      </w:r>
    </w:p>
    <w:p>
      <w:pPr>
        <w:spacing w:before="0" w:after="120" w:line="300" w:lineRule="auto"/>
      </w:pPr>
      <w:r>
        <w:rPr>
          <w:rFonts w:ascii="Calibri" w:hAnsi="Calibri"/>
          <w:b/>
          <w:color w:val="0B2545"/>
          <w:sz w:val="22"/>
        </w:rPr>
        <w:t>Acteur principal :</w:t>
      </w:r>
      <w:r>
        <w:rPr>
          <w:rFonts w:ascii="Calibri" w:hAnsi="Calibri"/>
          <w:color w:val="111111"/>
          <w:sz w:val="22"/>
        </w:rPr>
        <w:t xml:space="preserve"> Agent de rapprochement</w:t>
      </w:r>
    </w:p>
    <w:p>
      <w:pPr>
        <w:spacing w:before="0" w:after="120" w:line="300" w:lineRule="auto"/>
      </w:pPr>
      <w:r>
        <w:rPr>
          <w:rFonts w:ascii="Calibri" w:hAnsi="Calibri"/>
          <w:b/>
          <w:color w:val="0B2545"/>
          <w:sz w:val="22"/>
        </w:rPr>
        <w:t>Objectif :</w:t>
      </w:r>
      <w:r>
        <w:rPr>
          <w:rFonts w:ascii="Calibri" w:hAnsi="Calibri"/>
          <w:color w:val="111111"/>
          <w:sz w:val="22"/>
        </w:rPr>
        <w:t xml:space="preserve"> Identifier la cause et l’impact financier d’un résultat non conforme.</w:t>
      </w:r>
    </w:p>
    <w:p>
      <w:pPr>
        <w:spacing w:before="0" w:after="120" w:line="300" w:lineRule="auto"/>
      </w:pPr>
      <w:r>
        <w:rPr>
          <w:rFonts w:ascii="Calibri" w:hAnsi="Calibri"/>
          <w:b/>
          <w:color w:val="0B2545"/>
          <w:sz w:val="22"/>
        </w:rPr>
        <w:t>Préconditions :</w:t>
      </w:r>
      <w:r>
        <w:rPr>
          <w:rFonts w:ascii="Calibri" w:hAnsi="Calibri"/>
          <w:color w:val="111111"/>
          <w:sz w:val="22"/>
        </w:rPr>
        <w:t xml:space="preserve"> Un run contient des résultats.</w:t>
      </w:r>
    </w:p>
    <w:p>
      <w:pPr>
        <w:spacing w:before="0" w:after="120" w:line="300" w:lineRule="auto"/>
      </w:pPr>
      <w:r>
        <w:rPr>
          <w:rFonts w:ascii="Calibri" w:hAnsi="Calibri"/>
          <w:b/>
          <w:color w:val="0B2545"/>
          <w:sz w:val="22"/>
        </w:rPr>
        <w:t>Déclencheur :</w:t>
      </w:r>
      <w:r>
        <w:rPr>
          <w:rFonts w:ascii="Calibri" w:hAnsi="Calibri"/>
          <w:color w:val="111111"/>
          <w:sz w:val="22"/>
        </w:rPr>
        <w:t xml:space="preserve"> L’utilisateur ouvre une vue d’anomalies ou lance une recherche.</w:t>
      </w:r>
    </w:p>
    <w:p>
      <w:pPr>
        <w:spacing w:after="80"/>
      </w:pPr>
      <w:r>
        <w:rPr>
          <w:rFonts w:ascii="Calibri" w:hAnsi="Calibri"/>
          <w:b/>
          <w:color w:val="0B2545"/>
          <w:sz w:val="21"/>
        </w:rPr>
        <w:t>Scénario nominal</w:t>
      </w:r>
    </w:p>
    <w:p>
      <w:pPr>
        <w:numPr>
          <w:ilvl w:val="0"/>
          <w:numId w:val="11"/>
        </w:numPr>
        <w:spacing w:before="0" w:after="80" w:line="300" w:lineRule="auto"/>
      </w:pPr>
      <w:r>
        <w:rPr>
          <w:rFonts w:ascii="Calibri" w:hAnsi="Calibri"/>
          <w:color w:val="111111"/>
          <w:sz w:val="22"/>
        </w:rPr>
        <w:t>Filtrer par période, opérateur, type ou identifiant métier.</w:t>
      </w:r>
    </w:p>
    <w:p>
      <w:pPr>
        <w:numPr>
          <w:ilvl w:val="0"/>
          <w:numId w:val="11"/>
        </w:numPr>
        <w:spacing w:before="0" w:after="80" w:line="300" w:lineRule="auto"/>
      </w:pPr>
      <w:r>
        <w:rPr>
          <w:rFonts w:ascii="Calibri" w:hAnsi="Calibri"/>
          <w:color w:val="111111"/>
          <w:sz w:val="22"/>
        </w:rPr>
        <w:t>Consulter statuts, montants, écart et raison.</w:t>
      </w:r>
    </w:p>
    <w:p>
      <w:pPr>
        <w:numPr>
          <w:ilvl w:val="0"/>
          <w:numId w:val="11"/>
        </w:numPr>
        <w:spacing w:before="0" w:after="80" w:line="300" w:lineRule="auto"/>
      </w:pPr>
      <w:r>
        <w:rPr>
          <w:rFonts w:ascii="Calibri" w:hAnsi="Calibri"/>
          <w:color w:val="111111"/>
          <w:sz w:val="22"/>
        </w:rPr>
        <w:t>Retrouver les transactions source associées.</w:t>
      </w:r>
    </w:p>
    <w:p>
      <w:pPr>
        <w:numPr>
          <w:ilvl w:val="0"/>
          <w:numId w:val="11"/>
        </w:numPr>
        <w:spacing w:before="0" w:after="80" w:line="300" w:lineRule="auto"/>
      </w:pPr>
      <w:r>
        <w:rPr>
          <w:rFonts w:ascii="Calibri" w:hAnsi="Calibri"/>
          <w:color w:val="111111"/>
          <w:sz w:val="22"/>
        </w:rPr>
        <w:t>Exporter le résultat si une analyse externe est requise.</w:t>
      </w:r>
    </w:p>
    <w:p>
      <w:pPr>
        <w:spacing w:after="80"/>
      </w:pPr>
      <w:r>
        <w:rPr>
          <w:rFonts w:ascii="Calibri" w:hAnsi="Calibri"/>
          <w:b/>
          <w:color w:val="0B2545"/>
          <w:sz w:val="21"/>
        </w:rPr>
        <w:t>Alternatives et erreurs</w:t>
      </w:r>
    </w:p>
    <w:p>
      <w:pPr>
        <w:numPr>
          <w:ilvl w:val="0"/>
          <w:numId w:val="10"/>
        </w:numPr>
        <w:spacing w:before="0" w:after="80" w:line="300" w:lineRule="auto"/>
      </w:pPr>
      <w:r>
        <w:rPr>
          <w:rFonts w:ascii="Calibri" w:hAnsi="Calibri"/>
          <w:color w:val="111111"/>
          <w:sz w:val="22"/>
        </w:rPr>
        <w:t>Filtres avancés sans correspondance : page vide.</w:t>
      </w:r>
    </w:p>
    <w:p>
      <w:pPr>
        <w:numPr>
          <w:ilvl w:val="0"/>
          <w:numId w:val="10"/>
        </w:numPr>
        <w:spacing w:before="0" w:after="80" w:line="300" w:lineRule="auto"/>
      </w:pPr>
      <w:r>
        <w:rPr>
          <w:rFonts w:ascii="Calibri" w:hAnsi="Calibri"/>
          <w:color w:val="111111"/>
          <w:sz w:val="22"/>
        </w:rPr>
        <w:t>Identifiant source supprimé : détail partiel conservé dans le résultat.</w:t>
      </w:r>
    </w:p>
    <w:p>
      <w:pPr>
        <w:spacing w:before="0" w:after="120" w:line="300" w:lineRule="auto"/>
      </w:pPr>
      <w:r>
        <w:rPr>
          <w:rFonts w:ascii="Calibri" w:hAnsi="Calibri"/>
          <w:b/>
          <w:color w:val="0B2545"/>
          <w:sz w:val="22"/>
        </w:rPr>
        <w:t>Postconditions :</w:t>
      </w:r>
      <w:r>
        <w:rPr>
          <w:rFonts w:ascii="Calibri" w:hAnsi="Calibri"/>
          <w:color w:val="111111"/>
          <w:sz w:val="22"/>
        </w:rPr>
        <w:t xml:space="preserve"> L’anomalie est documentée pour traitement métier externe.</w:t>
      </w:r>
    </w:p>
    <w:p>
      <w:pPr>
        <w:spacing w:before="0" w:after="120" w:line="300" w:lineRule="auto"/>
      </w:pPr>
      <w:r>
        <w:rPr>
          <w:rFonts w:ascii="Calibri" w:hAnsi="Calibri"/>
          <w:b/>
          <w:color w:val="0B2545"/>
          <w:sz w:val="22"/>
        </w:rPr>
        <w:t>API principales :</w:t>
      </w:r>
      <w:r>
        <w:rPr>
          <w:rFonts w:ascii="Calibri" w:hAnsi="Calibri"/>
          <w:color w:val="111111"/>
          <w:sz w:val="22"/>
        </w:rPr>
        <w:t xml:space="preserve"> GET /api/reconciliations/results ; GET /runs/{id}/{vue} ; exports CSV/XLSX</w:t>
      </w:r>
    </w:p>
    <w:p>
      <w:pPr>
        <w:pStyle w:val="Heading3"/>
      </w:pPr>
      <w:r>
        <w:rPr>
          <w:rFonts w:ascii="Calibri" w:hAnsi="Calibri"/>
          <w:b/>
          <w:color w:val="1F4D78"/>
          <w:sz w:val="24"/>
        </w:rPr>
        <w:t>UC-07 — Consulter le tableau de bord</w:t>
      </w:r>
    </w:p>
    <w:p>
      <w:pPr>
        <w:spacing w:before="0" w:after="120" w:line="300" w:lineRule="auto"/>
      </w:pPr>
      <w:r>
        <w:rPr>
          <w:rFonts w:ascii="Calibri" w:hAnsi="Calibri"/>
          <w:b/>
          <w:color w:val="0B2545"/>
          <w:sz w:val="22"/>
        </w:rPr>
        <w:t>Acteur principal :</w:t>
      </w:r>
      <w:r>
        <w:rPr>
          <w:rFonts w:ascii="Calibri" w:hAnsi="Calibri"/>
          <w:color w:val="111111"/>
          <w:sz w:val="22"/>
        </w:rPr>
        <w:t xml:space="preserve"> Superviseur</w:t>
      </w:r>
    </w:p>
    <w:p>
      <w:pPr>
        <w:spacing w:before="0" w:after="120" w:line="300" w:lineRule="auto"/>
      </w:pPr>
      <w:r>
        <w:rPr>
          <w:rFonts w:ascii="Calibri" w:hAnsi="Calibri"/>
          <w:b/>
          <w:color w:val="0B2545"/>
          <w:sz w:val="22"/>
        </w:rPr>
        <w:t>Objectif :</w:t>
      </w:r>
      <w:r>
        <w:rPr>
          <w:rFonts w:ascii="Calibri" w:hAnsi="Calibri"/>
          <w:color w:val="111111"/>
          <w:sz w:val="22"/>
        </w:rPr>
        <w:t xml:space="preserve"> Piloter la performance et la qualité des rapprochements.</w:t>
      </w:r>
    </w:p>
    <w:p>
      <w:pPr>
        <w:spacing w:before="0" w:after="120" w:line="300" w:lineRule="auto"/>
      </w:pPr>
      <w:r>
        <w:rPr>
          <w:rFonts w:ascii="Calibri" w:hAnsi="Calibri"/>
          <w:b/>
          <w:color w:val="0B2545"/>
          <w:sz w:val="22"/>
        </w:rPr>
        <w:t>Préconditions :</w:t>
      </w:r>
      <w:r>
        <w:rPr>
          <w:rFonts w:ascii="Calibri" w:hAnsi="Calibri"/>
          <w:color w:val="111111"/>
          <w:sz w:val="22"/>
        </w:rPr>
        <w:t xml:space="preserve"> Canal et période définis.</w:t>
      </w:r>
    </w:p>
    <w:p>
      <w:pPr>
        <w:spacing w:before="0" w:after="120" w:line="300" w:lineRule="auto"/>
      </w:pPr>
      <w:r>
        <w:rPr>
          <w:rFonts w:ascii="Calibri" w:hAnsi="Calibri"/>
          <w:b/>
          <w:color w:val="0B2545"/>
          <w:sz w:val="22"/>
        </w:rPr>
        <w:t>Déclencheur :</w:t>
      </w:r>
      <w:r>
        <w:rPr>
          <w:rFonts w:ascii="Calibri" w:hAnsi="Calibri"/>
          <w:color w:val="111111"/>
          <w:sz w:val="22"/>
        </w:rPr>
        <w:t xml:space="preserve"> Le superviseur ouvre le dashboard.</w:t>
      </w:r>
    </w:p>
    <w:p>
      <w:pPr>
        <w:spacing w:after="80"/>
      </w:pPr>
      <w:r>
        <w:rPr>
          <w:rFonts w:ascii="Calibri" w:hAnsi="Calibri"/>
          <w:b/>
          <w:color w:val="0B2545"/>
          <w:sz w:val="21"/>
        </w:rPr>
        <w:t>Scénario nominal</w:t>
      </w:r>
    </w:p>
    <w:p>
      <w:pPr>
        <w:numPr>
          <w:ilvl w:val="0"/>
          <w:numId w:val="11"/>
        </w:numPr>
        <w:spacing w:before="0" w:after="80" w:line="300" w:lineRule="auto"/>
      </w:pPr>
      <w:r>
        <w:rPr>
          <w:rFonts w:ascii="Calibri" w:hAnsi="Calibri"/>
          <w:color w:val="111111"/>
          <w:sz w:val="22"/>
        </w:rPr>
        <w:t>Sélectionner le dernier run du canal ou le run demandé.</w:t>
      </w:r>
    </w:p>
    <w:p>
      <w:pPr>
        <w:numPr>
          <w:ilvl w:val="0"/>
          <w:numId w:val="11"/>
        </w:numPr>
        <w:spacing w:before="0" w:after="80" w:line="300" w:lineRule="auto"/>
      </w:pPr>
      <w:r>
        <w:rPr>
          <w:rFonts w:ascii="Calibri" w:hAnsi="Calibri"/>
          <w:color w:val="111111"/>
          <w:sz w:val="22"/>
        </w:rPr>
        <w:t>Calculer KPI financiers sur les résultats pertinents.</w:t>
      </w:r>
    </w:p>
    <w:p>
      <w:pPr>
        <w:numPr>
          <w:ilvl w:val="0"/>
          <w:numId w:val="11"/>
        </w:numPr>
        <w:spacing w:before="0" w:after="80" w:line="300" w:lineRule="auto"/>
      </w:pPr>
      <w:r>
        <w:rPr>
          <w:rFonts w:ascii="Calibri" w:hAnsi="Calibri"/>
          <w:color w:val="111111"/>
          <w:sz w:val="22"/>
        </w:rPr>
        <w:t>Afficher distribution, montants, timeline et top anomalies.</w:t>
      </w:r>
    </w:p>
    <w:p>
      <w:pPr>
        <w:numPr>
          <w:ilvl w:val="0"/>
          <w:numId w:val="11"/>
        </w:numPr>
        <w:spacing w:before="0" w:after="80" w:line="300" w:lineRule="auto"/>
      </w:pPr>
      <w:r>
        <w:rPr>
          <w:rFonts w:ascii="Calibri" w:hAnsi="Calibri"/>
          <w:color w:val="111111"/>
          <w:sz w:val="22"/>
        </w:rPr>
        <w:t>Afficher les indicateurs qualité, dont les opérations opérateur hors périmètre.</w:t>
      </w:r>
    </w:p>
    <w:p>
      <w:pPr>
        <w:spacing w:after="80"/>
      </w:pPr>
      <w:r>
        <w:rPr>
          <w:rFonts w:ascii="Calibri" w:hAnsi="Calibri"/>
          <w:b/>
          <w:color w:val="0B2545"/>
          <w:sz w:val="21"/>
        </w:rPr>
        <w:t>Alternatives et erreurs</w:t>
      </w:r>
    </w:p>
    <w:p>
      <w:pPr>
        <w:numPr>
          <w:ilvl w:val="0"/>
          <w:numId w:val="10"/>
        </w:numPr>
        <w:spacing w:before="0" w:after="80" w:line="300" w:lineRule="auto"/>
      </w:pPr>
      <w:r>
        <w:rPr>
          <w:rFonts w:ascii="Calibri" w:hAnsi="Calibri"/>
          <w:color w:val="111111"/>
          <w:sz w:val="22"/>
        </w:rPr>
        <w:t>Filtres incohérents : HTTP 400.</w:t>
      </w:r>
    </w:p>
    <w:p>
      <w:pPr>
        <w:numPr>
          <w:ilvl w:val="0"/>
          <w:numId w:val="10"/>
        </w:numPr>
        <w:spacing w:before="0" w:after="80" w:line="300" w:lineRule="auto"/>
      </w:pPr>
      <w:r>
        <w:rPr>
          <w:rFonts w:ascii="Calibri" w:hAnsi="Calibri"/>
          <w:color w:val="111111"/>
          <w:sz w:val="22"/>
        </w:rPr>
        <w:t>Aucun run : indicateurs vides ou nuls.</w:t>
      </w:r>
    </w:p>
    <w:p>
      <w:pPr>
        <w:spacing w:before="0" w:after="120" w:line="300" w:lineRule="auto"/>
      </w:pPr>
      <w:r>
        <w:rPr>
          <w:rFonts w:ascii="Calibri" w:hAnsi="Calibri"/>
          <w:b/>
          <w:color w:val="0B2545"/>
          <w:sz w:val="22"/>
        </w:rPr>
        <w:t>Postconditions :</w:t>
      </w:r>
      <w:r>
        <w:rPr>
          <w:rFonts w:ascii="Calibri" w:hAnsi="Calibri"/>
          <w:color w:val="111111"/>
          <w:sz w:val="22"/>
        </w:rPr>
        <w:t xml:space="preserve"> Une vue consolidée et explicable est disponible.</w:t>
      </w:r>
    </w:p>
    <w:p>
      <w:pPr>
        <w:spacing w:before="0" w:after="120" w:line="300" w:lineRule="auto"/>
      </w:pPr>
      <w:r>
        <w:rPr>
          <w:rFonts w:ascii="Calibri" w:hAnsi="Calibri"/>
          <w:b/>
          <w:color w:val="0B2545"/>
          <w:sz w:val="22"/>
        </w:rPr>
        <w:t>API principales :</w:t>
      </w:r>
      <w:r>
        <w:rPr>
          <w:rFonts w:ascii="Calibri" w:hAnsi="Calibri"/>
          <w:color w:val="111111"/>
          <w:sz w:val="22"/>
        </w:rPr>
        <w:t xml:space="preserve"> GET /api/dashboard/reconciliation/*</w:t>
      </w:r>
    </w:p>
    <w:p>
      <w:pPr>
        <w:pStyle w:val="Heading3"/>
      </w:pPr>
      <w:r>
        <w:rPr>
          <w:rFonts w:ascii="Calibri" w:hAnsi="Calibri"/>
          <w:b/>
          <w:color w:val="1F4D78"/>
          <w:sz w:val="24"/>
        </w:rPr>
        <w:t>UC-08 — Produire un reporting</w:t>
      </w:r>
    </w:p>
    <w:p>
      <w:pPr>
        <w:spacing w:before="0" w:after="120" w:line="300" w:lineRule="auto"/>
      </w:pPr>
      <w:r>
        <w:rPr>
          <w:rFonts w:ascii="Calibri" w:hAnsi="Calibri"/>
          <w:b/>
          <w:color w:val="0B2545"/>
          <w:sz w:val="22"/>
        </w:rPr>
        <w:t>Acteur principal :</w:t>
      </w:r>
      <w:r>
        <w:rPr>
          <w:rFonts w:ascii="Calibri" w:hAnsi="Calibri"/>
          <w:color w:val="111111"/>
          <w:sz w:val="22"/>
        </w:rPr>
        <w:t xml:space="preserve"> Superviseur ou contrôle comptable</w:t>
      </w:r>
    </w:p>
    <w:p>
      <w:pPr>
        <w:spacing w:before="0" w:after="120" w:line="300" w:lineRule="auto"/>
      </w:pPr>
      <w:r>
        <w:rPr>
          <w:rFonts w:ascii="Calibri" w:hAnsi="Calibri"/>
          <w:b/>
          <w:color w:val="0B2545"/>
          <w:sz w:val="22"/>
        </w:rPr>
        <w:t>Objectif :</w:t>
      </w:r>
      <w:r>
        <w:rPr>
          <w:rFonts w:ascii="Calibri" w:hAnsi="Calibri"/>
          <w:color w:val="111111"/>
          <w:sz w:val="22"/>
        </w:rPr>
        <w:t xml:space="preserve"> Produire une synthèse périodique partageable.</w:t>
      </w:r>
    </w:p>
    <w:p>
      <w:pPr>
        <w:spacing w:before="0" w:after="120" w:line="300" w:lineRule="auto"/>
      </w:pPr>
      <w:r>
        <w:rPr>
          <w:rFonts w:ascii="Calibri" w:hAnsi="Calibri"/>
          <w:b/>
          <w:color w:val="0B2545"/>
          <w:sz w:val="22"/>
        </w:rPr>
        <w:t>Préconditions :</w:t>
      </w:r>
      <w:r>
        <w:rPr>
          <w:rFonts w:ascii="Calibri" w:hAnsi="Calibri"/>
          <w:color w:val="111111"/>
          <w:sz w:val="22"/>
        </w:rPr>
        <w:t xml:space="preserve"> Canal, type de période et date de référence fournis.</w:t>
      </w:r>
    </w:p>
    <w:p>
      <w:pPr>
        <w:spacing w:before="0" w:after="120" w:line="300" w:lineRule="auto"/>
      </w:pPr>
      <w:r>
        <w:rPr>
          <w:rFonts w:ascii="Calibri" w:hAnsi="Calibri"/>
          <w:b/>
          <w:color w:val="0B2545"/>
          <w:sz w:val="22"/>
        </w:rPr>
        <w:t>Déclencheur :</w:t>
      </w:r>
      <w:r>
        <w:rPr>
          <w:rFonts w:ascii="Calibri" w:hAnsi="Calibri"/>
          <w:color w:val="111111"/>
          <w:sz w:val="22"/>
        </w:rPr>
        <w:t xml:space="preserve"> L’utilisateur demande un rapport.</w:t>
      </w:r>
    </w:p>
    <w:p>
      <w:pPr>
        <w:spacing w:after="80"/>
      </w:pPr>
      <w:r>
        <w:rPr>
          <w:rFonts w:ascii="Calibri" w:hAnsi="Calibri"/>
          <w:b/>
          <w:color w:val="0B2545"/>
          <w:sz w:val="21"/>
        </w:rPr>
        <w:t>Scénario nominal</w:t>
      </w:r>
    </w:p>
    <w:p>
      <w:pPr>
        <w:numPr>
          <w:ilvl w:val="0"/>
          <w:numId w:val="11"/>
        </w:numPr>
        <w:spacing w:before="0" w:after="80" w:line="300" w:lineRule="auto"/>
      </w:pPr>
      <w:r>
        <w:rPr>
          <w:rFonts w:ascii="Calibri" w:hAnsi="Calibri"/>
          <w:color w:val="111111"/>
          <w:sz w:val="22"/>
        </w:rPr>
        <w:t>Résoudre la fenêtre DAY, WEEK ou MONTH.</w:t>
      </w:r>
    </w:p>
    <w:p>
      <w:pPr>
        <w:numPr>
          <w:ilvl w:val="0"/>
          <w:numId w:val="11"/>
        </w:numPr>
        <w:spacing w:before="0" w:after="80" w:line="300" w:lineRule="auto"/>
      </w:pPr>
      <w:r>
        <w:rPr>
          <w:rFonts w:ascii="Calibri" w:hAnsi="Calibri"/>
          <w:color w:val="111111"/>
          <w:sz w:val="22"/>
        </w:rPr>
        <w:t>Enrichir les résultats par les dates transactionnelles.</w:t>
      </w:r>
    </w:p>
    <w:p>
      <w:pPr>
        <w:numPr>
          <w:ilvl w:val="0"/>
          <w:numId w:val="11"/>
        </w:numPr>
        <w:spacing w:before="0" w:after="80" w:line="300" w:lineRule="auto"/>
      </w:pPr>
      <w:r>
        <w:rPr>
          <w:rFonts w:ascii="Calibri" w:hAnsi="Calibri"/>
          <w:color w:val="111111"/>
          <w:sz w:val="22"/>
        </w:rPr>
        <w:t>Calculer KPI, distribution, ventilation journalière et détails.</w:t>
      </w:r>
    </w:p>
    <w:p>
      <w:pPr>
        <w:numPr>
          <w:ilvl w:val="0"/>
          <w:numId w:val="11"/>
        </w:numPr>
        <w:spacing w:before="0" w:after="80" w:line="300" w:lineRule="auto"/>
      </w:pPr>
      <w:r>
        <w:rPr>
          <w:rFonts w:ascii="Calibri" w:hAnsi="Calibri"/>
          <w:color w:val="111111"/>
          <w:sz w:val="22"/>
        </w:rPr>
        <w:t>Générer la réponse JSON, Excel ou PDF.</w:t>
      </w:r>
    </w:p>
    <w:p>
      <w:pPr>
        <w:spacing w:after="80"/>
      </w:pPr>
      <w:r>
        <w:rPr>
          <w:rFonts w:ascii="Calibri" w:hAnsi="Calibri"/>
          <w:b/>
          <w:color w:val="0B2545"/>
          <w:sz w:val="21"/>
        </w:rPr>
        <w:t>Alternatives et erreurs</w:t>
      </w:r>
    </w:p>
    <w:p>
      <w:pPr>
        <w:numPr>
          <w:ilvl w:val="0"/>
          <w:numId w:val="10"/>
        </w:numPr>
        <w:spacing w:before="0" w:after="80" w:line="300" w:lineRule="auto"/>
      </w:pPr>
      <w:r>
        <w:rPr>
          <w:rFonts w:ascii="Calibri" w:hAnsi="Calibri"/>
          <w:color w:val="111111"/>
          <w:sz w:val="22"/>
        </w:rPr>
        <w:t>Période sans résultat : rapport vide avec KPI à zéro.</w:t>
      </w:r>
    </w:p>
    <w:p>
      <w:pPr>
        <w:numPr>
          <w:ilvl w:val="0"/>
          <w:numId w:val="10"/>
        </w:numPr>
        <w:spacing w:before="0" w:after="80" w:line="300" w:lineRule="auto"/>
      </w:pPr>
      <w:r>
        <w:rPr>
          <w:rFonts w:ascii="Calibri" w:hAnsi="Calibri"/>
          <w:color w:val="111111"/>
          <w:sz w:val="22"/>
        </w:rPr>
        <w:t>Erreur de génération : exception applicative.</w:t>
      </w:r>
    </w:p>
    <w:p>
      <w:pPr>
        <w:spacing w:before="0" w:after="120" w:line="300" w:lineRule="auto"/>
      </w:pPr>
      <w:r>
        <w:rPr>
          <w:rFonts w:ascii="Calibri" w:hAnsi="Calibri"/>
          <w:b/>
          <w:color w:val="0B2545"/>
          <w:sz w:val="22"/>
        </w:rPr>
        <w:t>Postconditions :</w:t>
      </w:r>
      <w:r>
        <w:rPr>
          <w:rFonts w:ascii="Calibri" w:hAnsi="Calibri"/>
          <w:color w:val="111111"/>
          <w:sz w:val="22"/>
        </w:rPr>
        <w:t xml:space="preserve"> Le rapport est consultable ou téléchargé.</w:t>
      </w:r>
    </w:p>
    <w:p>
      <w:pPr>
        <w:spacing w:before="0" w:after="120" w:line="300" w:lineRule="auto"/>
      </w:pPr>
      <w:r>
        <w:rPr>
          <w:rFonts w:ascii="Calibri" w:hAnsi="Calibri"/>
          <w:b/>
          <w:color w:val="0B2545"/>
          <w:sz w:val="22"/>
        </w:rPr>
        <w:t>API principales :</w:t>
      </w:r>
      <w:r>
        <w:rPr>
          <w:rFonts w:ascii="Calibri" w:hAnsi="Calibri"/>
          <w:color w:val="111111"/>
          <w:sz w:val="22"/>
        </w:rPr>
        <w:t xml:space="preserve"> GET /api/dashboard/reconciliation/reporting/summary et /export/{excel|pdf}</w:t>
      </w:r>
    </w:p>
    <w:p>
      <w:pPr>
        <w:pStyle w:val="Heading3"/>
      </w:pPr>
      <w:r>
        <w:rPr>
          <w:rFonts w:ascii="Calibri" w:hAnsi="Calibri"/>
          <w:b/>
          <w:color w:val="1F4D78"/>
          <w:sz w:val="24"/>
        </w:rPr>
        <w:t>UC-09 — Contrôler AMPLITUDE</w:t>
      </w:r>
    </w:p>
    <w:p>
      <w:pPr>
        <w:spacing w:before="0" w:after="120" w:line="300" w:lineRule="auto"/>
      </w:pPr>
      <w:r>
        <w:rPr>
          <w:rFonts w:ascii="Calibri" w:hAnsi="Calibri"/>
          <w:b/>
          <w:color w:val="0B2545"/>
          <w:sz w:val="22"/>
        </w:rPr>
        <w:t>Acteur principal :</w:t>
      </w:r>
      <w:r>
        <w:rPr>
          <w:rFonts w:ascii="Calibri" w:hAnsi="Calibri"/>
          <w:color w:val="111111"/>
          <w:sz w:val="22"/>
        </w:rPr>
        <w:t xml:space="preserve"> Contrôle comptable</w:t>
      </w:r>
    </w:p>
    <w:p>
      <w:pPr>
        <w:spacing w:before="0" w:after="120" w:line="300" w:lineRule="auto"/>
      </w:pPr>
      <w:r>
        <w:rPr>
          <w:rFonts w:ascii="Calibri" w:hAnsi="Calibri"/>
          <w:b/>
          <w:color w:val="0B2545"/>
          <w:sz w:val="22"/>
        </w:rPr>
        <w:t>Objectif :</w:t>
      </w:r>
      <w:r>
        <w:rPr>
          <w:rFonts w:ascii="Calibri" w:hAnsi="Calibri"/>
          <w:color w:val="111111"/>
          <w:sz w:val="22"/>
        </w:rPr>
        <w:t xml:space="preserve"> Vérifier que les opérations Banque attendues sont comptabilisées.</w:t>
      </w:r>
    </w:p>
    <w:p>
      <w:pPr>
        <w:spacing w:before="0" w:after="120" w:line="300" w:lineRule="auto"/>
      </w:pPr>
      <w:r>
        <w:rPr>
          <w:rFonts w:ascii="Calibri" w:hAnsi="Calibri"/>
          <w:b/>
          <w:color w:val="0B2545"/>
          <w:sz w:val="22"/>
        </w:rPr>
        <w:t>Préconditions :</w:t>
      </w:r>
      <w:r>
        <w:rPr>
          <w:rFonts w:ascii="Calibri" w:hAnsi="Calibri"/>
          <w:color w:val="111111"/>
          <w:sz w:val="22"/>
        </w:rPr>
        <w:t xml:space="preserve"> Transactions Banque en succès et écritures AMPLITUDE importées.</w:t>
      </w:r>
    </w:p>
    <w:p>
      <w:pPr>
        <w:spacing w:before="0" w:after="120" w:line="300" w:lineRule="auto"/>
      </w:pPr>
      <w:r>
        <w:rPr>
          <w:rFonts w:ascii="Calibri" w:hAnsi="Calibri"/>
          <w:b/>
          <w:color w:val="0B2545"/>
          <w:sz w:val="22"/>
        </w:rPr>
        <w:t>Déclencheur :</w:t>
      </w:r>
      <w:r>
        <w:rPr>
          <w:rFonts w:ascii="Calibri" w:hAnsi="Calibri"/>
          <w:color w:val="111111"/>
          <w:sz w:val="22"/>
        </w:rPr>
        <w:t xml:space="preserve"> Le comptable demande le contrôle d’une période.</w:t>
      </w:r>
    </w:p>
    <w:p>
      <w:pPr>
        <w:spacing w:after="80"/>
      </w:pPr>
      <w:r>
        <w:rPr>
          <w:rFonts w:ascii="Calibri" w:hAnsi="Calibri"/>
          <w:b/>
          <w:color w:val="0B2545"/>
          <w:sz w:val="21"/>
        </w:rPr>
        <w:t>Scénario nominal</w:t>
      </w:r>
    </w:p>
    <w:p>
      <w:pPr>
        <w:numPr>
          <w:ilvl w:val="0"/>
          <w:numId w:val="11"/>
        </w:numPr>
        <w:spacing w:before="0" w:after="80" w:line="300" w:lineRule="auto"/>
      </w:pPr>
      <w:r>
        <w:rPr>
          <w:rFonts w:ascii="Calibri" w:hAnsi="Calibri"/>
          <w:color w:val="111111"/>
          <w:sz w:val="22"/>
        </w:rPr>
        <w:t>Sélectionner les opérations Banque candidates.</w:t>
      </w:r>
    </w:p>
    <w:p>
      <w:pPr>
        <w:numPr>
          <w:ilvl w:val="0"/>
          <w:numId w:val="11"/>
        </w:numPr>
        <w:spacing w:before="0" w:after="80" w:line="300" w:lineRule="auto"/>
      </w:pPr>
      <w:r>
        <w:rPr>
          <w:rFonts w:ascii="Calibri" w:hAnsi="Calibri"/>
          <w:color w:val="111111"/>
          <w:sz w:val="22"/>
        </w:rPr>
        <w:t>Rechercher d’abord la référence AMPLITUDE.</w:t>
      </w:r>
    </w:p>
    <w:p>
      <w:pPr>
        <w:numPr>
          <w:ilvl w:val="0"/>
          <w:numId w:val="11"/>
        </w:numPr>
        <w:spacing w:before="0" w:after="80" w:line="300" w:lineRule="auto"/>
      </w:pPr>
      <w:r>
        <w:rPr>
          <w:rFonts w:ascii="Calibri" w:hAnsi="Calibri"/>
          <w:color w:val="111111"/>
          <w:sz w:val="22"/>
        </w:rPr>
        <w:t>Appliquer le fallback date ±1 jour, montant et compte.</w:t>
      </w:r>
    </w:p>
    <w:p>
      <w:pPr>
        <w:numPr>
          <w:ilvl w:val="0"/>
          <w:numId w:val="11"/>
        </w:numPr>
        <w:spacing w:before="0" w:after="80" w:line="300" w:lineRule="auto"/>
      </w:pPr>
      <w:r>
        <w:rPr>
          <w:rFonts w:ascii="Calibri" w:hAnsi="Calibri"/>
          <w:color w:val="111111"/>
          <w:sz w:val="22"/>
        </w:rPr>
        <w:t>Classer COMPTABILISE ou NON_COMPTABILISE.</w:t>
      </w:r>
    </w:p>
    <w:p>
      <w:pPr>
        <w:numPr>
          <w:ilvl w:val="0"/>
          <w:numId w:val="11"/>
        </w:numPr>
        <w:spacing w:before="0" w:after="80" w:line="300" w:lineRule="auto"/>
      </w:pPr>
      <w:r>
        <w:rPr>
          <w:rFonts w:ascii="Calibri" w:hAnsi="Calibri"/>
          <w:color w:val="111111"/>
          <w:sz w:val="22"/>
        </w:rPr>
        <w:t>Calculer le risque et les écarts.</w:t>
      </w:r>
    </w:p>
    <w:p>
      <w:pPr>
        <w:spacing w:after="80"/>
      </w:pPr>
      <w:r>
        <w:rPr>
          <w:rFonts w:ascii="Calibri" w:hAnsi="Calibri"/>
          <w:b/>
          <w:color w:val="0B2545"/>
          <w:sz w:val="21"/>
        </w:rPr>
        <w:t>Alternatives et erreurs</w:t>
      </w:r>
    </w:p>
    <w:p>
      <w:pPr>
        <w:numPr>
          <w:ilvl w:val="0"/>
          <w:numId w:val="10"/>
        </w:numPr>
        <w:spacing w:before="0" w:after="80" w:line="300" w:lineRule="auto"/>
      </w:pPr>
      <w:r>
        <w:rPr>
          <w:rFonts w:ascii="Calibri" w:hAnsi="Calibri"/>
          <w:color w:val="111111"/>
          <w:sz w:val="22"/>
        </w:rPr>
        <w:t>Paiement généré absent d’AMPLITUDE : exclu du périmètre.</w:t>
      </w:r>
    </w:p>
    <w:p>
      <w:pPr>
        <w:numPr>
          <w:ilvl w:val="0"/>
          <w:numId w:val="10"/>
        </w:numPr>
        <w:spacing w:before="0" w:after="80" w:line="300" w:lineRule="auto"/>
      </w:pPr>
      <w:r>
        <w:rPr>
          <w:rFonts w:ascii="Calibri" w:hAnsi="Calibri"/>
          <w:color w:val="111111"/>
          <w:sz w:val="22"/>
        </w:rPr>
        <w:t>Référence absente : utiliser uniquement le fallback.</w:t>
      </w:r>
    </w:p>
    <w:p>
      <w:pPr>
        <w:spacing w:before="0" w:after="120" w:line="300" w:lineRule="auto"/>
      </w:pPr>
      <w:r>
        <w:rPr>
          <w:rFonts w:ascii="Calibri" w:hAnsi="Calibri"/>
          <w:b/>
          <w:color w:val="0B2545"/>
          <w:sz w:val="22"/>
        </w:rPr>
        <w:t>Postconditions :</w:t>
      </w:r>
      <w:r>
        <w:rPr>
          <w:rFonts w:ascii="Calibri" w:hAnsi="Calibri"/>
          <w:color w:val="111111"/>
          <w:sz w:val="22"/>
        </w:rPr>
        <w:t xml:space="preserve"> Les lignes et KPI comptables sont disponibles.</w:t>
      </w:r>
    </w:p>
    <w:p>
      <w:pPr>
        <w:spacing w:before="0" w:after="120" w:line="300" w:lineRule="auto"/>
      </w:pPr>
      <w:r>
        <w:rPr>
          <w:rFonts w:ascii="Calibri" w:hAnsi="Calibri"/>
          <w:b/>
          <w:color w:val="0B2545"/>
          <w:sz w:val="22"/>
        </w:rPr>
        <w:t>API principales :</w:t>
      </w:r>
      <w:r>
        <w:rPr>
          <w:rFonts w:ascii="Calibri" w:hAnsi="Calibri"/>
          <w:color w:val="111111"/>
          <w:sz w:val="22"/>
        </w:rPr>
        <w:t xml:space="preserve"> GET /api/accounting/check ; GET /api/accounting/kpi</w:t>
      </w:r>
    </w:p>
    <w:p>
      <w:pPr>
        <w:pStyle w:val="Heading3"/>
      </w:pPr>
      <w:r>
        <w:rPr>
          <w:rFonts w:ascii="Calibri" w:hAnsi="Calibri"/>
          <w:b/>
          <w:color w:val="1F4D78"/>
          <w:sz w:val="24"/>
        </w:rPr>
        <w:t>UC-10 — Analyser la compensation</w:t>
      </w:r>
    </w:p>
    <w:p>
      <w:pPr>
        <w:spacing w:before="0" w:after="120" w:line="300" w:lineRule="auto"/>
      </w:pPr>
      <w:r>
        <w:rPr>
          <w:rFonts w:ascii="Calibri" w:hAnsi="Calibri"/>
          <w:b/>
          <w:color w:val="0B2545"/>
          <w:sz w:val="22"/>
        </w:rPr>
        <w:t>Acteur principal :</w:t>
      </w:r>
      <w:r>
        <w:rPr>
          <w:rFonts w:ascii="Calibri" w:hAnsi="Calibri"/>
          <w:color w:val="111111"/>
          <w:sz w:val="22"/>
        </w:rPr>
        <w:t xml:space="preserve"> Responsable compensation</w:t>
      </w:r>
    </w:p>
    <w:p>
      <w:pPr>
        <w:spacing w:before="0" w:after="120" w:line="300" w:lineRule="auto"/>
      </w:pPr>
      <w:r>
        <w:rPr>
          <w:rFonts w:ascii="Calibri" w:hAnsi="Calibri"/>
          <w:b/>
          <w:color w:val="0B2545"/>
          <w:sz w:val="22"/>
        </w:rPr>
        <w:t>Objectif :</w:t>
      </w:r>
      <w:r>
        <w:rPr>
          <w:rFonts w:ascii="Calibri" w:hAnsi="Calibri"/>
          <w:color w:val="111111"/>
          <w:sz w:val="22"/>
        </w:rPr>
        <w:t xml:space="preserve"> Comparer les positions de succès Banque et opérateur.</w:t>
      </w:r>
    </w:p>
    <w:p>
      <w:pPr>
        <w:spacing w:before="0" w:after="120" w:line="300" w:lineRule="auto"/>
      </w:pPr>
      <w:r>
        <w:rPr>
          <w:rFonts w:ascii="Calibri" w:hAnsi="Calibri"/>
          <w:b/>
          <w:color w:val="0B2545"/>
          <w:sz w:val="22"/>
        </w:rPr>
        <w:t>Préconditions :</w:t>
      </w:r>
      <w:r>
        <w:rPr>
          <w:rFonts w:ascii="Calibri" w:hAnsi="Calibri"/>
          <w:color w:val="111111"/>
          <w:sz w:val="22"/>
        </w:rPr>
        <w:t xml:space="preserve"> Transactions normalisées présentes sur la période.</w:t>
      </w:r>
    </w:p>
    <w:p>
      <w:pPr>
        <w:spacing w:before="0" w:after="120" w:line="300" w:lineRule="auto"/>
      </w:pPr>
      <w:r>
        <w:rPr>
          <w:rFonts w:ascii="Calibri" w:hAnsi="Calibri"/>
          <w:b/>
          <w:color w:val="0B2545"/>
          <w:sz w:val="22"/>
        </w:rPr>
        <w:t>Déclencheur :</w:t>
      </w:r>
      <w:r>
        <w:rPr>
          <w:rFonts w:ascii="Calibri" w:hAnsi="Calibri"/>
          <w:color w:val="111111"/>
          <w:sz w:val="22"/>
        </w:rPr>
        <w:t xml:space="preserve"> L’utilisateur choisit jour, semaine ou mois.</w:t>
      </w:r>
    </w:p>
    <w:p>
      <w:pPr>
        <w:spacing w:after="80"/>
      </w:pPr>
      <w:r>
        <w:rPr>
          <w:rFonts w:ascii="Calibri" w:hAnsi="Calibri"/>
          <w:b/>
          <w:color w:val="0B2545"/>
          <w:sz w:val="21"/>
        </w:rPr>
        <w:t>Scénario nominal</w:t>
      </w:r>
    </w:p>
    <w:p>
      <w:pPr>
        <w:numPr>
          <w:ilvl w:val="0"/>
          <w:numId w:val="11"/>
        </w:numPr>
        <w:spacing w:before="0" w:after="80" w:line="300" w:lineRule="auto"/>
      </w:pPr>
      <w:r>
        <w:rPr>
          <w:rFonts w:ascii="Calibri" w:hAnsi="Calibri"/>
          <w:color w:val="111111"/>
          <w:sz w:val="22"/>
        </w:rPr>
        <w:t>Agréger volumes et montants de succès par canal.</w:t>
      </w:r>
    </w:p>
    <w:p>
      <w:pPr>
        <w:numPr>
          <w:ilvl w:val="0"/>
          <w:numId w:val="11"/>
        </w:numPr>
        <w:spacing w:before="0" w:after="80" w:line="300" w:lineRule="auto"/>
      </w:pPr>
      <w:r>
        <w:rPr>
          <w:rFonts w:ascii="Calibri" w:hAnsi="Calibri"/>
          <w:color w:val="111111"/>
          <w:sz w:val="22"/>
        </w:rPr>
        <w:t>Calculer Banque moins opérateur.</w:t>
      </w:r>
    </w:p>
    <w:p>
      <w:pPr>
        <w:numPr>
          <w:ilvl w:val="0"/>
          <w:numId w:val="11"/>
        </w:numPr>
        <w:spacing w:before="0" w:after="80" w:line="300" w:lineRule="auto"/>
      </w:pPr>
      <w:r>
        <w:rPr>
          <w:rFonts w:ascii="Calibri" w:hAnsi="Calibri"/>
          <w:color w:val="111111"/>
          <w:sz w:val="22"/>
        </w:rPr>
        <w:t>Retourner OK_COMPENSATION si l’écart est nul, sinon A_VERIFIER.</w:t>
      </w:r>
    </w:p>
    <w:p>
      <w:pPr>
        <w:numPr>
          <w:ilvl w:val="0"/>
          <w:numId w:val="11"/>
        </w:numPr>
        <w:spacing w:before="0" w:after="80" w:line="300" w:lineRule="auto"/>
      </w:pPr>
      <w:r>
        <w:rPr>
          <w:rFonts w:ascii="Calibri" w:hAnsi="Calibri"/>
          <w:color w:val="111111"/>
          <w:sz w:val="22"/>
        </w:rPr>
        <w:t>Permettre la consultation des écarts détaillés.</w:t>
      </w:r>
    </w:p>
    <w:p>
      <w:pPr>
        <w:spacing w:after="80"/>
      </w:pPr>
      <w:r>
        <w:rPr>
          <w:rFonts w:ascii="Calibri" w:hAnsi="Calibri"/>
          <w:b/>
          <w:color w:val="0B2545"/>
          <w:sz w:val="21"/>
        </w:rPr>
        <w:t>Alternatives et erreurs</w:t>
      </w:r>
    </w:p>
    <w:p>
      <w:pPr>
        <w:numPr>
          <w:ilvl w:val="0"/>
          <w:numId w:val="10"/>
        </w:numPr>
        <w:spacing w:before="0" w:after="80" w:line="300" w:lineRule="auto"/>
      </w:pPr>
      <w:r>
        <w:rPr>
          <w:rFonts w:ascii="Calibri" w:hAnsi="Calibri"/>
          <w:color w:val="111111"/>
          <w:sz w:val="22"/>
        </w:rPr>
        <w:t>Aucune opération : montants nuls.</w:t>
      </w:r>
    </w:p>
    <w:p>
      <w:pPr>
        <w:numPr>
          <w:ilvl w:val="0"/>
          <w:numId w:val="10"/>
        </w:numPr>
        <w:spacing w:before="0" w:after="80" w:line="300" w:lineRule="auto"/>
      </w:pPr>
      <w:r>
        <w:rPr>
          <w:rFonts w:ascii="Calibri" w:hAnsi="Calibri"/>
          <w:color w:val="111111"/>
          <w:sz w:val="22"/>
        </w:rPr>
        <w:t>Plusieurs canaux sans filtre journalier : une ligne par canal et date.</w:t>
      </w:r>
    </w:p>
    <w:p>
      <w:pPr>
        <w:spacing w:before="0" w:after="120" w:line="300" w:lineRule="auto"/>
      </w:pPr>
      <w:r>
        <w:rPr>
          <w:rFonts w:ascii="Calibri" w:hAnsi="Calibri"/>
          <w:b/>
          <w:color w:val="0B2545"/>
          <w:sz w:val="22"/>
        </w:rPr>
        <w:t>Postconditions :</w:t>
      </w:r>
      <w:r>
        <w:rPr>
          <w:rFonts w:ascii="Calibri" w:hAnsi="Calibri"/>
          <w:color w:val="111111"/>
          <w:sz w:val="22"/>
        </w:rPr>
        <w:t xml:space="preserve"> La position financière et la décision sont disponibles.</w:t>
      </w:r>
    </w:p>
    <w:p>
      <w:pPr>
        <w:spacing w:before="0" w:after="120" w:line="300" w:lineRule="auto"/>
      </w:pPr>
      <w:r>
        <w:rPr>
          <w:rFonts w:ascii="Calibri" w:hAnsi="Calibri"/>
          <w:b/>
          <w:color w:val="0B2545"/>
          <w:sz w:val="22"/>
        </w:rPr>
        <w:t>API principales :</w:t>
      </w:r>
      <w:r>
        <w:rPr>
          <w:rFonts w:ascii="Calibri" w:hAnsi="Calibri"/>
          <w:color w:val="111111"/>
          <w:sz w:val="22"/>
        </w:rPr>
        <w:t xml:space="preserve"> GET /api/compensations/daily|weekly|monthly|discrepancies</w:t>
      </w:r>
    </w:p>
    <w:p>
      <w:pPr>
        <w:pStyle w:val="Heading3"/>
      </w:pPr>
      <w:r>
        <w:rPr>
          <w:rFonts w:ascii="Calibri" w:hAnsi="Calibri"/>
          <w:b/>
          <w:color w:val="1F4D78"/>
          <w:sz w:val="24"/>
        </w:rPr>
        <w:t>UC-11 — Exécuter la rétention</w:t>
      </w:r>
    </w:p>
    <w:p>
      <w:pPr>
        <w:spacing w:before="0" w:after="120" w:line="300" w:lineRule="auto"/>
      </w:pPr>
      <w:r>
        <w:rPr>
          <w:rFonts w:ascii="Calibri" w:hAnsi="Calibri"/>
          <w:b/>
          <w:color w:val="0B2545"/>
          <w:sz w:val="22"/>
        </w:rPr>
        <w:t>Acteur principal :</w:t>
      </w:r>
      <w:r>
        <w:rPr>
          <w:rFonts w:ascii="Calibri" w:hAnsi="Calibri"/>
          <w:color w:val="111111"/>
          <w:sz w:val="22"/>
        </w:rPr>
        <w:t xml:space="preserve"> Exploitant</w:t>
      </w:r>
    </w:p>
    <w:p>
      <w:pPr>
        <w:spacing w:before="0" w:after="120" w:line="300" w:lineRule="auto"/>
      </w:pPr>
      <w:r>
        <w:rPr>
          <w:rFonts w:ascii="Calibri" w:hAnsi="Calibri"/>
          <w:b/>
          <w:color w:val="0B2545"/>
          <w:sz w:val="22"/>
        </w:rPr>
        <w:t>Objectif :</w:t>
      </w:r>
      <w:r>
        <w:rPr>
          <w:rFonts w:ascii="Calibri" w:hAnsi="Calibri"/>
          <w:color w:val="111111"/>
          <w:sz w:val="22"/>
        </w:rPr>
        <w:t xml:space="preserve"> Maîtriser le volume et la durée de conservation des réconciliations.</w:t>
      </w:r>
    </w:p>
    <w:p>
      <w:pPr>
        <w:spacing w:before="0" w:after="120" w:line="300" w:lineRule="auto"/>
      </w:pPr>
      <w:r>
        <w:rPr>
          <w:rFonts w:ascii="Calibri" w:hAnsi="Calibri"/>
          <w:b/>
          <w:color w:val="0B2545"/>
          <w:sz w:val="22"/>
        </w:rPr>
        <w:t>Préconditions :</w:t>
      </w:r>
      <w:r>
        <w:rPr>
          <w:rFonts w:ascii="Calibri" w:hAnsi="Calibri"/>
          <w:color w:val="111111"/>
          <w:sz w:val="22"/>
        </w:rPr>
        <w:t xml:space="preserve"> Tables d’archives disponibles ; politique de conservation validée.</w:t>
      </w:r>
    </w:p>
    <w:p>
      <w:pPr>
        <w:spacing w:before="0" w:after="120" w:line="300" w:lineRule="auto"/>
      </w:pPr>
      <w:r>
        <w:rPr>
          <w:rFonts w:ascii="Calibri" w:hAnsi="Calibri"/>
          <w:b/>
          <w:color w:val="0B2545"/>
          <w:sz w:val="22"/>
        </w:rPr>
        <w:t>Déclencheur :</w:t>
      </w:r>
      <w:r>
        <w:rPr>
          <w:rFonts w:ascii="Calibri" w:hAnsi="Calibri"/>
          <w:color w:val="111111"/>
          <w:sz w:val="22"/>
        </w:rPr>
        <w:t xml:space="preserve"> Planification cron ou appel manuel.</w:t>
      </w:r>
    </w:p>
    <w:p>
      <w:pPr>
        <w:spacing w:after="80"/>
      </w:pPr>
      <w:r>
        <w:rPr>
          <w:rFonts w:ascii="Calibri" w:hAnsi="Calibri"/>
          <w:b/>
          <w:color w:val="0B2545"/>
          <w:sz w:val="21"/>
        </w:rPr>
        <w:t>Scénario nominal</w:t>
      </w:r>
    </w:p>
    <w:p>
      <w:pPr>
        <w:numPr>
          <w:ilvl w:val="0"/>
          <w:numId w:val="11"/>
        </w:numPr>
        <w:spacing w:before="0" w:after="80" w:line="300" w:lineRule="auto"/>
      </w:pPr>
      <w:r>
        <w:rPr>
          <w:rFonts w:ascii="Calibri" w:hAnsi="Calibri"/>
          <w:color w:val="111111"/>
          <w:sz w:val="22"/>
        </w:rPr>
        <w:t>Calculer la date limite.</w:t>
      </w:r>
    </w:p>
    <w:p>
      <w:pPr>
        <w:numPr>
          <w:ilvl w:val="0"/>
          <w:numId w:val="11"/>
        </w:numPr>
        <w:spacing w:before="0" w:after="80" w:line="300" w:lineRule="auto"/>
      </w:pPr>
      <w:r>
        <w:rPr>
          <w:rFonts w:ascii="Calibri" w:hAnsi="Calibri"/>
          <w:color w:val="111111"/>
          <w:sz w:val="22"/>
        </w:rPr>
        <w:t>Archiver les résultats puis les supprimer par lots.</w:t>
      </w:r>
    </w:p>
    <w:p>
      <w:pPr>
        <w:numPr>
          <w:ilvl w:val="0"/>
          <w:numId w:val="11"/>
        </w:numPr>
        <w:spacing w:before="0" w:after="80" w:line="300" w:lineRule="auto"/>
      </w:pPr>
      <w:r>
        <w:rPr>
          <w:rFonts w:ascii="Calibri" w:hAnsi="Calibri"/>
          <w:color w:val="111111"/>
          <w:sz w:val="22"/>
        </w:rPr>
        <w:t>Archiver les runs devenus orphelins puis les supprimer.</w:t>
      </w:r>
    </w:p>
    <w:p>
      <w:pPr>
        <w:numPr>
          <w:ilvl w:val="0"/>
          <w:numId w:val="11"/>
        </w:numPr>
        <w:spacing w:before="0" w:after="80" w:line="300" w:lineRule="auto"/>
      </w:pPr>
      <w:r>
        <w:rPr>
          <w:rFonts w:ascii="Calibri" w:hAnsi="Calibri"/>
          <w:color w:val="111111"/>
          <w:sz w:val="22"/>
        </w:rPr>
        <w:t>Retourner les compteurs archivés et purgés.</w:t>
      </w:r>
    </w:p>
    <w:p>
      <w:pPr>
        <w:spacing w:after="80"/>
      </w:pPr>
      <w:r>
        <w:rPr>
          <w:rFonts w:ascii="Calibri" w:hAnsi="Calibri"/>
          <w:b/>
          <w:color w:val="0B2545"/>
          <w:sz w:val="21"/>
        </w:rPr>
        <w:t>Alternatives et erreurs</w:t>
      </w:r>
    </w:p>
    <w:p>
      <w:pPr>
        <w:numPr>
          <w:ilvl w:val="0"/>
          <w:numId w:val="10"/>
        </w:numPr>
        <w:spacing w:before="0" w:after="80" w:line="300" w:lineRule="auto"/>
      </w:pPr>
      <w:r>
        <w:rPr>
          <w:rFonts w:ascii="Calibri" w:hAnsi="Calibri"/>
          <w:color w:val="111111"/>
          <w:sz w:val="22"/>
        </w:rPr>
        <w:t>Mode PURGE_ONLY : supprimer sans archive.</w:t>
      </w:r>
    </w:p>
    <w:p>
      <w:pPr>
        <w:numPr>
          <w:ilvl w:val="0"/>
          <w:numId w:val="10"/>
        </w:numPr>
        <w:spacing w:before="0" w:after="80" w:line="300" w:lineRule="auto"/>
      </w:pPr>
      <w:r>
        <w:rPr>
          <w:rFonts w:ascii="Calibri" w:hAnsi="Calibri"/>
          <w:color w:val="111111"/>
          <w:sz w:val="22"/>
        </w:rPr>
        <w:t>Rétention désactivée : le cron ne traite rien.</w:t>
      </w:r>
    </w:p>
    <w:p>
      <w:pPr>
        <w:spacing w:before="0" w:after="120" w:line="300" w:lineRule="auto"/>
      </w:pPr>
      <w:r>
        <w:rPr>
          <w:rFonts w:ascii="Calibri" w:hAnsi="Calibri"/>
          <w:b/>
          <w:color w:val="0B2545"/>
          <w:sz w:val="22"/>
        </w:rPr>
        <w:t>Postconditions :</w:t>
      </w:r>
      <w:r>
        <w:rPr>
          <w:rFonts w:ascii="Calibri" w:hAnsi="Calibri"/>
          <w:color w:val="111111"/>
          <w:sz w:val="22"/>
        </w:rPr>
        <w:t xml:space="preserve"> Les données anciennes sont archivées ou purgées selon la politique.</w:t>
      </w:r>
    </w:p>
    <w:p>
      <w:pPr>
        <w:spacing w:before="0" w:after="120" w:line="300" w:lineRule="auto"/>
      </w:pPr>
      <w:r>
        <w:rPr>
          <w:rFonts w:ascii="Calibri" w:hAnsi="Calibri"/>
          <w:b/>
          <w:color w:val="0B2545"/>
          <w:sz w:val="22"/>
        </w:rPr>
        <w:t>API principales :</w:t>
      </w:r>
      <w:r>
        <w:rPr>
          <w:rFonts w:ascii="Calibri" w:hAnsi="Calibri"/>
          <w:color w:val="111111"/>
          <w:sz w:val="22"/>
        </w:rPr>
        <w:t xml:space="preserve"> POST /api/reconciliations/retention/run</w:t>
      </w:r>
    </w:p>
    <w:p>
      <w:pPr>
        <w:pStyle w:val="Heading3"/>
      </w:pPr>
      <w:r>
        <w:rPr>
          <w:rFonts w:ascii="Calibri" w:hAnsi="Calibri"/>
          <w:b/>
          <w:color w:val="1F4D78"/>
          <w:sz w:val="24"/>
        </w:rPr>
        <w:t>UC-12 — Administrer les accès</w:t>
      </w:r>
    </w:p>
    <w:p>
      <w:pPr>
        <w:spacing w:before="0" w:after="120" w:line="300" w:lineRule="auto"/>
      </w:pPr>
      <w:r>
        <w:rPr>
          <w:rFonts w:ascii="Calibri" w:hAnsi="Calibri"/>
          <w:b/>
          <w:color w:val="0B2545"/>
          <w:sz w:val="22"/>
        </w:rPr>
        <w:t>Acteur principal :</w:t>
      </w:r>
      <w:r>
        <w:rPr>
          <w:rFonts w:ascii="Calibri" w:hAnsi="Calibri"/>
          <w:color w:val="111111"/>
          <w:sz w:val="22"/>
        </w:rPr>
        <w:t xml:space="preserve"> Administrateur</w:t>
      </w:r>
    </w:p>
    <w:p>
      <w:pPr>
        <w:spacing w:before="0" w:after="120" w:line="300" w:lineRule="auto"/>
      </w:pPr>
      <w:r>
        <w:rPr>
          <w:rFonts w:ascii="Calibri" w:hAnsi="Calibri"/>
          <w:b/>
          <w:color w:val="0B2545"/>
          <w:sz w:val="22"/>
        </w:rPr>
        <w:t>Objectif :</w:t>
      </w:r>
      <w:r>
        <w:rPr>
          <w:rFonts w:ascii="Calibri" w:hAnsi="Calibri"/>
          <w:color w:val="111111"/>
          <w:sz w:val="22"/>
        </w:rPr>
        <w:t xml:space="preserve"> Gérer les identités, profils et autorités d’accès.</w:t>
      </w:r>
    </w:p>
    <w:p>
      <w:pPr>
        <w:spacing w:before="0" w:after="120" w:line="300" w:lineRule="auto"/>
      </w:pPr>
      <w:r>
        <w:rPr>
          <w:rFonts w:ascii="Calibri" w:hAnsi="Calibri"/>
          <w:b/>
          <w:color w:val="0B2545"/>
          <w:sz w:val="22"/>
        </w:rPr>
        <w:t>Préconditions :</w:t>
      </w:r>
      <w:r>
        <w:rPr>
          <w:rFonts w:ascii="Calibri" w:hAnsi="Calibri"/>
          <w:color w:val="111111"/>
          <w:sz w:val="22"/>
        </w:rPr>
        <w:t xml:space="preserve"> Administrateur authentifié et habilité.</w:t>
      </w:r>
    </w:p>
    <w:p>
      <w:pPr>
        <w:spacing w:before="0" w:after="120" w:line="300" w:lineRule="auto"/>
      </w:pPr>
      <w:r>
        <w:rPr>
          <w:rFonts w:ascii="Calibri" w:hAnsi="Calibri"/>
          <w:b/>
          <w:color w:val="0B2545"/>
          <w:sz w:val="22"/>
        </w:rPr>
        <w:t>Déclencheur :</w:t>
      </w:r>
      <w:r>
        <w:rPr>
          <w:rFonts w:ascii="Calibri" w:hAnsi="Calibri"/>
          <w:color w:val="111111"/>
          <w:sz w:val="22"/>
        </w:rPr>
        <w:t xml:space="preserve"> Création, modification, activation ou suppression d’un compte.</w:t>
      </w:r>
    </w:p>
    <w:p>
      <w:pPr>
        <w:spacing w:after="80"/>
      </w:pPr>
      <w:r>
        <w:rPr>
          <w:rFonts w:ascii="Calibri" w:hAnsi="Calibri"/>
          <w:b/>
          <w:color w:val="0B2545"/>
          <w:sz w:val="21"/>
        </w:rPr>
        <w:t>Scénario nominal</w:t>
      </w:r>
    </w:p>
    <w:p>
      <w:pPr>
        <w:numPr>
          <w:ilvl w:val="0"/>
          <w:numId w:val="11"/>
        </w:numPr>
        <w:spacing w:before="0" w:after="80" w:line="300" w:lineRule="auto"/>
      </w:pPr>
      <w:r>
        <w:rPr>
          <w:rFonts w:ascii="Calibri" w:hAnsi="Calibri"/>
          <w:color w:val="111111"/>
          <w:sz w:val="22"/>
        </w:rPr>
        <w:t>Créer ou modifier l’utilisateur.</w:t>
      </w:r>
    </w:p>
    <w:p>
      <w:pPr>
        <w:numPr>
          <w:ilvl w:val="0"/>
          <w:numId w:val="11"/>
        </w:numPr>
        <w:spacing w:before="0" w:after="80" w:line="300" w:lineRule="auto"/>
      </w:pPr>
      <w:r>
        <w:rPr>
          <w:rFonts w:ascii="Calibri" w:hAnsi="Calibri"/>
          <w:color w:val="111111"/>
          <w:sz w:val="22"/>
        </w:rPr>
        <w:t>Affecter un profil et ses rôles.</w:t>
      </w:r>
    </w:p>
    <w:p>
      <w:pPr>
        <w:numPr>
          <w:ilvl w:val="0"/>
          <w:numId w:val="11"/>
        </w:numPr>
        <w:spacing w:before="0" w:after="80" w:line="300" w:lineRule="auto"/>
      </w:pPr>
      <w:r>
        <w:rPr>
          <w:rFonts w:ascii="Calibri" w:hAnsi="Calibri"/>
          <w:color w:val="111111"/>
          <w:sz w:val="22"/>
        </w:rPr>
        <w:t>Activer le compte ou réinitialiser son mot de passe.</w:t>
      </w:r>
    </w:p>
    <w:p>
      <w:pPr>
        <w:numPr>
          <w:ilvl w:val="0"/>
          <w:numId w:val="11"/>
        </w:numPr>
        <w:spacing w:before="0" w:after="80" w:line="300" w:lineRule="auto"/>
      </w:pPr>
      <w:r>
        <w:rPr>
          <w:rFonts w:ascii="Calibri" w:hAnsi="Calibri"/>
          <w:color w:val="111111"/>
          <w:sz w:val="22"/>
        </w:rPr>
        <w:t>Journaliser les actions sensibles.</w:t>
      </w:r>
    </w:p>
    <w:p>
      <w:pPr>
        <w:spacing w:after="80"/>
      </w:pPr>
      <w:r>
        <w:rPr>
          <w:rFonts w:ascii="Calibri" w:hAnsi="Calibri"/>
          <w:b/>
          <w:color w:val="0B2545"/>
          <w:sz w:val="21"/>
        </w:rPr>
        <w:t>Alternatives et erreurs</w:t>
      </w:r>
    </w:p>
    <w:p>
      <w:pPr>
        <w:numPr>
          <w:ilvl w:val="0"/>
          <w:numId w:val="10"/>
        </w:numPr>
        <w:spacing w:before="0" w:after="80" w:line="300" w:lineRule="auto"/>
      </w:pPr>
      <w:r>
        <w:rPr>
          <w:rFonts w:ascii="Calibri" w:hAnsi="Calibri"/>
          <w:color w:val="111111"/>
          <w:sz w:val="22"/>
        </w:rPr>
        <w:t>Identifiant déjà utilisé : rejet.</w:t>
      </w:r>
    </w:p>
    <w:p>
      <w:pPr>
        <w:numPr>
          <w:ilvl w:val="0"/>
          <w:numId w:val="10"/>
        </w:numPr>
        <w:spacing w:before="0" w:after="80" w:line="300" w:lineRule="auto"/>
      </w:pPr>
      <w:r>
        <w:rPr>
          <w:rFonts w:ascii="Calibri" w:hAnsi="Calibri"/>
          <w:color w:val="111111"/>
          <w:sz w:val="22"/>
        </w:rPr>
        <w:t>Ancien mot de passe invalide : changement refusé.</w:t>
      </w:r>
    </w:p>
    <w:p>
      <w:pPr>
        <w:numPr>
          <w:ilvl w:val="0"/>
          <w:numId w:val="10"/>
        </w:numPr>
        <w:spacing w:before="0" w:after="80" w:line="300" w:lineRule="auto"/>
      </w:pPr>
      <w:r>
        <w:rPr>
          <w:rFonts w:ascii="Calibri" w:hAnsi="Calibri"/>
          <w:color w:val="111111"/>
          <w:sz w:val="22"/>
        </w:rPr>
        <w:t>Profil ou rôle encore référencé : appliquer la règle de suppression définie.</w:t>
      </w:r>
    </w:p>
    <w:p>
      <w:pPr>
        <w:spacing w:before="0" w:after="120" w:line="300" w:lineRule="auto"/>
      </w:pPr>
      <w:r>
        <w:rPr>
          <w:rFonts w:ascii="Calibri" w:hAnsi="Calibri"/>
          <w:b/>
          <w:color w:val="0B2545"/>
          <w:sz w:val="22"/>
        </w:rPr>
        <w:t>Postconditions :</w:t>
      </w:r>
      <w:r>
        <w:rPr>
          <w:rFonts w:ascii="Calibri" w:hAnsi="Calibri"/>
          <w:color w:val="111111"/>
          <w:sz w:val="22"/>
        </w:rPr>
        <w:t xml:space="preserve"> Les droits effectifs de l’utilisateur sont mis à jour.</w:t>
      </w:r>
    </w:p>
    <w:p>
      <w:pPr>
        <w:spacing w:before="0" w:after="120" w:line="300" w:lineRule="auto"/>
      </w:pPr>
      <w:r>
        <w:rPr>
          <w:rFonts w:ascii="Calibri" w:hAnsi="Calibri"/>
          <w:b/>
          <w:color w:val="0B2545"/>
          <w:sz w:val="22"/>
        </w:rPr>
        <w:t>API principales :</w:t>
      </w:r>
      <w:r>
        <w:rPr>
          <w:rFonts w:ascii="Calibri" w:hAnsi="Calibri"/>
          <w:color w:val="111111"/>
          <w:sz w:val="22"/>
        </w:rPr>
        <w:t xml:space="preserve"> /api/users, /api/profils, /api/roles, /api/authenticate</w:t>
      </w:r>
    </w:p>
    <w:p>
      <w:pPr>
        <w:pStyle w:val="Heading2"/>
      </w:pPr>
      <w:r>
        <w:rPr>
          <w:rFonts w:ascii="Calibri" w:hAnsi="Calibri"/>
          <w:b/>
          <w:color w:val="2E74B5"/>
          <w:sz w:val="26"/>
        </w:rPr>
        <w:t>6.3 Scénario nominal — rapprochement quotidien</w:t>
      </w:r>
    </w:p>
    <w:p>
      <w:pPr>
        <w:numPr>
          <w:ilvl w:val="0"/>
          <w:numId w:val="11"/>
        </w:numPr>
        <w:spacing w:before="0" w:after="80" w:line="300" w:lineRule="auto"/>
      </w:pPr>
      <w:r>
        <w:rPr>
          <w:rFonts w:ascii="Calibri" w:hAnsi="Calibri"/>
          <w:color w:val="111111"/>
          <w:sz w:val="22"/>
        </w:rPr>
        <w:t>L’agent choisit le canal MOOV ou Orange et la date métier.</w:t>
      </w:r>
    </w:p>
    <w:p>
      <w:pPr>
        <w:numPr>
          <w:ilvl w:val="0"/>
          <w:numId w:val="11"/>
        </w:numPr>
        <w:spacing w:before="0" w:after="80" w:line="300" w:lineRule="auto"/>
      </w:pPr>
      <w:r>
        <w:rPr>
          <w:rFonts w:ascii="Calibri" w:hAnsi="Calibri"/>
          <w:color w:val="111111"/>
          <w:sz w:val="22"/>
        </w:rPr>
        <w:t>Il importe le fichier Banque en précisant la portée opérateur.</w:t>
      </w:r>
    </w:p>
    <w:p>
      <w:pPr>
        <w:numPr>
          <w:ilvl w:val="0"/>
          <w:numId w:val="11"/>
        </w:numPr>
        <w:spacing w:before="0" w:after="80" w:line="300" w:lineRule="auto"/>
      </w:pPr>
      <w:r>
        <w:rPr>
          <w:rFonts w:ascii="Calibri" w:hAnsi="Calibri"/>
          <w:color w:val="111111"/>
          <w:sz w:val="22"/>
        </w:rPr>
        <w:t>Il importe le fichier opérateur correspondant et vérifie les compteurs valides/invalides.</w:t>
      </w:r>
    </w:p>
    <w:p>
      <w:pPr>
        <w:numPr>
          <w:ilvl w:val="0"/>
          <w:numId w:val="11"/>
        </w:numPr>
        <w:spacing w:before="0" w:after="80" w:line="300" w:lineRule="auto"/>
      </w:pPr>
      <w:r>
        <w:rPr>
          <w:rFonts w:ascii="Calibri" w:hAnsi="Calibri"/>
          <w:color w:val="111111"/>
          <w:sz w:val="22"/>
        </w:rPr>
        <w:t>Il lance un run avec un libellé explicite et la même date.</w:t>
      </w:r>
    </w:p>
    <w:p>
      <w:pPr>
        <w:numPr>
          <w:ilvl w:val="0"/>
          <w:numId w:val="11"/>
        </w:numPr>
        <w:spacing w:before="0" w:after="80" w:line="300" w:lineRule="auto"/>
      </w:pPr>
      <w:r>
        <w:rPr>
          <w:rFonts w:ascii="Calibri" w:hAnsi="Calibri"/>
          <w:color w:val="111111"/>
          <w:sz w:val="22"/>
        </w:rPr>
        <w:t>Le service rapproche les clés, classe et persiste les résultats.</w:t>
      </w:r>
    </w:p>
    <w:p>
      <w:pPr>
        <w:numPr>
          <w:ilvl w:val="0"/>
          <w:numId w:val="11"/>
        </w:numPr>
        <w:spacing w:before="0" w:after="80" w:line="300" w:lineRule="auto"/>
      </w:pPr>
      <w:r>
        <w:rPr>
          <w:rFonts w:ascii="Calibri" w:hAnsi="Calibri"/>
          <w:color w:val="111111"/>
          <w:sz w:val="22"/>
        </w:rPr>
        <w:t>L’agent consulte la synthèse, traite d’abord les anomalies financières et exporte si nécessaire.</w:t>
      </w:r>
    </w:p>
    <w:p>
      <w:pPr>
        <w:numPr>
          <w:ilvl w:val="0"/>
          <w:numId w:val="11"/>
        </w:numPr>
        <w:spacing w:before="0" w:after="80" w:line="300" w:lineRule="auto"/>
      </w:pPr>
      <w:r>
        <w:rPr>
          <w:rFonts w:ascii="Calibri" w:hAnsi="Calibri"/>
          <w:color w:val="111111"/>
          <w:sz w:val="22"/>
        </w:rPr>
        <w:t>Le superviseur consulte le tableau de bord et le rapport périodique.</w:t>
      </w:r>
    </w:p>
    <w:p>
      <w:pPr>
        <w:pStyle w:val="Heading2"/>
      </w:pPr>
      <w:r>
        <w:rPr>
          <w:rFonts w:ascii="Calibri" w:hAnsi="Calibri"/>
          <w:b/>
          <w:color w:val="2E74B5"/>
          <w:sz w:val="26"/>
        </w:rPr>
        <w:t>6.4 Scénarios alternatifs transverses</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300"/>
        <w:gridCol w:w="3540"/>
        <w:gridCol w:w="3520"/>
      </w:tblGrid>
      <w:tr>
        <w:trPr>
          <w:tblHeader w:val="true"/>
        </w:trPr>
        <w:tc>
          <w:tcPr>
            <w:tcW w:type="dxa" w:w="23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Situation</w:t>
            </w:r>
          </w:p>
        </w:tc>
        <w:tc>
          <w:tcPr>
            <w:tcW w:type="dxa" w:w="3540"/>
            <w:vAlign w:val="center"/>
            <w:tcMar>
              <w:top w:w="80" w:type="dxa"/>
              <w:start w:w="120" w:type="dxa"/>
              <w:bottom w:w="80" w:type="dxa"/>
              <w:end w:w="120" w:type="dxa"/>
            </w:tcMar>
            <w:shd w:fill="E8EEF5" w:val="clear"/>
          </w:tcPr>
          <w:p>
            <w:pPr>
              <w:spacing w:before="0" w:after="0" w:line="264" w:lineRule="auto"/>
              <w:jc w:val="left"/>
            </w:pPr>
            <w:r>
              <w:rPr>
                <w:rFonts w:ascii="Calibri" w:hAnsi="Calibri"/>
                <w:b/>
                <w:color w:val="0B2545"/>
                <w:sz w:val="18"/>
              </w:rPr>
              <w:t>Comportement actuel</w:t>
            </w:r>
          </w:p>
        </w:tc>
        <w:tc>
          <w:tcPr>
            <w:tcW w:type="dxa" w:w="3520"/>
            <w:vAlign w:val="center"/>
            <w:tcMar>
              <w:top w:w="80" w:type="dxa"/>
              <w:start w:w="120" w:type="dxa"/>
              <w:bottom w:w="80" w:type="dxa"/>
              <w:end w:w="120" w:type="dxa"/>
            </w:tcMar>
            <w:shd w:fill="E8EEF5" w:val="clear"/>
          </w:tcPr>
          <w:p>
            <w:pPr>
              <w:spacing w:before="0" w:after="0" w:line="264" w:lineRule="auto"/>
              <w:jc w:val="left"/>
            </w:pPr>
            <w:r>
              <w:rPr>
                <w:rFonts w:ascii="Calibri" w:hAnsi="Calibri"/>
                <w:b/>
                <w:color w:val="0B2545"/>
                <w:sz w:val="18"/>
              </w:rPr>
              <w:t>Attendu de recette</w:t>
            </w:r>
          </w:p>
        </w:tc>
      </w:tr>
      <w:tr>
        <w:tc>
          <w:tcPr>
            <w:tcW w:type="dxa" w:w="23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Fichier non conforme</w:t>
            </w:r>
          </w:p>
        </w:tc>
        <w:tc>
          <w:tcPr>
            <w:tcW w:type="dxa" w:w="354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Import FAILED, message de colonnes manquantes.</w:t>
            </w:r>
          </w:p>
        </w:tc>
        <w:tc>
          <w:tcPr>
            <w:tcW w:type="dxa" w:w="352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Aucune transaction persistée.</w:t>
            </w:r>
          </w:p>
        </w:tc>
      </w:tr>
      <w:tr>
        <w:tc>
          <w:tcPr>
            <w:tcW w:type="dxa" w:w="23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Même fichier déjà importé</w:t>
            </w:r>
          </w:p>
        </w:tc>
        <w:tc>
          <w:tcPr>
            <w:tcW w:type="dxa" w:w="354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Exception métier si les transactions existent.</w:t>
            </w:r>
          </w:p>
        </w:tc>
        <w:tc>
          <w:tcPr>
            <w:tcW w:type="dxa" w:w="352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Message avec source/date/portée/importId.</w:t>
            </w:r>
          </w:p>
        </w:tc>
      </w:tr>
      <w:tr>
        <w:tc>
          <w:tcPr>
            <w:tcW w:type="dxa" w:w="23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Quelques lignes invalides</w:t>
            </w:r>
          </w:p>
        </w:tc>
        <w:tc>
          <w:tcPr>
            <w:tcW w:type="dxa" w:w="354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PARTIAL_SUCCESS.</w:t>
            </w:r>
          </w:p>
        </w:tc>
        <w:tc>
          <w:tcPr>
            <w:tcW w:type="dxa" w:w="352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Compteurs cohérents et avertissements consultables.</w:t>
            </w:r>
          </w:p>
        </w:tc>
      </w:tr>
      <w:tr>
        <w:tc>
          <w:tcPr>
            <w:tcW w:type="dxa" w:w="23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Aucun import sur la période</w:t>
            </w:r>
          </w:p>
        </w:tc>
        <w:tc>
          <w:tcPr>
            <w:tcW w:type="dxa" w:w="354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Le run peut être COMPLETED sans résultat.</w:t>
            </w:r>
          </w:p>
        </w:tc>
        <w:tc>
          <w:tcPr>
            <w:tcW w:type="dxa" w:w="352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Décision métier à confirmer : avertir ou bloquer.</w:t>
            </w:r>
          </w:p>
        </w:tc>
      </w:tr>
      <w:tr>
        <w:tc>
          <w:tcPr>
            <w:tcW w:type="dxa" w:w="23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Suppression d’un import utilisé</w:t>
            </w:r>
          </w:p>
        </w:tc>
        <w:tc>
          <w:tcPr>
            <w:tcW w:type="dxa" w:w="354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HTTP 409 sans confirmation ; cascade avec confirmCascade=true.</w:t>
            </w:r>
          </w:p>
        </w:tc>
        <w:tc>
          <w:tcPr>
            <w:tcW w:type="dxa" w:w="352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Le bilan final doit correspondre à la prévisualisation.</w:t>
            </w:r>
          </w:p>
        </w:tc>
      </w:tr>
      <w:tr>
        <w:tc>
          <w:tcPr>
            <w:tcW w:type="dxa" w:w="23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Écart de compensation</w:t>
            </w:r>
          </w:p>
        </w:tc>
        <w:tc>
          <w:tcPr>
            <w:tcW w:type="dxa" w:w="354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A_VERIFIER.</w:t>
            </w:r>
          </w:p>
        </w:tc>
        <w:tc>
          <w:tcPr>
            <w:tcW w:type="dxa" w:w="352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Détail des écarts accessible.</w:t>
            </w:r>
          </w:p>
        </w:tc>
      </w:tr>
    </w:tbl>
    <w:p>
      <w:pPr>
        <w:spacing w:before="0" w:after="80"/>
      </w:pPr>
    </w:p>
    <w:p>
      <w:pPr>
        <w:pStyle w:val="Heading2"/>
      </w:pPr>
      <w:r>
        <w:rPr>
          <w:rFonts w:ascii="Calibri" w:hAnsi="Calibri"/>
          <w:b/>
          <w:color w:val="2E74B5"/>
          <w:sz w:val="26"/>
        </w:rPr>
        <w:t>6.5 Diagrammes d’activité</w:t>
      </w:r>
    </w:p>
    <w:p>
      <w:pPr>
        <w:spacing w:after="40"/>
        <w:jc w:val="center"/>
      </w:pPr>
      <w:r>
        <w:drawing>
          <wp:inline xmlns:a="http://schemas.openxmlformats.org/drawingml/2006/main" xmlns:pic="http://schemas.openxmlformats.org/drawingml/2006/picture">
            <wp:extent cx="5669280" cy="3937000"/>
            <wp:docPr id="3" name="Picture 3" descr="Diagramme d’activité du processus d’import"/>
            <wp:cNvGraphicFramePr>
              <a:graphicFrameLocks noChangeAspect="1"/>
            </wp:cNvGraphicFramePr>
            <a:graphic>
              <a:graphicData uri="http://schemas.openxmlformats.org/drawingml/2006/picture">
                <pic:pic>
                  <pic:nvPicPr>
                    <pic:cNvPr id="0" name="activite_import.png"/>
                    <pic:cNvPicPr/>
                  </pic:nvPicPr>
                  <pic:blipFill>
                    <a:blip r:embed="rId13"/>
                    <a:stretch>
                      <a:fillRect/>
                    </a:stretch>
                  </pic:blipFill>
                  <pic:spPr>
                    <a:xfrm>
                      <a:off x="0" y="0"/>
                      <a:ext cx="5669280" cy="3937000"/>
                    </a:xfrm>
                    <a:prstGeom prst="rect"/>
                  </pic:spPr>
                </pic:pic>
              </a:graphicData>
            </a:graphic>
          </wp:inline>
        </w:drawing>
      </w:r>
    </w:p>
    <w:p>
      <w:pPr>
        <w:spacing w:before="80" w:after="160"/>
        <w:jc w:val="center"/>
      </w:pPr>
      <w:r>
        <w:rPr>
          <w:rFonts w:ascii="Calibri" w:hAnsi="Calibri"/>
          <w:i/>
          <w:color w:val="5F6B7A"/>
          <w:sz w:val="18"/>
        </w:rPr>
        <w:t>Figure 3 — Décisions et états du traitement d’un fichier importé.</w:t>
      </w:r>
    </w:p>
    <w:p>
      <w:pPr>
        <w:spacing w:after="40"/>
        <w:jc w:val="center"/>
      </w:pPr>
      <w:r>
        <w:drawing>
          <wp:inline xmlns:a="http://schemas.openxmlformats.org/drawingml/2006/main" xmlns:pic="http://schemas.openxmlformats.org/drawingml/2006/picture">
            <wp:extent cx="5669280" cy="3779520"/>
            <wp:docPr id="4" name="Picture 4" descr="Diagramme d’activité du processus de réconciliation"/>
            <wp:cNvGraphicFramePr>
              <a:graphicFrameLocks noChangeAspect="1"/>
            </wp:cNvGraphicFramePr>
            <a:graphic>
              <a:graphicData uri="http://schemas.openxmlformats.org/drawingml/2006/picture">
                <pic:pic>
                  <pic:nvPicPr>
                    <pic:cNvPr id="0" name="activite_reconciliation.png"/>
                    <pic:cNvPicPr/>
                  </pic:nvPicPr>
                  <pic:blipFill>
                    <a:blip r:embed="rId14"/>
                    <a:stretch>
                      <a:fillRect/>
                    </a:stretch>
                  </pic:blipFill>
                  <pic:spPr>
                    <a:xfrm>
                      <a:off x="0" y="0"/>
                      <a:ext cx="5669280" cy="3779520"/>
                    </a:xfrm>
                    <a:prstGeom prst="rect"/>
                  </pic:spPr>
                </pic:pic>
              </a:graphicData>
            </a:graphic>
          </wp:inline>
        </w:drawing>
      </w:r>
    </w:p>
    <w:p>
      <w:pPr>
        <w:spacing w:before="80" w:after="160"/>
        <w:jc w:val="center"/>
      </w:pPr>
      <w:r>
        <w:rPr>
          <w:rFonts w:ascii="Calibri" w:hAnsi="Calibri"/>
          <w:i/>
          <w:color w:val="5F6B7A"/>
          <w:sz w:val="18"/>
        </w:rPr>
        <w:t>Figure 4 — Orchestration d’un run MOOV ou Orange.</w:t>
      </w:r>
    </w:p>
    <w:p>
      <w:pPr>
        <w:pStyle w:val="Heading2"/>
      </w:pPr>
      <w:r>
        <w:rPr>
          <w:rFonts w:ascii="Calibri" w:hAnsi="Calibri"/>
          <w:b/>
          <w:color w:val="2E74B5"/>
          <w:sz w:val="26"/>
        </w:rPr>
        <w:t>6.6 Diagrammes de séquence</w:t>
      </w:r>
    </w:p>
    <w:p>
      <w:pPr>
        <w:spacing w:after="40"/>
        <w:jc w:val="center"/>
      </w:pPr>
      <w:r>
        <w:drawing>
          <wp:inline xmlns:a="http://schemas.openxmlformats.org/drawingml/2006/main" xmlns:pic="http://schemas.openxmlformats.org/drawingml/2006/picture">
            <wp:extent cx="5669280" cy="3653536"/>
            <wp:docPr id="5" name="Picture 5" descr="Diagramme de séquence de l’import"/>
            <wp:cNvGraphicFramePr>
              <a:graphicFrameLocks noChangeAspect="1"/>
            </wp:cNvGraphicFramePr>
            <a:graphic>
              <a:graphicData uri="http://schemas.openxmlformats.org/drawingml/2006/picture">
                <pic:pic>
                  <pic:nvPicPr>
                    <pic:cNvPr id="0" name="sequence_import.png"/>
                    <pic:cNvPicPr/>
                  </pic:nvPicPr>
                  <pic:blipFill>
                    <a:blip r:embed="rId15"/>
                    <a:stretch>
                      <a:fillRect/>
                    </a:stretch>
                  </pic:blipFill>
                  <pic:spPr>
                    <a:xfrm>
                      <a:off x="0" y="0"/>
                      <a:ext cx="5669280" cy="3653536"/>
                    </a:xfrm>
                    <a:prstGeom prst="rect"/>
                  </pic:spPr>
                </pic:pic>
              </a:graphicData>
            </a:graphic>
          </wp:inline>
        </w:drawing>
      </w:r>
    </w:p>
    <w:p>
      <w:pPr>
        <w:spacing w:before="80" w:after="160"/>
        <w:jc w:val="center"/>
      </w:pPr>
      <w:r>
        <w:rPr>
          <w:rFonts w:ascii="Calibri" w:hAnsi="Calibri"/>
          <w:i/>
          <w:color w:val="5F6B7A"/>
          <w:sz w:val="18"/>
        </w:rPr>
        <w:t>Figure 5 — Collaboration des composants pendant un import.</w:t>
      </w:r>
    </w:p>
    <w:p>
      <w:pPr>
        <w:spacing w:after="40"/>
        <w:jc w:val="center"/>
      </w:pPr>
      <w:r>
        <w:drawing>
          <wp:inline xmlns:a="http://schemas.openxmlformats.org/drawingml/2006/main" xmlns:pic="http://schemas.openxmlformats.org/drawingml/2006/picture">
            <wp:extent cx="5669280" cy="3653536"/>
            <wp:docPr id="6" name="Picture 6" descr="Diagramme de séquence de la réconciliation"/>
            <wp:cNvGraphicFramePr>
              <a:graphicFrameLocks noChangeAspect="1"/>
            </wp:cNvGraphicFramePr>
            <a:graphic>
              <a:graphicData uri="http://schemas.openxmlformats.org/drawingml/2006/picture">
                <pic:pic>
                  <pic:nvPicPr>
                    <pic:cNvPr id="0" name="sequence_reconciliation.png"/>
                    <pic:cNvPicPr/>
                  </pic:nvPicPr>
                  <pic:blipFill>
                    <a:blip r:embed="rId16"/>
                    <a:stretch>
                      <a:fillRect/>
                    </a:stretch>
                  </pic:blipFill>
                  <pic:spPr>
                    <a:xfrm>
                      <a:off x="0" y="0"/>
                      <a:ext cx="5669280" cy="3653536"/>
                    </a:xfrm>
                    <a:prstGeom prst="rect"/>
                  </pic:spPr>
                </pic:pic>
              </a:graphicData>
            </a:graphic>
          </wp:inline>
        </w:drawing>
      </w:r>
    </w:p>
    <w:p>
      <w:pPr>
        <w:spacing w:before="80" w:after="160"/>
        <w:jc w:val="center"/>
      </w:pPr>
      <w:r>
        <w:rPr>
          <w:rFonts w:ascii="Calibri" w:hAnsi="Calibri"/>
          <w:i/>
          <w:color w:val="5F6B7A"/>
          <w:sz w:val="18"/>
        </w:rPr>
        <w:t>Figure 6 — Collaboration des composants pendant un run.</w:t>
      </w:r>
    </w:p>
    <w:p>
      <w:pPr>
        <w:spacing w:after="40"/>
        <w:jc w:val="center"/>
      </w:pPr>
      <w:r>
        <w:drawing>
          <wp:inline xmlns:a="http://schemas.openxmlformats.org/drawingml/2006/main" xmlns:pic="http://schemas.openxmlformats.org/drawingml/2006/picture">
            <wp:extent cx="5669280" cy="3653536"/>
            <wp:docPr id="7" name="Picture 7" descr="Diagramme de séquence de la suppression sécurisée"/>
            <wp:cNvGraphicFramePr>
              <a:graphicFrameLocks noChangeAspect="1"/>
            </wp:cNvGraphicFramePr>
            <a:graphic>
              <a:graphicData uri="http://schemas.openxmlformats.org/drawingml/2006/picture">
                <pic:pic>
                  <pic:nvPicPr>
                    <pic:cNvPr id="0" name="sequence_suppression.png"/>
                    <pic:cNvPicPr/>
                  </pic:nvPicPr>
                  <pic:blipFill>
                    <a:blip r:embed="rId17"/>
                    <a:stretch>
                      <a:fillRect/>
                    </a:stretch>
                  </pic:blipFill>
                  <pic:spPr>
                    <a:xfrm>
                      <a:off x="0" y="0"/>
                      <a:ext cx="5669280" cy="3653536"/>
                    </a:xfrm>
                    <a:prstGeom prst="rect"/>
                  </pic:spPr>
                </pic:pic>
              </a:graphicData>
            </a:graphic>
          </wp:inline>
        </w:drawing>
      </w:r>
    </w:p>
    <w:p>
      <w:pPr>
        <w:spacing w:before="80" w:after="160"/>
        <w:jc w:val="center"/>
      </w:pPr>
      <w:r>
        <w:rPr>
          <w:rFonts w:ascii="Calibri" w:hAnsi="Calibri"/>
          <w:i/>
          <w:color w:val="5F6B7A"/>
          <w:sz w:val="18"/>
        </w:rPr>
        <w:t>Figure 7 — Prévisualisation, confirmation et cascade d’une suppression.</w:t>
      </w:r>
    </w:p>
    <w:p>
      <w:r>
        <w:br w:type="page"/>
      </w:r>
    </w:p>
    <w:p>
      <w:pPr>
        <w:pStyle w:val="Heading1"/>
      </w:pPr>
      <w:r>
        <w:rPr>
          <w:rFonts w:ascii="Calibri" w:hAnsi="Calibri"/>
          <w:b/>
          <w:color w:val="2E74B5"/>
          <w:sz w:val="32"/>
        </w:rPr>
        <w:t>7. Conception UML et architecture technique</w:t>
      </w:r>
    </w:p>
    <w:p>
      <w:pPr>
        <w:pStyle w:val="Heading2"/>
      </w:pPr>
      <w:r>
        <w:rPr>
          <w:rFonts w:ascii="Calibri" w:hAnsi="Calibri"/>
          <w:b/>
          <w:color w:val="2E74B5"/>
          <w:sz w:val="26"/>
        </w:rPr>
        <w:t>7.1 Diagramme de composants</w:t>
      </w:r>
    </w:p>
    <w:p>
      <w:pPr>
        <w:spacing w:after="40"/>
        <w:jc w:val="center"/>
      </w:pPr>
      <w:r>
        <w:drawing>
          <wp:inline xmlns:a="http://schemas.openxmlformats.org/drawingml/2006/main" xmlns:pic="http://schemas.openxmlformats.org/drawingml/2006/picture">
            <wp:extent cx="5669280" cy="3527552"/>
            <wp:docPr id="8" name="Picture 8" descr="Architecture logique en couches du service"/>
            <wp:cNvGraphicFramePr>
              <a:graphicFrameLocks noChangeAspect="1"/>
            </wp:cNvGraphicFramePr>
            <a:graphic>
              <a:graphicData uri="http://schemas.openxmlformats.org/drawingml/2006/picture">
                <pic:pic>
                  <pic:nvPicPr>
                    <pic:cNvPr id="0" name="architecture_logique.png"/>
                    <pic:cNvPicPr/>
                  </pic:nvPicPr>
                  <pic:blipFill>
                    <a:blip r:embed="rId18"/>
                    <a:stretch>
                      <a:fillRect/>
                    </a:stretch>
                  </pic:blipFill>
                  <pic:spPr>
                    <a:xfrm>
                      <a:off x="0" y="0"/>
                      <a:ext cx="5669280" cy="3527552"/>
                    </a:xfrm>
                    <a:prstGeom prst="rect"/>
                  </pic:spPr>
                </pic:pic>
              </a:graphicData>
            </a:graphic>
          </wp:inline>
        </w:drawing>
      </w:r>
    </w:p>
    <w:p>
      <w:pPr>
        <w:spacing w:before="80" w:after="160"/>
        <w:jc w:val="center"/>
      </w:pPr>
      <w:r>
        <w:rPr>
          <w:rFonts w:ascii="Calibri" w:hAnsi="Calibri"/>
          <w:i/>
          <w:color w:val="5F6B7A"/>
          <w:sz w:val="18"/>
        </w:rPr>
        <w:t>Figure 8 — Architecture en couches et composants transverses.</w:t>
      </w:r>
    </w:p>
    <w:p>
      <w:pPr>
        <w:pStyle w:val="Heading2"/>
      </w:pPr>
      <w:r>
        <w:rPr>
          <w:rFonts w:ascii="Calibri" w:hAnsi="Calibri"/>
          <w:b/>
          <w:color w:val="2E74B5"/>
          <w:sz w:val="26"/>
        </w:rPr>
        <w:t>7.2 Stack</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00"/>
        <w:gridCol w:w="7360"/>
      </w:tblGrid>
      <w:tr>
        <w:trPr>
          <w:tblHeader w:val="true"/>
        </w:trPr>
        <w:tc>
          <w:tcPr>
            <w:tcW w:type="dxa" w:w="20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Couche</w:t>
            </w:r>
          </w:p>
        </w:tc>
        <w:tc>
          <w:tcPr>
            <w:tcW w:type="dxa" w:w="736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Technologies</w:t>
            </w:r>
          </w:p>
        </w:tc>
      </w:tr>
      <w:tr>
        <w:tc>
          <w:tcPr>
            <w:tcW w:type="dxa" w:w="20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Runtime</w:t>
            </w:r>
          </w:p>
        </w:tc>
        <w:tc>
          <w:tcPr>
            <w:tcW w:type="dxa" w:w="73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Java 21, Spring Boot 3.5.11, Maven</w:t>
            </w:r>
          </w:p>
        </w:tc>
      </w:tr>
      <w:tr>
        <w:tc>
          <w:tcPr>
            <w:tcW w:type="dxa" w:w="20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API</w:t>
            </w:r>
          </w:p>
        </w:tc>
        <w:tc>
          <w:tcPr>
            <w:tcW w:type="dxa" w:w="73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Spring Web, Validation, Springdoc OpenAPI</w:t>
            </w:r>
          </w:p>
        </w:tc>
      </w:tr>
      <w:tr>
        <w:tc>
          <w:tcPr>
            <w:tcW w:type="dxa" w:w="20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Sécurité</w:t>
            </w:r>
          </w:p>
        </w:tc>
        <w:tc>
          <w:tcPr>
            <w:tcW w:type="dxa" w:w="73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Spring Security, JWT JJWT 0.11.5, BCrypt</w:t>
            </w:r>
          </w:p>
        </w:tc>
      </w:tr>
      <w:tr>
        <w:tc>
          <w:tcPr>
            <w:tcW w:type="dxa" w:w="20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Données</w:t>
            </w:r>
          </w:p>
        </w:tc>
        <w:tc>
          <w:tcPr>
            <w:tcW w:type="dxa" w:w="73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Spring Data JPA, PostgreSQL 16, Flyway</w:t>
            </w:r>
          </w:p>
        </w:tc>
      </w:tr>
      <w:tr>
        <w:tc>
          <w:tcPr>
            <w:tcW w:type="dxa" w:w="20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Fichiers</w:t>
            </w:r>
          </w:p>
        </w:tc>
        <w:tc>
          <w:tcPr>
            <w:tcW w:type="dxa" w:w="73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Apache POI 5.4.1, Commons CSV 1.13.0</w:t>
            </w:r>
          </w:p>
        </w:tc>
      </w:tr>
      <w:tr>
        <w:tc>
          <w:tcPr>
            <w:tcW w:type="dxa" w:w="20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Rapports</w:t>
            </w:r>
          </w:p>
        </w:tc>
        <w:tc>
          <w:tcPr>
            <w:tcW w:type="dxa" w:w="73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PDFBox 3.0.3, JasperReports 6.19.1, POI</w:t>
            </w:r>
          </w:p>
        </w:tc>
      </w:tr>
      <w:tr>
        <w:tc>
          <w:tcPr>
            <w:tcW w:type="dxa" w:w="20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Support</w:t>
            </w:r>
          </w:p>
        </w:tc>
        <w:tc>
          <w:tcPr>
            <w:tcW w:type="dxa" w:w="73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Lombok, MapStruct, Thymeleaf, Mail</w:t>
            </w:r>
          </w:p>
        </w:tc>
      </w:tr>
    </w:tbl>
    <w:p>
      <w:pPr>
        <w:spacing w:before="0" w:after="80"/>
      </w:pPr>
    </w:p>
    <w:p>
      <w:pPr>
        <w:pStyle w:val="Heading2"/>
      </w:pPr>
      <w:r>
        <w:rPr>
          <w:rFonts w:ascii="Calibri" w:hAnsi="Calibri"/>
          <w:b/>
          <w:color w:val="2E74B5"/>
          <w:sz w:val="26"/>
        </w:rPr>
        <w:t>7.3 Découpage applicatif</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600"/>
        <w:gridCol w:w="6760"/>
      </w:tblGrid>
      <w:tr>
        <w:trPr>
          <w:tblHeader w:val="true"/>
        </w:trPr>
        <w:tc>
          <w:tcPr>
            <w:tcW w:type="dxa" w:w="26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Package</w:t>
            </w:r>
          </w:p>
        </w:tc>
        <w:tc>
          <w:tcPr>
            <w:tcW w:type="dxa" w:w="676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Responsabilité</w:t>
            </w:r>
          </w:p>
        </w:tc>
      </w:tr>
      <w:tr>
        <w:tc>
          <w:tcPr>
            <w:tcW w:type="dxa" w:w="26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controller</w:t>
            </w:r>
          </w:p>
        </w:tc>
        <w:tc>
          <w:tcPr>
            <w:tcW w:type="dxa" w:w="67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Contrats HTTP, validation des paramètres, pagination et formats d’export.</w:t>
            </w:r>
          </w:p>
        </w:tc>
      </w:tr>
      <w:tr>
        <w:tc>
          <w:tcPr>
            <w:tcW w:type="dxa" w:w="26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service / impl</w:t>
            </w:r>
          </w:p>
        </w:tc>
        <w:tc>
          <w:tcPr>
            <w:tcW w:type="dxa" w:w="67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Orchestration des cas d’utilisation et calculs métier.</w:t>
            </w:r>
          </w:p>
        </w:tc>
      </w:tr>
      <w:tr>
        <w:tc>
          <w:tcPr>
            <w:tcW w:type="dxa" w:w="26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service.reconciliation</w:t>
            </w:r>
          </w:p>
        </w:tc>
        <w:tc>
          <w:tcPr>
            <w:tcW w:type="dxa" w:w="67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Stratégies opérateur et écriture des résultats.</w:t>
            </w:r>
          </w:p>
        </w:tc>
      </w:tr>
      <w:tr>
        <w:tc>
          <w:tcPr>
            <w:tcW w:type="dxa" w:w="26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service.parser</w:t>
            </w:r>
          </w:p>
        </w:tc>
        <w:tc>
          <w:tcPr>
            <w:tcW w:type="dxa" w:w="67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Lecture et validation des formats CSV/XLS/XLSX.</w:t>
            </w:r>
          </w:p>
        </w:tc>
      </w:tr>
      <w:tr>
        <w:tc>
          <w:tcPr>
            <w:tcW w:type="dxa" w:w="26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model</w:t>
            </w:r>
          </w:p>
        </w:tc>
        <w:tc>
          <w:tcPr>
            <w:tcW w:type="dxa" w:w="67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Entités JPA de réconciliation et backoffice.</w:t>
            </w:r>
          </w:p>
        </w:tc>
      </w:tr>
      <w:tr>
        <w:tc>
          <w:tcPr>
            <w:tcW w:type="dxa" w:w="26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repositories</w:t>
            </w:r>
          </w:p>
        </w:tc>
        <w:tc>
          <w:tcPr>
            <w:tcW w:type="dxa" w:w="67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Accès aux données, agrégats et filtres.</w:t>
            </w:r>
          </w:p>
        </w:tc>
      </w:tr>
      <w:tr>
        <w:tc>
          <w:tcPr>
            <w:tcW w:type="dxa" w:w="26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security / jwt</w:t>
            </w:r>
          </w:p>
        </w:tc>
        <w:tc>
          <w:tcPr>
            <w:tcW w:type="dxa" w:w="67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Authentification, utilisateurs et token JWT.</w:t>
            </w:r>
          </w:p>
        </w:tc>
      </w:tr>
      <w:tr>
        <w:tc>
          <w:tcPr>
            <w:tcW w:type="dxa" w:w="26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config</w:t>
            </w:r>
          </w:p>
        </w:tc>
        <w:tc>
          <w:tcPr>
            <w:tcW w:type="dxa" w:w="67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Profils, sécurité, CORS, OpenAPI, audit et rétention.</w:t>
            </w:r>
          </w:p>
        </w:tc>
      </w:tr>
      <w:tr>
        <w:tc>
          <w:tcPr>
            <w:tcW w:type="dxa" w:w="26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dto / enums</w:t>
            </w:r>
          </w:p>
        </w:tc>
        <w:tc>
          <w:tcPr>
            <w:tcW w:type="dxa" w:w="67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Contrats d’échange et vocabulaires métier.</w:t>
            </w:r>
          </w:p>
        </w:tc>
      </w:tr>
    </w:tbl>
    <w:p>
      <w:pPr>
        <w:spacing w:before="0" w:after="80"/>
      </w:pPr>
    </w:p>
    <w:p>
      <w:pPr>
        <w:pStyle w:val="Heading2"/>
      </w:pPr>
      <w:r>
        <w:rPr>
          <w:rFonts w:ascii="Calibri" w:hAnsi="Calibri"/>
          <w:b/>
          <w:color w:val="2E74B5"/>
          <w:sz w:val="26"/>
        </w:rPr>
        <w:t>7.4 Principes de conception observés</w:t>
      </w:r>
    </w:p>
    <w:p>
      <w:pPr>
        <w:numPr>
          <w:ilvl w:val="0"/>
          <w:numId w:val="10"/>
        </w:numPr>
        <w:spacing w:before="0" w:after="80" w:line="300" w:lineRule="auto"/>
      </w:pPr>
      <w:r>
        <w:rPr>
          <w:rFonts w:ascii="Calibri" w:hAnsi="Calibri"/>
          <w:color w:val="111111"/>
          <w:sz w:val="22"/>
        </w:rPr>
        <w:t>Strategy pattern pour isoler les particularités MOOV et Orange.</w:t>
      </w:r>
    </w:p>
    <w:p>
      <w:pPr>
        <w:numPr>
          <w:ilvl w:val="0"/>
          <w:numId w:val="10"/>
        </w:numPr>
        <w:spacing w:before="0" w:after="80" w:line="300" w:lineRule="auto"/>
      </w:pPr>
      <w:r>
        <w:rPr>
          <w:rFonts w:ascii="Calibri" w:hAnsi="Calibri"/>
          <w:color w:val="111111"/>
          <w:sz w:val="22"/>
        </w:rPr>
        <w:t>Pipeline d’import commun avec parseurs polymorphes par extension.</w:t>
      </w:r>
    </w:p>
    <w:p>
      <w:pPr>
        <w:numPr>
          <w:ilvl w:val="0"/>
          <w:numId w:val="10"/>
        </w:numPr>
        <w:spacing w:before="0" w:after="80" w:line="300" w:lineRule="auto"/>
      </w:pPr>
      <w:r>
        <w:rPr>
          <w:rFonts w:ascii="Calibri" w:hAnsi="Calibri"/>
          <w:color w:val="111111"/>
          <w:sz w:val="22"/>
        </w:rPr>
        <w:t>Normalisation des valeurs externes avant application des règles métier.</w:t>
      </w:r>
    </w:p>
    <w:p>
      <w:pPr>
        <w:numPr>
          <w:ilvl w:val="0"/>
          <w:numId w:val="10"/>
        </w:numPr>
        <w:spacing w:before="0" w:after="80" w:line="300" w:lineRule="auto"/>
      </w:pPr>
      <w:r>
        <w:rPr>
          <w:rFonts w:ascii="Calibri" w:hAnsi="Calibri"/>
          <w:color w:val="111111"/>
          <w:sz w:val="22"/>
        </w:rPr>
        <w:t>Persistance d’un résultat matérialisé pour faciliter consultation, reporting et audit.</w:t>
      </w:r>
    </w:p>
    <w:p>
      <w:pPr>
        <w:numPr>
          <w:ilvl w:val="0"/>
          <w:numId w:val="10"/>
        </w:numPr>
        <w:spacing w:before="0" w:after="80" w:line="300" w:lineRule="auto"/>
      </w:pPr>
      <w:r>
        <w:rPr>
          <w:rFonts w:ascii="Calibri" w:hAnsi="Calibri"/>
          <w:color w:val="111111"/>
          <w:sz w:val="22"/>
        </w:rPr>
        <w:t>Flyway comme source de vérité de l’évolution du schéma.</w:t>
      </w:r>
    </w:p>
    <w:p>
      <w:pPr>
        <w:numPr>
          <w:ilvl w:val="0"/>
          <w:numId w:val="10"/>
        </w:numPr>
        <w:spacing w:before="0" w:after="80" w:line="300" w:lineRule="auto"/>
      </w:pPr>
      <w:r>
        <w:rPr>
          <w:rFonts w:ascii="Calibri" w:hAnsi="Calibri"/>
          <w:color w:val="111111"/>
          <w:sz w:val="22"/>
        </w:rPr>
        <w:t>Traitements destructifs et de rétention exécutés sous transaction et par lots.</w:t>
      </w:r>
    </w:p>
    <w:tbl>
      <w:tblPr>
        <w:tblW w:type="dxa" w:w="9360"/>
        <w:jc w:val="left"/>
        <w:tblLayout w:type="fixed"/>
        <w:tblLook w:firstColumn="1" w:firstRow="1" w:lastColumn="0" w:lastRow="0" w:noHBand="0" w:noVBand="1" w:val="04A0"/>
        <w:tblInd w:w="120" w:type="dxa"/>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9360"/>
      </w:tblGrid>
      <w:tr>
        <w:trPr>
          <w:tblHeader w:val="true"/>
        </w:trPr>
        <w:tc>
          <w:tcPr>
            <w:tcW w:type="dxa" w:w="9360"/>
            <w:vAlign w:val="center"/>
            <w:tcMar>
              <w:top w:w="80" w:type="dxa"/>
              <w:start w:w="120" w:type="dxa"/>
              <w:bottom w:w="80" w:type="dxa"/>
              <w:end w:w="120" w:type="dxa"/>
            </w:tcMar>
            <w:shd w:fill="F4F6F9" w:val="clear"/>
          </w:tcPr>
          <w:p>
            <w:pPr>
              <w:spacing w:after="0" w:line="276" w:lineRule="auto"/>
            </w:pPr>
            <w:r>
              <w:rPr>
                <w:rFonts w:ascii="Calibri" w:hAnsi="Calibri"/>
                <w:b/>
                <w:color w:val="0B2545"/>
                <w:sz w:val="20"/>
              </w:rPr>
              <w:t xml:space="preserve">Évolutivité  </w:t>
            </w:r>
            <w:r>
              <w:rPr>
                <w:rFonts w:ascii="Calibri" w:hAnsi="Calibri"/>
                <w:color w:val="111111"/>
                <w:sz w:val="20"/>
              </w:rPr>
              <w:t>L’ajout d’un nouvel opérateur est conceptuellement facilité par ReconciliationOperatorStrategy, mais exige encore des adaptations du schéma commun, des DTO, du dashboard, du reporting et des endpoints.</w:t>
            </w:r>
          </w:p>
        </w:tc>
      </w:tr>
    </w:tbl>
    <w:p>
      <w:pPr>
        <w:spacing w:after="40"/>
      </w:pPr>
    </w:p>
    <w:p>
      <w:pPr>
        <w:pStyle w:val="Heading2"/>
      </w:pPr>
      <w:r>
        <w:rPr>
          <w:rFonts w:ascii="Calibri" w:hAnsi="Calibri"/>
          <w:b/>
          <w:color w:val="2E74B5"/>
          <w:sz w:val="26"/>
        </w:rPr>
        <w:t>7.5 Diagramme de classes</w:t>
      </w:r>
    </w:p>
    <w:p>
      <w:pPr>
        <w:spacing w:after="40"/>
        <w:jc w:val="center"/>
      </w:pPr>
      <w:r>
        <w:drawing>
          <wp:inline xmlns:a="http://schemas.openxmlformats.org/drawingml/2006/main" xmlns:pic="http://schemas.openxmlformats.org/drawingml/2006/picture">
            <wp:extent cx="5669280" cy="3968496"/>
            <wp:docPr id="9" name="Picture 9" descr="Diagramme UML des classes du domaine de réconciliation"/>
            <wp:cNvGraphicFramePr>
              <a:graphicFrameLocks noChangeAspect="1"/>
            </wp:cNvGraphicFramePr>
            <a:graphic>
              <a:graphicData uri="http://schemas.openxmlformats.org/drawingml/2006/picture">
                <pic:pic>
                  <pic:nvPicPr>
                    <pic:cNvPr id="0" name="diagramme_classes.png"/>
                    <pic:cNvPicPr/>
                  </pic:nvPicPr>
                  <pic:blipFill>
                    <a:blip r:embed="rId19"/>
                    <a:stretch>
                      <a:fillRect/>
                    </a:stretch>
                  </pic:blipFill>
                  <pic:spPr>
                    <a:xfrm>
                      <a:off x="0" y="0"/>
                      <a:ext cx="5669280" cy="3968496"/>
                    </a:xfrm>
                    <a:prstGeom prst="rect"/>
                  </pic:spPr>
                </pic:pic>
              </a:graphicData>
            </a:graphic>
          </wp:inline>
        </w:drawing>
      </w:r>
    </w:p>
    <w:p>
      <w:pPr>
        <w:spacing w:before="80" w:after="160"/>
        <w:jc w:val="center"/>
      </w:pPr>
      <w:r>
        <w:rPr>
          <w:rFonts w:ascii="Calibri" w:hAnsi="Calibri"/>
          <w:i/>
          <w:color w:val="5F6B7A"/>
          <w:sz w:val="18"/>
        </w:rPr>
        <w:t>Figure 9 — Classes principales, attributs et associations du domaine.</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000"/>
        <w:gridCol w:w="1500"/>
        <w:gridCol w:w="4860"/>
      </w:tblGrid>
      <w:tr>
        <w:trPr>
          <w:tblHeader w:val="true"/>
        </w:trPr>
        <w:tc>
          <w:tcPr>
            <w:tcW w:type="dxa" w:w="30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Association</w:t>
            </w:r>
          </w:p>
        </w:tc>
        <w:tc>
          <w:tcPr>
            <w:tcW w:type="dxa" w:w="15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Cardinalité</w:t>
            </w:r>
          </w:p>
        </w:tc>
        <w:tc>
          <w:tcPr>
            <w:tcW w:type="dxa" w:w="486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Interprétation</w:t>
            </w:r>
          </w:p>
        </w:tc>
      </w:tr>
      <w:tr>
        <w:tc>
          <w:tcPr>
            <w:tcW w:type="dxa" w:w="30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FileImport → transaction source</w:t>
            </w:r>
          </w:p>
        </w:tc>
        <w:tc>
          <w:tcPr>
            <w:tcW w:type="dxa" w:w="15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1 à 0..*</w:t>
            </w:r>
          </w:p>
        </w:tc>
        <w:tc>
          <w:tcPr>
            <w:tcW w:type="dxa" w:w="48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Un import possède plusieurs lignes d’une seule source.</w:t>
            </w:r>
          </w:p>
        </w:tc>
      </w:tr>
      <w:tr>
        <w:tc>
          <w:tcPr>
            <w:tcW w:type="dxa" w:w="30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ReconciliationRun → ReconciliationResult</w:t>
            </w:r>
          </w:p>
        </w:tc>
        <w:tc>
          <w:tcPr>
            <w:tcW w:type="dxa" w:w="15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1 à 0..*</w:t>
            </w:r>
          </w:p>
        </w:tc>
        <w:tc>
          <w:tcPr>
            <w:tcW w:type="dxa" w:w="48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Un run matérialise un résultat par clé ou doublon.</w:t>
            </w:r>
          </w:p>
        </w:tc>
      </w:tr>
      <w:tr>
        <w:tc>
          <w:tcPr>
            <w:tcW w:type="dxa" w:w="30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ReconciliationResult → BankTransaction</w:t>
            </w:r>
          </w:p>
        </w:tc>
        <w:tc>
          <w:tcPr>
            <w:tcW w:type="dxa" w:w="15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0..1</w:t>
            </w:r>
          </w:p>
        </w:tc>
        <w:tc>
          <w:tcPr>
            <w:tcW w:type="dxa" w:w="48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La transaction Banque peut être absente.</w:t>
            </w:r>
          </w:p>
        </w:tc>
      </w:tr>
      <w:tr>
        <w:tc>
          <w:tcPr>
            <w:tcW w:type="dxa" w:w="30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ReconciliationResult → transaction opérateur</w:t>
            </w:r>
          </w:p>
        </w:tc>
        <w:tc>
          <w:tcPr>
            <w:tcW w:type="dxa" w:w="15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0..1</w:t>
            </w:r>
          </w:p>
        </w:tc>
        <w:tc>
          <w:tcPr>
            <w:tcW w:type="dxa" w:w="48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La transaction MOOV ou Orange peut être absente.</w:t>
            </w:r>
          </w:p>
        </w:tc>
      </w:tr>
      <w:tr>
        <w:tc>
          <w:tcPr>
            <w:tcW w:type="dxa" w:w="30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AmplitudeTransaction</w:t>
            </w:r>
          </w:p>
        </w:tc>
        <w:tc>
          <w:tcPr>
            <w:tcW w:type="dxa" w:w="15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indépendante du run</w:t>
            </w:r>
          </w:p>
        </w:tc>
        <w:tc>
          <w:tcPr>
            <w:tcW w:type="dxa" w:w="48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Utilisée par recherche de référence pour la comptabilisation et certains matchs.</w:t>
            </w:r>
          </w:p>
        </w:tc>
      </w:tr>
    </w:tbl>
    <w:p>
      <w:pPr>
        <w:spacing w:before="0" w:after="80"/>
      </w:pPr>
    </w:p>
    <w:p>
      <w:pPr>
        <w:pStyle w:val="Heading2"/>
      </w:pPr>
      <w:r>
        <w:rPr>
          <w:rFonts w:ascii="Calibri" w:hAnsi="Calibri"/>
          <w:b/>
          <w:color w:val="2E74B5"/>
          <w:sz w:val="26"/>
        </w:rPr>
        <w:t>7.6 Diagrammes d’états</w:t>
      </w:r>
    </w:p>
    <w:p>
      <w:pPr>
        <w:spacing w:after="40"/>
        <w:jc w:val="center"/>
      </w:pPr>
      <w:r>
        <w:drawing>
          <wp:inline xmlns:a="http://schemas.openxmlformats.org/drawingml/2006/main" xmlns:pic="http://schemas.openxmlformats.org/drawingml/2006/picture">
            <wp:extent cx="5669280" cy="3086608"/>
            <wp:docPr id="10" name="Picture 10" descr="Diagrammes d’états de FileImport et ReconciliationRun"/>
            <wp:cNvGraphicFramePr>
              <a:graphicFrameLocks noChangeAspect="1"/>
            </wp:cNvGraphicFramePr>
            <a:graphic>
              <a:graphicData uri="http://schemas.openxmlformats.org/drawingml/2006/picture">
                <pic:pic>
                  <pic:nvPicPr>
                    <pic:cNvPr id="0" name="diagrammes_etats.png"/>
                    <pic:cNvPicPr/>
                  </pic:nvPicPr>
                  <pic:blipFill>
                    <a:blip r:embed="rId20"/>
                    <a:stretch>
                      <a:fillRect/>
                    </a:stretch>
                  </pic:blipFill>
                  <pic:spPr>
                    <a:xfrm>
                      <a:off x="0" y="0"/>
                      <a:ext cx="5669280" cy="3086608"/>
                    </a:xfrm>
                    <a:prstGeom prst="rect"/>
                  </pic:spPr>
                </pic:pic>
              </a:graphicData>
            </a:graphic>
          </wp:inline>
        </w:drawing>
      </w:r>
    </w:p>
    <w:p>
      <w:pPr>
        <w:spacing w:before="80" w:after="160"/>
        <w:jc w:val="center"/>
      </w:pPr>
      <w:r>
        <w:rPr>
          <w:rFonts w:ascii="Calibri" w:hAnsi="Calibri"/>
          <w:i/>
          <w:color w:val="5F6B7A"/>
          <w:sz w:val="18"/>
        </w:rPr>
        <w:t>Figure 10 — Cycles de vie des imports et runs de réconciliation.</w:t>
      </w:r>
    </w:p>
    <w:tbl>
      <w:tblPr>
        <w:tblW w:type="dxa" w:w="9360"/>
        <w:jc w:val="left"/>
        <w:tblLayout w:type="fixed"/>
        <w:tblLook w:firstColumn="1" w:firstRow="1" w:lastColumn="0" w:lastRow="0" w:noHBand="0" w:noVBand="1" w:val="04A0"/>
        <w:tblInd w:w="120" w:type="dxa"/>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9360"/>
      </w:tblGrid>
      <w:tr>
        <w:trPr>
          <w:tblHeader w:val="true"/>
        </w:trPr>
        <w:tc>
          <w:tcPr>
            <w:tcW w:type="dxa" w:w="9360"/>
            <w:vAlign w:val="center"/>
            <w:tcMar>
              <w:top w:w="80" w:type="dxa"/>
              <w:start w:w="120" w:type="dxa"/>
              <w:bottom w:w="80" w:type="dxa"/>
              <w:end w:w="120" w:type="dxa"/>
            </w:tcMar>
            <w:shd w:fill="FFF7E6" w:val="clear"/>
          </w:tcPr>
          <w:p>
            <w:pPr>
              <w:spacing w:after="0" w:line="276" w:lineRule="auto"/>
            </w:pPr>
            <w:r>
              <w:rPr>
                <w:rFonts w:ascii="Calibri" w:hAnsi="Calibri"/>
                <w:b/>
                <w:color w:val="A16C00"/>
                <w:sz w:val="20"/>
              </w:rPr>
              <w:t xml:space="preserve">Observation  </w:t>
            </w:r>
            <w:r>
              <w:rPr>
                <w:rFonts w:ascii="Calibri" w:hAnsi="Calibri"/>
                <w:color w:val="111111"/>
                <w:sz w:val="20"/>
              </w:rPr>
              <w:t>L’enum ReconciliationRunStatus prévoit FAILED, mais le workflow transactionnel actuel ne persiste pas systématiquement cet état lorsqu’une exception interrompt le run. Le diagramme distingue donc l’état implémenté de la cible de robustesse.</w:t>
            </w:r>
          </w:p>
        </w:tc>
      </w:tr>
    </w:tbl>
    <w:p>
      <w:pPr>
        <w:spacing w:after="40"/>
      </w:pPr>
    </w:p>
    <w:p>
      <w:pPr>
        <w:pStyle w:val="Heading2"/>
      </w:pPr>
      <w:r>
        <w:rPr>
          <w:rFonts w:ascii="Calibri" w:hAnsi="Calibri"/>
          <w:b/>
          <w:color w:val="2E74B5"/>
          <w:sz w:val="26"/>
        </w:rPr>
        <w:t>7.7 Diagramme de déploiement</w:t>
      </w:r>
    </w:p>
    <w:p>
      <w:pPr>
        <w:spacing w:after="40"/>
        <w:jc w:val="center"/>
      </w:pPr>
      <w:r>
        <w:drawing>
          <wp:inline xmlns:a="http://schemas.openxmlformats.org/drawingml/2006/main" xmlns:pic="http://schemas.openxmlformats.org/drawingml/2006/picture">
            <wp:extent cx="5669280" cy="3527552"/>
            <wp:docPr id="11" name="Picture 11" descr="Diagramme de déploiement cible de la plateforme"/>
            <wp:cNvGraphicFramePr>
              <a:graphicFrameLocks noChangeAspect="1"/>
            </wp:cNvGraphicFramePr>
            <a:graphic>
              <a:graphicData uri="http://schemas.openxmlformats.org/drawingml/2006/picture">
                <pic:pic>
                  <pic:nvPicPr>
                    <pic:cNvPr id="0" name="diagramme_deploiement.png"/>
                    <pic:cNvPicPr/>
                  </pic:nvPicPr>
                  <pic:blipFill>
                    <a:blip r:embed="rId21"/>
                    <a:stretch>
                      <a:fillRect/>
                    </a:stretch>
                  </pic:blipFill>
                  <pic:spPr>
                    <a:xfrm>
                      <a:off x="0" y="0"/>
                      <a:ext cx="5669280" cy="3527552"/>
                    </a:xfrm>
                    <a:prstGeom prst="rect"/>
                  </pic:spPr>
                </pic:pic>
              </a:graphicData>
            </a:graphic>
          </wp:inline>
        </w:drawing>
      </w:r>
    </w:p>
    <w:p>
      <w:pPr>
        <w:spacing w:before="80" w:after="160"/>
        <w:jc w:val="center"/>
      </w:pPr>
      <w:r>
        <w:rPr>
          <w:rFonts w:ascii="Calibri" w:hAnsi="Calibri"/>
          <w:i/>
          <w:color w:val="5F6B7A"/>
          <w:sz w:val="18"/>
        </w:rPr>
        <w:t>Figure 11 — Nœuds d’exécution, dépendances et flux techniques.</w:t>
      </w:r>
    </w:p>
    <w:p>
      <w:pPr>
        <w:spacing w:before="0" w:after="120" w:line="300" w:lineRule="auto"/>
      </w:pPr>
      <w:r>
        <w:rPr>
          <w:rFonts w:ascii="Calibri" w:hAnsi="Calibri"/>
          <w:color w:val="111111"/>
          <w:sz w:val="22"/>
        </w:rPr>
        <w:t>Le déploiement cible sépare clairement le client, le service Spring Boot, PostgreSQL, le stockage des fichiers, les services de messagerie et la supervision. Le port publié doit être aligné avec server.port, et les secrets doivent provenir de l’environnement ou d’un gestionnaire dédié.</w:t>
      </w:r>
    </w:p>
    <w:p>
      <w:r>
        <w:br w:type="page"/>
      </w:r>
    </w:p>
    <w:p>
      <w:pPr>
        <w:pStyle w:val="Heading1"/>
      </w:pPr>
      <w:r>
        <w:rPr>
          <w:rFonts w:ascii="Calibri" w:hAnsi="Calibri"/>
          <w:b/>
          <w:color w:val="2E74B5"/>
          <w:sz w:val="32"/>
        </w:rPr>
        <w:t>8. Modèle de données</w:t>
      </w:r>
    </w:p>
    <w:p>
      <w:pPr>
        <w:spacing w:after="40"/>
        <w:jc w:val="center"/>
      </w:pPr>
      <w:r>
        <w:drawing>
          <wp:inline xmlns:a="http://schemas.openxmlformats.org/drawingml/2006/main" xmlns:pic="http://schemas.openxmlformats.org/drawingml/2006/picture">
            <wp:extent cx="5669280" cy="3307080"/>
            <wp:docPr id="12" name="Picture 12" descr="Modèle de données simplifié de la réconciliation"/>
            <wp:cNvGraphicFramePr>
              <a:graphicFrameLocks noChangeAspect="1"/>
            </wp:cNvGraphicFramePr>
            <a:graphic>
              <a:graphicData uri="http://schemas.openxmlformats.org/drawingml/2006/picture">
                <pic:pic>
                  <pic:nvPicPr>
                    <pic:cNvPr id="0" name="modele_donnees.png"/>
                    <pic:cNvPicPr/>
                  </pic:nvPicPr>
                  <pic:blipFill>
                    <a:blip r:embed="rId22"/>
                    <a:stretch>
                      <a:fillRect/>
                    </a:stretch>
                  </pic:blipFill>
                  <pic:spPr>
                    <a:xfrm>
                      <a:off x="0" y="0"/>
                      <a:ext cx="5669280" cy="3307080"/>
                    </a:xfrm>
                    <a:prstGeom prst="rect"/>
                  </pic:spPr>
                </pic:pic>
              </a:graphicData>
            </a:graphic>
          </wp:inline>
        </w:drawing>
      </w:r>
    </w:p>
    <w:p>
      <w:pPr>
        <w:spacing w:before="80" w:after="160"/>
        <w:jc w:val="center"/>
      </w:pPr>
      <w:r>
        <w:rPr>
          <w:rFonts w:ascii="Calibri" w:hAnsi="Calibri"/>
          <w:i/>
          <w:color w:val="5F6B7A"/>
          <w:sz w:val="18"/>
        </w:rPr>
        <w:t>Figure 12 — Entités principales et relations fonctionnelles.</w:t>
      </w:r>
    </w:p>
    <w:p>
      <w:pPr>
        <w:pStyle w:val="Heading2"/>
      </w:pPr>
      <w:r>
        <w:rPr>
          <w:rFonts w:ascii="Calibri" w:hAnsi="Calibri"/>
          <w:b/>
          <w:color w:val="2E74B5"/>
          <w:sz w:val="26"/>
        </w:rPr>
        <w:t>8.1 Entités principales</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350"/>
        <w:gridCol w:w="3670"/>
        <w:gridCol w:w="3340"/>
      </w:tblGrid>
      <w:tr>
        <w:trPr>
          <w:tblHeader w:val="true"/>
        </w:trPr>
        <w:tc>
          <w:tcPr>
            <w:tcW w:type="dxa" w:w="235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Entité</w:t>
            </w:r>
          </w:p>
        </w:tc>
        <w:tc>
          <w:tcPr>
            <w:tcW w:type="dxa" w:w="367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Rôle</w:t>
            </w:r>
          </w:p>
        </w:tc>
        <w:tc>
          <w:tcPr>
            <w:tcW w:type="dxa" w:w="334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Clés / relations</w:t>
            </w:r>
          </w:p>
        </w:tc>
      </w:tr>
      <w:tr>
        <w:tc>
          <w:tcPr>
            <w:tcW w:type="dxa" w:w="23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file_import</w:t>
            </w:r>
          </w:p>
        </w:tc>
        <w:tc>
          <w:tcPr>
            <w:tcW w:type="dxa" w:w="367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Métadonnée, qualité et traçabilité du fichier.</w:t>
            </w:r>
          </w:p>
        </w:tc>
        <w:tc>
          <w:tcPr>
            <w:tcW w:type="dxa" w:w="334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1–N vers transactions ; source, opérateur, date, checksum.</w:t>
            </w:r>
          </w:p>
        </w:tc>
      </w:tr>
      <w:tr>
        <w:tc>
          <w:tcPr>
            <w:tcW w:type="dxa" w:w="2350"/>
            <w:vAlign w:val="center"/>
            <w:tcMar>
              <w:top w:w="80" w:type="dxa"/>
              <w:start w:w="120" w:type="dxa"/>
              <w:bottom w:w="80" w:type="dxa"/>
              <w:end w:w="120" w:type="dxa"/>
            </w:tcMar>
          </w:tcPr>
          <w:p>
            <w:pPr>
              <w:spacing w:before="0" w:after="0" w:line="264" w:lineRule="auto"/>
              <w:jc w:val="left"/>
            </w:pPr>
            <w:r>
              <w:rPr>
                <w:rFonts w:ascii="Calibri" w:hAnsi="Calibri"/>
                <w:b/>
                <w:color w:val="111111"/>
                <w:sz w:val="17"/>
              </w:rPr>
              <w:t>bank_transaction</w:t>
            </w:r>
          </w:p>
        </w:tc>
        <w:tc>
          <w:tcPr>
            <w:tcW w:type="dxa" w:w="367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Ligne Banque/Carthago normalisée.</w:t>
            </w:r>
          </w:p>
        </w:tc>
        <w:tc>
          <w:tcPr>
            <w:tcW w:type="dxa" w:w="334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N–1 import ; transactionId comme clé métier.</w:t>
            </w:r>
          </w:p>
        </w:tc>
      </w:tr>
      <w:tr>
        <w:tc>
          <w:tcPr>
            <w:tcW w:type="dxa" w:w="2350"/>
            <w:vAlign w:val="center"/>
            <w:tcMar>
              <w:top w:w="80" w:type="dxa"/>
              <w:start w:w="120" w:type="dxa"/>
              <w:bottom w:w="80" w:type="dxa"/>
              <w:end w:w="120" w:type="dxa"/>
            </w:tcMar>
          </w:tcPr>
          <w:p>
            <w:pPr>
              <w:spacing w:before="0" w:after="0" w:line="264" w:lineRule="auto"/>
              <w:jc w:val="left"/>
            </w:pPr>
            <w:r>
              <w:rPr>
                <w:rFonts w:ascii="Calibri" w:hAnsi="Calibri"/>
                <w:b/>
                <w:color w:val="111111"/>
                <w:sz w:val="17"/>
              </w:rPr>
              <w:t>moov_transaction</w:t>
            </w:r>
          </w:p>
        </w:tc>
        <w:tc>
          <w:tcPr>
            <w:tcW w:type="dxa" w:w="367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Ligne MOOV normalisée.</w:t>
            </w:r>
          </w:p>
        </w:tc>
        <w:tc>
          <w:tcPr>
            <w:tcW w:type="dxa" w:w="334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N–1 import ; receiptNo comme clé métier.</w:t>
            </w:r>
          </w:p>
        </w:tc>
      </w:tr>
      <w:tr>
        <w:tc>
          <w:tcPr>
            <w:tcW w:type="dxa" w:w="2350"/>
            <w:vAlign w:val="center"/>
            <w:tcMar>
              <w:top w:w="80" w:type="dxa"/>
              <w:start w:w="120" w:type="dxa"/>
              <w:bottom w:w="80" w:type="dxa"/>
              <w:end w:w="120" w:type="dxa"/>
            </w:tcMar>
          </w:tcPr>
          <w:p>
            <w:pPr>
              <w:spacing w:before="0" w:after="0" w:line="264" w:lineRule="auto"/>
              <w:jc w:val="left"/>
            </w:pPr>
            <w:r>
              <w:rPr>
                <w:rFonts w:ascii="Calibri" w:hAnsi="Calibri"/>
                <w:b/>
                <w:color w:val="111111"/>
                <w:sz w:val="17"/>
              </w:rPr>
              <w:t>orange_transaction</w:t>
            </w:r>
          </w:p>
        </w:tc>
        <w:tc>
          <w:tcPr>
            <w:tcW w:type="dxa" w:w="367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Ligne Orange normalisée.</w:t>
            </w:r>
          </w:p>
        </w:tc>
        <w:tc>
          <w:tcPr>
            <w:tcW w:type="dxa" w:w="334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N–1 import ; omTransactionId comme clé métier.</w:t>
            </w:r>
          </w:p>
        </w:tc>
      </w:tr>
      <w:tr>
        <w:tc>
          <w:tcPr>
            <w:tcW w:type="dxa" w:w="2350"/>
            <w:vAlign w:val="center"/>
            <w:tcMar>
              <w:top w:w="80" w:type="dxa"/>
              <w:start w:w="120" w:type="dxa"/>
              <w:bottom w:w="80" w:type="dxa"/>
              <w:end w:w="120" w:type="dxa"/>
            </w:tcMar>
          </w:tcPr>
          <w:p>
            <w:pPr>
              <w:spacing w:before="0" w:after="0" w:line="264" w:lineRule="auto"/>
              <w:jc w:val="left"/>
            </w:pPr>
            <w:r>
              <w:rPr>
                <w:rFonts w:ascii="Calibri" w:hAnsi="Calibri"/>
                <w:b/>
                <w:color w:val="111111"/>
                <w:sz w:val="17"/>
              </w:rPr>
              <w:t>amplitude_transaction</w:t>
            </w:r>
          </w:p>
        </w:tc>
        <w:tc>
          <w:tcPr>
            <w:tcW w:type="dxa" w:w="367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Écriture comptable importée.</w:t>
            </w:r>
          </w:p>
        </w:tc>
        <w:tc>
          <w:tcPr>
            <w:tcW w:type="dxa" w:w="334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N–1 import ; référence opération utilisée au matching.</w:t>
            </w:r>
          </w:p>
        </w:tc>
      </w:tr>
      <w:tr>
        <w:tc>
          <w:tcPr>
            <w:tcW w:type="dxa" w:w="2350"/>
            <w:vAlign w:val="center"/>
            <w:tcMar>
              <w:top w:w="80" w:type="dxa"/>
              <w:start w:w="120" w:type="dxa"/>
              <w:bottom w:w="80" w:type="dxa"/>
              <w:end w:w="120" w:type="dxa"/>
            </w:tcMar>
          </w:tcPr>
          <w:p>
            <w:pPr>
              <w:spacing w:before="0" w:after="0" w:line="264" w:lineRule="auto"/>
              <w:jc w:val="left"/>
            </w:pPr>
            <w:r>
              <w:rPr>
                <w:rFonts w:ascii="Calibri" w:hAnsi="Calibri"/>
                <w:b/>
                <w:color w:val="111111"/>
                <w:sz w:val="17"/>
              </w:rPr>
              <w:t>reconciliation_run</w:t>
            </w:r>
          </w:p>
        </w:tc>
        <w:tc>
          <w:tcPr>
            <w:tcW w:type="dxa" w:w="367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Exécution par opérateur et période.</w:t>
            </w:r>
          </w:p>
        </w:tc>
        <w:tc>
          <w:tcPr>
            <w:tcW w:type="dxa" w:w="334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Référence les IDs d’import sous forme de chaînes CSV.</w:t>
            </w:r>
          </w:p>
        </w:tc>
      </w:tr>
      <w:tr>
        <w:tc>
          <w:tcPr>
            <w:tcW w:type="dxa" w:w="2350"/>
            <w:vAlign w:val="center"/>
            <w:tcMar>
              <w:top w:w="80" w:type="dxa"/>
              <w:start w:w="120" w:type="dxa"/>
              <w:bottom w:w="80" w:type="dxa"/>
              <w:end w:w="120" w:type="dxa"/>
            </w:tcMar>
          </w:tcPr>
          <w:p>
            <w:pPr>
              <w:spacing w:before="0" w:after="0" w:line="264" w:lineRule="auto"/>
              <w:jc w:val="left"/>
            </w:pPr>
            <w:r>
              <w:rPr>
                <w:rFonts w:ascii="Calibri" w:hAnsi="Calibri"/>
                <w:b/>
                <w:color w:val="111111"/>
                <w:sz w:val="17"/>
              </w:rPr>
              <w:t>reconciliation_result</w:t>
            </w:r>
          </w:p>
        </w:tc>
        <w:tc>
          <w:tcPr>
            <w:tcW w:type="dxa" w:w="367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Résultat matérialisé par clé.</w:t>
            </w:r>
          </w:p>
        </w:tc>
        <w:tc>
          <w:tcPr>
            <w:tcW w:type="dxa" w:w="334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N–1 run ; IDs Banque/opérateur non matérialisés en FK.</w:t>
            </w:r>
          </w:p>
        </w:tc>
      </w:tr>
      <w:tr>
        <w:tc>
          <w:tcPr>
            <w:tcW w:type="dxa" w:w="23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*_archive</w:t>
            </w:r>
          </w:p>
        </w:tc>
        <w:tc>
          <w:tcPr>
            <w:tcW w:type="dxa" w:w="367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Copies historiques avant purge.</w:t>
            </w:r>
          </w:p>
        </w:tc>
        <w:tc>
          <w:tcPr>
            <w:tcW w:type="dxa" w:w="334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Source IDs uniques ; fidélité partielle du run courant.</w:t>
            </w:r>
          </w:p>
        </w:tc>
      </w:tr>
      <w:tr>
        <w:tc>
          <w:tcPr>
            <w:tcW w:type="dxa" w:w="2350"/>
            <w:vAlign w:val="center"/>
            <w:tcMar>
              <w:top w:w="80" w:type="dxa"/>
              <w:start w:w="120" w:type="dxa"/>
              <w:bottom w:w="80" w:type="dxa"/>
              <w:end w:w="120" w:type="dxa"/>
            </w:tcMar>
          </w:tcPr>
          <w:p>
            <w:pPr>
              <w:spacing w:before="0" w:after="0" w:line="264" w:lineRule="auto"/>
              <w:jc w:val="left"/>
            </w:pPr>
            <w:r>
              <w:rPr>
                <w:rFonts w:ascii="Calibri" w:hAnsi="Calibri"/>
                <w:b/>
                <w:color w:val="111111"/>
                <w:sz w:val="17"/>
              </w:rPr>
              <w:t>ba_utilisateur/profil/role</w:t>
            </w:r>
          </w:p>
        </w:tc>
        <w:tc>
          <w:tcPr>
            <w:tcW w:type="dxa" w:w="367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Identités et habilitations legacy.</w:t>
            </w:r>
          </w:p>
        </w:tc>
        <w:tc>
          <w:tcPr>
            <w:tcW w:type="dxa" w:w="334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Utilisateur N–1 profil ; profil N–N rôles.</w:t>
            </w:r>
          </w:p>
        </w:tc>
      </w:tr>
    </w:tbl>
    <w:p>
      <w:pPr>
        <w:spacing w:before="0" w:after="80"/>
      </w:pPr>
    </w:p>
    <w:p>
      <w:pPr>
        <w:pStyle w:val="Heading2"/>
      </w:pPr>
      <w:r>
        <w:rPr>
          <w:rFonts w:ascii="Calibri" w:hAnsi="Calibri"/>
          <w:b/>
          <w:color w:val="2E74B5"/>
          <w:sz w:val="26"/>
        </w:rPr>
        <w:t>8.2 Contraintes et index</w:t>
      </w:r>
    </w:p>
    <w:p>
      <w:pPr>
        <w:numPr>
          <w:ilvl w:val="0"/>
          <w:numId w:val="10"/>
        </w:numPr>
        <w:spacing w:before="0" w:after="80" w:line="300" w:lineRule="auto"/>
      </w:pPr>
      <w:r>
        <w:rPr>
          <w:rFonts w:ascii="Calibri" w:hAnsi="Calibri"/>
          <w:color w:val="111111"/>
          <w:sz w:val="22"/>
        </w:rPr>
        <w:t>Index sur clés de rapprochement, imports, dates métier, types de résultat et opérateur/date de run.</w:t>
      </w:r>
    </w:p>
    <w:p>
      <w:pPr>
        <w:numPr>
          <w:ilvl w:val="0"/>
          <w:numId w:val="10"/>
        </w:numPr>
        <w:spacing w:before="0" w:after="80" w:line="300" w:lineRule="auto"/>
      </w:pPr>
      <w:r>
        <w:rPr>
          <w:rFonts w:ascii="Calibri" w:hAnsi="Calibri"/>
          <w:color w:val="111111"/>
          <w:sz w:val="22"/>
        </w:rPr>
        <w:t>Index unique anti-réimport sur source + date métier + portée opérateur + checksum.</w:t>
      </w:r>
    </w:p>
    <w:p>
      <w:pPr>
        <w:numPr>
          <w:ilvl w:val="0"/>
          <w:numId w:val="10"/>
        </w:numPr>
        <w:spacing w:before="0" w:after="80" w:line="300" w:lineRule="auto"/>
      </w:pPr>
      <w:r>
        <w:rPr>
          <w:rFonts w:ascii="Calibri" w:hAnsi="Calibri"/>
          <w:color w:val="111111"/>
          <w:sz w:val="22"/>
        </w:rPr>
        <w:t>Relations transaction → import et résultat → run ; AMPLITUDE utilise ON DELETE CASCADE, les premières tables non.</w:t>
      </w:r>
    </w:p>
    <w:p>
      <w:pPr>
        <w:numPr>
          <w:ilvl w:val="0"/>
          <w:numId w:val="10"/>
        </w:numPr>
        <w:spacing w:before="0" w:after="80" w:line="300" w:lineRule="auto"/>
      </w:pPr>
      <w:r>
        <w:rPr>
          <w:rFonts w:ascii="Calibri" w:hAnsi="Calibri"/>
          <w:color w:val="111111"/>
          <w:sz w:val="22"/>
        </w:rPr>
        <w:t>Références transactionnelles des résultats stockées comme IDs simples afin de tolérer un schéma opérateur commun.</w:t>
      </w:r>
    </w:p>
    <w:p>
      <w:pPr>
        <w:numPr>
          <w:ilvl w:val="0"/>
          <w:numId w:val="10"/>
        </w:numPr>
        <w:spacing w:before="0" w:after="80" w:line="300" w:lineRule="auto"/>
      </w:pPr>
      <w:r>
        <w:rPr>
          <w:rFonts w:ascii="Calibri" w:hAnsi="Calibri"/>
          <w:color w:val="111111"/>
          <w:sz w:val="22"/>
        </w:rPr>
        <w:t>Champs rawPayloadJson et reason en TEXT pour diagnostic et traçabilité.</w:t>
      </w:r>
    </w:p>
    <w:p>
      <w:pPr>
        <w:pStyle w:val="Heading2"/>
      </w:pPr>
      <w:r>
        <w:rPr>
          <w:rFonts w:ascii="Calibri" w:hAnsi="Calibri"/>
          <w:b/>
          <w:color w:val="2E74B5"/>
          <w:sz w:val="26"/>
        </w:rPr>
        <w:t>8.3 Dette de modèle identifiée</w:t>
      </w:r>
    </w:p>
    <w:p>
      <w:pPr>
        <w:spacing w:before="0" w:after="120" w:line="300" w:lineRule="auto"/>
      </w:pPr>
      <w:r>
        <w:rPr>
          <w:rFonts w:ascii="Calibri" w:hAnsi="Calibri"/>
          <w:color w:val="111111"/>
          <w:sz w:val="22"/>
        </w:rPr>
        <w:t>Les colonnes moov_transaction_id, moov_status_raw et moov_amount contiennent aussi les valeurs Orange. Ce choix facilite la réutilisation des vues mais rend le modèle ambigu. Les listes d’imports sont stockées en texte CSV dans le run plutôt que dans une table d’association. Les archives de run ne reprennent pas explicitement operator ni orange_import_ids, ce qui peut réduire la fidélité historique.</w:t>
      </w:r>
    </w:p>
    <w:p>
      <w:r>
        <w:br w:type="page"/>
      </w:r>
    </w:p>
    <w:p>
      <w:pPr>
        <w:pStyle w:val="Heading1"/>
      </w:pPr>
      <w:r>
        <w:rPr>
          <w:rFonts w:ascii="Calibri" w:hAnsi="Calibri"/>
          <w:b/>
          <w:color w:val="2E74B5"/>
          <w:sz w:val="32"/>
        </w:rPr>
        <w:t>9. Catalogue des API REST</w:t>
      </w:r>
    </w:p>
    <w:p>
      <w:pPr>
        <w:spacing w:before="0" w:after="120" w:line="300" w:lineRule="auto"/>
      </w:pPr>
      <w:r>
        <w:rPr>
          <w:rFonts w:ascii="Calibri" w:hAnsi="Calibri"/>
          <w:color w:val="111111"/>
          <w:sz w:val="22"/>
        </w:rPr>
        <w:t>Base fonctionnelle : /api. En configuration principale, le serveur écoute le port 8087. Les tableaux ci-dessous synthétisent les contrats exposés ; la pagination Spring est utilisée pour les collections Page.</w:t>
      </w:r>
    </w:p>
    <w:p>
      <w:pPr>
        <w:pStyle w:val="Heading2"/>
      </w:pPr>
      <w:r>
        <w:rPr>
          <w:rFonts w:ascii="Calibri" w:hAnsi="Calibri"/>
          <w:b/>
          <w:color w:val="2E74B5"/>
          <w:sz w:val="26"/>
        </w:rPr>
        <w:t>9.1 Authentification et administration</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250"/>
        <w:gridCol w:w="4050"/>
        <w:gridCol w:w="4060"/>
      </w:tblGrid>
      <w:tr>
        <w:trPr>
          <w:tblHeader w:val="true"/>
        </w:trPr>
        <w:tc>
          <w:tcPr>
            <w:tcW w:type="dxa" w:w="125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Méthode</w:t>
            </w:r>
          </w:p>
        </w:tc>
        <w:tc>
          <w:tcPr>
            <w:tcW w:type="dxa" w:w="405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Chemin</w:t>
            </w:r>
          </w:p>
        </w:tc>
        <w:tc>
          <w:tcPr>
            <w:tcW w:type="dxa" w:w="406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Finalité</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POST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/api/authenticate</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Authentifier et obtenir un JWT.</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GET/POST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/api/users</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Lister ou créer un utilisateur.</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PUT/DELETE</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/api/users/{code}</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Modifier ou supprimer un utilisateur.</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/api/users/details</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Informations de l’utilisateur courant.</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PUT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/api/users/change-password</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Changer le mot de passe.</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PUT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/api/users/request-reset-password</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Demander une réinitialisation.</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PUT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/api/users/complete-reset-password</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Finaliser la réinitialisation.</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/api/users/{id}/activate</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Activer un utilisateur.</w:t>
            </w:r>
          </w:p>
        </w:tc>
      </w:tr>
      <w:tr>
        <w:tc>
          <w:tcPr>
            <w:tcW w:type="dxa" w:w="1250"/>
            <w:vAlign w:val="center"/>
            <w:tcMar>
              <w:top w:w="80" w:type="dxa"/>
              <w:start w:w="120" w:type="dxa"/>
              <w:bottom w:w="80" w:type="dxa"/>
              <w:end w:w="120" w:type="dxa"/>
            </w:tcMar>
          </w:tcPr>
          <w:p>
            <w:pPr>
              <w:spacing w:before="0" w:after="0" w:line="264" w:lineRule="auto"/>
              <w:jc w:val="left"/>
            </w:pPr>
            <w:r>
              <w:rPr>
                <w:rFonts w:ascii="Calibri" w:hAnsi="Calibri"/>
                <w:b/>
                <w:color w:val="111111"/>
                <w:sz w:val="17"/>
              </w:rPr>
              <w:t>GET/POST/PUT/DELETE</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/api/roles[/{id}]</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CRUD des rôles.</w:t>
            </w:r>
          </w:p>
        </w:tc>
      </w:tr>
      <w:tr>
        <w:tc>
          <w:tcPr>
            <w:tcW w:type="dxa" w:w="1250"/>
            <w:vAlign w:val="center"/>
            <w:tcMar>
              <w:top w:w="80" w:type="dxa"/>
              <w:start w:w="120" w:type="dxa"/>
              <w:bottom w:w="80" w:type="dxa"/>
              <w:end w:w="120" w:type="dxa"/>
            </w:tcMar>
          </w:tcPr>
          <w:p>
            <w:pPr>
              <w:spacing w:before="0" w:after="0" w:line="264" w:lineRule="auto"/>
              <w:jc w:val="left"/>
            </w:pPr>
            <w:r>
              <w:rPr>
                <w:rFonts w:ascii="Calibri" w:hAnsi="Calibri"/>
                <w:b/>
                <w:color w:val="111111"/>
                <w:sz w:val="17"/>
              </w:rPr>
              <w:t>GET/POST/PUT/DELETE</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/api/profils[/{id}]</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CRUD des profils.</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/api/csrf</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Retourner le token CSRF.</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/api/documents/{id}</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Charger un document binaire.</w:t>
            </w:r>
          </w:p>
        </w:tc>
      </w:tr>
      <w:tr>
        <w:tc>
          <w:tcPr>
            <w:tcW w:type="dxa" w:w="1250"/>
            <w:vAlign w:val="center"/>
            <w:tcMar>
              <w:top w:w="80" w:type="dxa"/>
              <w:start w:w="120" w:type="dxa"/>
              <w:bottom w:w="80" w:type="dxa"/>
              <w:end w:w="120" w:type="dxa"/>
            </w:tcMar>
          </w:tcPr>
          <w:p>
            <w:pPr>
              <w:spacing w:before="0" w:after="0" w:line="264" w:lineRule="auto"/>
              <w:jc w:val="left"/>
            </w:pPr>
            <w:r>
              <w:rPr>
                <w:rFonts w:ascii="Calibri" w:hAnsi="Calibri"/>
                <w:b/>
                <w:color w:val="111111"/>
                <w:sz w:val="17"/>
              </w:rPr>
              <w:t>GET/POST/PUT/DELETE</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/api/categories[/{id}]</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CRUD catégories.</w:t>
            </w:r>
          </w:p>
        </w:tc>
      </w:tr>
      <w:tr>
        <w:tc>
          <w:tcPr>
            <w:tcW w:type="dxa" w:w="1250"/>
            <w:vAlign w:val="center"/>
            <w:tcMar>
              <w:top w:w="80" w:type="dxa"/>
              <w:start w:w="120" w:type="dxa"/>
              <w:bottom w:w="80" w:type="dxa"/>
              <w:end w:w="120" w:type="dxa"/>
            </w:tcMar>
          </w:tcPr>
          <w:p>
            <w:pPr>
              <w:spacing w:before="0" w:after="0" w:line="264" w:lineRule="auto"/>
              <w:jc w:val="left"/>
            </w:pPr>
            <w:r>
              <w:rPr>
                <w:rFonts w:ascii="Calibri" w:hAnsi="Calibri"/>
                <w:b/>
                <w:color w:val="111111"/>
                <w:sz w:val="17"/>
              </w:rPr>
              <w:t>GET/POST/PUT/DELETE</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/api/products[/{id}]</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CRUD produits.</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/api/reporting/products</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Rapport Jasper produits (legacy).</w:t>
            </w:r>
          </w:p>
        </w:tc>
      </w:tr>
    </w:tbl>
    <w:p>
      <w:pPr>
        <w:spacing w:before="0" w:after="80"/>
      </w:pPr>
    </w:p>
    <w:p>
      <w:pPr>
        <w:pStyle w:val="Heading2"/>
      </w:pPr>
      <w:r>
        <w:rPr>
          <w:rFonts w:ascii="Calibri" w:hAnsi="Calibri"/>
          <w:b/>
          <w:color w:val="2E74B5"/>
          <w:sz w:val="26"/>
        </w:rPr>
        <w:t>9.2 Imports et transactions</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250"/>
        <w:gridCol w:w="4050"/>
        <w:gridCol w:w="4060"/>
      </w:tblGrid>
      <w:tr>
        <w:trPr>
          <w:tblHeader w:val="true"/>
        </w:trPr>
        <w:tc>
          <w:tcPr>
            <w:tcW w:type="dxa" w:w="125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Méthode</w:t>
            </w:r>
          </w:p>
        </w:tc>
        <w:tc>
          <w:tcPr>
            <w:tcW w:type="dxa" w:w="405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Chemin</w:t>
            </w:r>
          </w:p>
        </w:tc>
        <w:tc>
          <w:tcPr>
            <w:tcW w:type="dxa" w:w="406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Finalité</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POST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/api/imports/bank</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Importer Banque ; file, operator, businessDate.</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POST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/api/imports/moov</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Importer MOOV ; file, businessDate.</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POST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/api/imports/orange</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Importer Orange ; file, businessDate.</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POST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/api/imports/amplitude</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Importer AMPLITUDE ; file, businessDate.</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/api/imports</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Lister les imports paginés.</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/api/imports/{id}</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Consulter un import.</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/api/imports/{id}/errors</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Consulter le message d’erreur/avertissement.</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DELETE</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/api/imports/{source}/latest</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Supprimer le dernier import de la source.</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DELETE</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/api/imports/{source}</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Supprimer par source/date/portée ; confirmation requise si cascade.</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DELETE</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/api/imports/{source}/all</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Supprimer tous les imports ; confirmCascade requis si un run est impacté.</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/api/imports/{source}/preview-delete</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Prévisualiser IDs et volumes avant suppression.</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/api/transactions/{bank|moov|orange}</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Lister par importId.</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GET/POST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/api/transactions/{source}/by-ids</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Charger par identifiants.</w:t>
            </w:r>
          </w:p>
        </w:tc>
      </w:tr>
    </w:tbl>
    <w:p>
      <w:pPr>
        <w:spacing w:before="0" w:after="80"/>
      </w:pPr>
    </w:p>
    <w:p>
      <w:pPr>
        <w:pStyle w:val="Heading2"/>
      </w:pPr>
      <w:r>
        <w:rPr>
          <w:rFonts w:ascii="Calibri" w:hAnsi="Calibri"/>
          <w:b/>
          <w:color w:val="2E74B5"/>
          <w:sz w:val="26"/>
        </w:rPr>
        <w:t>9.3 Réconciliation</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250"/>
        <w:gridCol w:w="4050"/>
        <w:gridCol w:w="4060"/>
      </w:tblGrid>
      <w:tr>
        <w:trPr>
          <w:tblHeader w:val="true"/>
        </w:trPr>
        <w:tc>
          <w:tcPr>
            <w:tcW w:type="dxa" w:w="125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Méthode</w:t>
            </w:r>
          </w:p>
        </w:tc>
        <w:tc>
          <w:tcPr>
            <w:tcW w:type="dxa" w:w="405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Chemin</w:t>
            </w:r>
          </w:p>
        </w:tc>
        <w:tc>
          <w:tcPr>
            <w:tcW w:type="dxa" w:w="406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Finalité</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POST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/api/reconciliations/run</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Créer et exécuter un run.</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/api/reconciliations/runs</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Lister/filtrer les runs.</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/api/reconciliations/runs/{id}</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Détail d’un run.</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/api/reconciliations/runs/{id}/results</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Résultats paginés du run.</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/api/reconciliations/runs/{id}/summary</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Synthèse du run.</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/api/reconciliations/summary</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Synthèse globale ou du dernier run opérateur.</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/api/reconciliations/results</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Recherche globale et filtres avancés.</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/api/reconciliations/runs/{id}/{vue}</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Vues matches, débits, crédits, échecs, absents, doublons, écarts.</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/api/reconciliations/history/by-date</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Historique d’un jour.</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/api/reconciliations/history/range</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Historique d’une plage.</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/api/reconciliations/history/latest</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Dernier run.</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/api/reconciliations/history/reset</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Historique des 7 derniers jours.</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/api/reconciliations/runs/{id}/export/csv</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Export CSV minimal.</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/api/reconciliations/runs/{id}/export/xlsx</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Export XLSX détaillé.</w:t>
            </w:r>
          </w:p>
        </w:tc>
      </w:tr>
    </w:tbl>
    <w:p>
      <w:pPr>
        <w:spacing w:before="0" w:after="80"/>
      </w:pPr>
    </w:p>
    <w:p>
      <w:pPr>
        <w:pStyle w:val="Heading2"/>
      </w:pPr>
      <w:r>
        <w:rPr>
          <w:rFonts w:ascii="Calibri" w:hAnsi="Calibri"/>
          <w:b/>
          <w:color w:val="2E74B5"/>
          <w:sz w:val="26"/>
        </w:rPr>
        <w:t>9.4 Pilotage, finance et exploitation</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250"/>
        <w:gridCol w:w="4050"/>
        <w:gridCol w:w="4060"/>
      </w:tblGrid>
      <w:tr>
        <w:trPr>
          <w:tblHeader w:val="true"/>
        </w:trPr>
        <w:tc>
          <w:tcPr>
            <w:tcW w:type="dxa" w:w="125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Méthode</w:t>
            </w:r>
          </w:p>
        </w:tc>
        <w:tc>
          <w:tcPr>
            <w:tcW w:type="dxa" w:w="405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Chemin</w:t>
            </w:r>
          </w:p>
        </w:tc>
        <w:tc>
          <w:tcPr>
            <w:tcW w:type="dxa" w:w="406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Finalité</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/api/dashboard/reconciliation/summary</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Synthèse dashboard.</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/api/dashboard/reconciliation/results-distribution</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Distribution des résultats.</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/api/dashboard/reconciliation/amounts</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Montants agrégés.</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/api/dashboard/reconciliation/timeline</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Timeline horaire.</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/api/dashboard/reconciliation/top-anomalies</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Anomalies triées par montant.</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/api/dashboard/reconciliation/data-quality</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Qualité des imports.</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/api/dashboard/reconciliation/reporting/summary</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Rapport DAY/WEEK/MONTH.</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/api/dashboard/reconciliation/reporting/export/{excel|pdf}</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Exports reporting.</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/api/accounting/check</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Contrôle comptable multi-opérateur.</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/api/accounting/amplitude/bank{Moov|Orange}/{check|kpi}</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Contrôle/KPI par canal.</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/api/accounting/{...}/kpi/export/{csv|pdf}</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Exports KPI comptables.</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/api/accounting/carthago/latest-date</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Dernière date Banque en succès.</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DELETE</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/api/accounting/amplitude/cleanup/{daily|range|weekly|all}</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Nettoyage AMPLITUDE.</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/api/compensations/{daily|weekly|monthly}</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Positions de compensation.</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/api/compensations/weekly/by-reference</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Semaine contenant une date.</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GET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/api/compensations/discrepancies</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Détail paginé des écarts.</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POST</w:t>
            </w:r>
          </w:p>
        </w:tc>
        <w:tc>
          <w:tcPr>
            <w:tcW w:type="dxa" w:w="40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/api/reconciliations/retention/run</w:t>
            </w:r>
          </w:p>
        </w:tc>
        <w:tc>
          <w:tcPr>
            <w:tcW w:type="dxa" w:w="40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Exécuter la rétention.</w:t>
            </w:r>
          </w:p>
        </w:tc>
      </w:tr>
    </w:tbl>
    <w:p>
      <w:pPr>
        <w:spacing w:before="0" w:after="80"/>
      </w:pPr>
    </w:p>
    <w:p>
      <w:r>
        <w:br w:type="page"/>
      </w:r>
    </w:p>
    <w:p>
      <w:pPr>
        <w:pStyle w:val="Heading1"/>
      </w:pPr>
      <w:r>
        <w:rPr>
          <w:rFonts w:ascii="Calibri" w:hAnsi="Calibri"/>
          <w:b/>
          <w:color w:val="2E74B5"/>
          <w:sz w:val="32"/>
        </w:rPr>
        <w:t>10. Sécurité, configuration et exploitation</w:t>
      </w:r>
    </w:p>
    <w:p>
      <w:pPr>
        <w:pStyle w:val="Heading2"/>
      </w:pPr>
      <w:r>
        <w:rPr>
          <w:rFonts w:ascii="Calibri" w:hAnsi="Calibri"/>
          <w:b/>
          <w:color w:val="2E74B5"/>
          <w:sz w:val="26"/>
        </w:rPr>
        <w:t>10.1 Profils de sécurité</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800"/>
        <w:gridCol w:w="7560"/>
      </w:tblGrid>
      <w:tr>
        <w:trPr>
          <w:tblHeader w:val="true"/>
        </w:trPr>
        <w:tc>
          <w:tcPr>
            <w:tcW w:type="dxa" w:w="18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Profil</w:t>
            </w:r>
          </w:p>
        </w:tc>
        <w:tc>
          <w:tcPr>
            <w:tcW w:type="dxa" w:w="756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Comportement</w:t>
            </w:r>
          </w:p>
        </w:tc>
      </w:tr>
      <w:tr>
        <w:tc>
          <w:tcPr>
            <w:tcW w:type="dxa" w:w="18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dev</w:t>
            </w:r>
          </w:p>
        </w:tc>
        <w:tc>
          <w:tcPr>
            <w:tcW w:type="dxa" w:w="75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Toutes les requêtes sont autorisées ; CORS et CSRF désactivés.</w:t>
            </w:r>
          </w:p>
        </w:tc>
      </w:tr>
      <w:tr>
        <w:tc>
          <w:tcPr>
            <w:tcW w:type="dxa" w:w="18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prod</w:t>
            </w:r>
          </w:p>
        </w:tc>
        <w:tc>
          <w:tcPr>
            <w:tcW w:type="dxa" w:w="75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Sessions stateless, JWT avant UsernamePasswordAuthenticationFilter, BCrypt, CSRF désactivé, endpoints /api authentifiés sauf exceptions.</w:t>
            </w:r>
          </w:p>
        </w:tc>
      </w:tr>
    </w:tbl>
    <w:p>
      <w:pPr>
        <w:spacing w:before="0" w:after="80"/>
      </w:pPr>
    </w:p>
    <w:p>
      <w:pPr>
        <w:pStyle w:val="Heading2"/>
      </w:pPr>
      <w:r>
        <w:rPr>
          <w:rFonts w:ascii="Calibri" w:hAnsi="Calibri"/>
          <w:b/>
          <w:color w:val="2E74B5"/>
          <w:sz w:val="26"/>
        </w:rPr>
        <w:t>10.2 Accès publics constatés en production</w:t>
      </w:r>
    </w:p>
    <w:p>
      <w:pPr>
        <w:numPr>
          <w:ilvl w:val="0"/>
          <w:numId w:val="10"/>
        </w:numPr>
        <w:spacing w:before="0" w:after="80" w:line="300" w:lineRule="auto"/>
      </w:pPr>
      <w:r>
        <w:rPr>
          <w:rFonts w:ascii="Calibri" w:hAnsi="Calibri"/>
          <w:color w:val="111111"/>
          <w:sz w:val="22"/>
        </w:rPr>
        <w:t>Swagger/OpenAPI.</w:t>
      </w:r>
    </w:p>
    <w:p>
      <w:pPr>
        <w:numPr>
          <w:ilvl w:val="0"/>
          <w:numId w:val="10"/>
        </w:numPr>
        <w:spacing w:before="0" w:after="80" w:line="300" w:lineRule="auto"/>
      </w:pPr>
      <w:r>
        <w:rPr>
          <w:rFonts w:ascii="Calibri" w:hAnsi="Calibri"/>
          <w:color w:val="111111"/>
          <w:sz w:val="22"/>
        </w:rPr>
        <w:t>Authentification, activation et routes de reset.</w:t>
      </w:r>
    </w:p>
    <w:p>
      <w:pPr>
        <w:numPr>
          <w:ilvl w:val="0"/>
          <w:numId w:val="10"/>
        </w:numPr>
        <w:spacing w:before="0" w:after="80" w:line="300" w:lineRule="auto"/>
      </w:pPr>
      <w:r>
        <w:rPr>
          <w:rFonts w:ascii="Calibri" w:hAnsi="Calibri"/>
          <w:color w:val="111111"/>
          <w:sz w:val="22"/>
        </w:rPr>
        <w:t>Le chemin exact /api/users est déclaré permitAll sans restriction de méthode : GET et POST sont donc publics à confirmer.</w:t>
      </w:r>
    </w:p>
    <w:p>
      <w:pPr>
        <w:numPr>
          <w:ilvl w:val="0"/>
          <w:numId w:val="10"/>
        </w:numPr>
        <w:spacing w:before="0" w:after="80" w:line="300" w:lineRule="auto"/>
      </w:pPr>
      <w:r>
        <w:rPr>
          <w:rFonts w:ascii="Calibri" w:hAnsi="Calibri"/>
          <w:color w:val="111111"/>
          <w:sz w:val="22"/>
        </w:rPr>
        <w:t>GET /api/categories est public ; GET /api/products exige BA_ADMIN.</w:t>
      </w:r>
    </w:p>
    <w:p>
      <w:pPr>
        <w:numPr>
          <w:ilvl w:val="0"/>
          <w:numId w:val="10"/>
        </w:numPr>
        <w:spacing w:before="0" w:after="80" w:line="300" w:lineRule="auto"/>
      </w:pPr>
      <w:r>
        <w:rPr>
          <w:rFonts w:ascii="Calibri" w:hAnsi="Calibri"/>
          <w:color w:val="111111"/>
          <w:sz w:val="22"/>
        </w:rPr>
        <w:t>Les autres routes /api/** exigent seulement une authentification globale ; aucune annotation d’autorisation fine n’est présente.</w:t>
      </w:r>
    </w:p>
    <w:p>
      <w:pPr>
        <w:pStyle w:val="Heading2"/>
      </w:pPr>
      <w:r>
        <w:rPr>
          <w:rFonts w:ascii="Calibri" w:hAnsi="Calibri"/>
          <w:b/>
          <w:color w:val="2E74B5"/>
          <w:sz w:val="26"/>
        </w:rPr>
        <w:t>10.3 Configuration</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100"/>
        <w:gridCol w:w="6260"/>
      </w:tblGrid>
      <w:tr>
        <w:trPr>
          <w:tblHeader w:val="true"/>
        </w:trPr>
        <w:tc>
          <w:tcPr>
            <w:tcW w:type="dxa" w:w="31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Paramètre</w:t>
            </w:r>
          </w:p>
        </w:tc>
        <w:tc>
          <w:tcPr>
            <w:tcW w:type="dxa" w:w="6260"/>
            <w:vAlign w:val="center"/>
            <w:tcMar>
              <w:top w:w="80" w:type="dxa"/>
              <w:start w:w="120" w:type="dxa"/>
              <w:bottom w:w="80" w:type="dxa"/>
              <w:end w:w="120" w:type="dxa"/>
            </w:tcMar>
            <w:shd w:fill="E8EEF5" w:val="clear"/>
          </w:tcPr>
          <w:p>
            <w:pPr>
              <w:spacing w:before="0" w:after="0" w:line="264" w:lineRule="auto"/>
              <w:jc w:val="left"/>
            </w:pPr>
            <w:r>
              <w:rPr>
                <w:rFonts w:ascii="Calibri" w:hAnsi="Calibri"/>
                <w:b/>
                <w:color w:val="0B2545"/>
                <w:sz w:val="18"/>
              </w:rPr>
              <w:t>Valeur / rôle actuel</w:t>
            </w:r>
          </w:p>
        </w:tc>
      </w:tr>
      <w:tr>
        <w:tc>
          <w:tcPr>
            <w:tcW w:type="dxa" w:w="31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server.port</w:t>
            </w:r>
          </w:p>
        </w:tc>
        <w:tc>
          <w:tcPr>
            <w:tcW w:type="dxa" w:w="62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8087 dans application.yml.</w:t>
            </w:r>
          </w:p>
        </w:tc>
      </w:tr>
      <w:tr>
        <w:tc>
          <w:tcPr>
            <w:tcW w:type="dxa" w:w="31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spring.profiles.active</w:t>
            </w:r>
          </w:p>
        </w:tc>
        <w:tc>
          <w:tcPr>
            <w:tcW w:type="dxa" w:w="62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prod par défaut.</w:t>
            </w:r>
          </w:p>
        </w:tc>
      </w:tr>
      <w:tr>
        <w:tc>
          <w:tcPr>
            <w:tcW w:type="dxa" w:w="31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multipart</w:t>
            </w:r>
          </w:p>
        </w:tc>
        <w:tc>
          <w:tcPr>
            <w:tcW w:type="dxa" w:w="62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50 MB par fichier, 60 MB par requête.</w:t>
            </w:r>
          </w:p>
        </w:tc>
      </w:tr>
      <w:tr>
        <w:tc>
          <w:tcPr>
            <w:tcW w:type="dxa" w:w="31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app.storage.path</w:t>
            </w:r>
          </w:p>
        </w:tc>
        <w:tc>
          <w:tcPr>
            <w:tcW w:type="dxa" w:w="62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./datas, stockage local.</w:t>
            </w:r>
          </w:p>
        </w:tc>
      </w:tr>
      <w:tr>
        <w:tc>
          <w:tcPr>
            <w:tcW w:type="dxa" w:w="31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app.reconciliation.amount-tolerance</w:t>
            </w:r>
          </w:p>
        </w:tc>
        <w:tc>
          <w:tcPr>
            <w:tcW w:type="dxa" w:w="62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Tolérance des écarts MOOV.</w:t>
            </w:r>
          </w:p>
        </w:tc>
      </w:tr>
      <w:tr>
        <w:tc>
          <w:tcPr>
            <w:tcW w:type="dxa" w:w="31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app.retention</w:t>
            </w:r>
          </w:p>
        </w:tc>
        <w:tc>
          <w:tcPr>
            <w:tcW w:type="dxa" w:w="62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Désactivée ; 180 jours ; lots de 5 000 ; 02 h 30 ; archive puis purge.</w:t>
            </w:r>
          </w:p>
        </w:tc>
      </w:tr>
      <w:tr>
        <w:tc>
          <w:tcPr>
            <w:tcW w:type="dxa" w:w="31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app.cors.allowed-origins</w:t>
            </w:r>
          </w:p>
        </w:tc>
        <w:tc>
          <w:tcPr>
            <w:tcW w:type="dxa" w:w="62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Origines configurables pour /api/**.</w:t>
            </w:r>
          </w:p>
        </w:tc>
      </w:tr>
    </w:tbl>
    <w:p>
      <w:pPr>
        <w:spacing w:before="0" w:after="80"/>
      </w:pPr>
    </w:p>
    <w:p>
      <w:pPr>
        <w:pStyle w:val="Heading2"/>
      </w:pPr>
      <w:r>
        <w:rPr>
          <w:rFonts w:ascii="Calibri" w:hAnsi="Calibri"/>
          <w:b/>
          <w:color w:val="2E74B5"/>
          <w:sz w:val="26"/>
        </w:rPr>
        <w:t>10.4 Déploiement</w:t>
      </w:r>
    </w:p>
    <w:p>
      <w:pPr>
        <w:spacing w:before="0" w:after="120" w:line="300" w:lineRule="auto"/>
      </w:pPr>
      <w:r>
        <w:rPr>
          <w:rFonts w:ascii="Calibri" w:hAnsi="Calibri"/>
          <w:color w:val="111111"/>
          <w:sz w:val="22"/>
        </w:rPr>
        <w:t>Le projet fournit un Dockerfile Java 21 et un docker-compose avec PostgreSQL 16. L’image copie target/reconcilliation-service-1.0.0.jar. La configuration Docker expose et publie actuellement le port 8083 alors que l’application principale écoute 8087 : le service ne sera pas accessible via le mapping prévu sans correction ou variable SERVER_PORT.</w:t>
      </w:r>
    </w:p>
    <w:tbl>
      <w:tblPr>
        <w:tblW w:type="dxa" w:w="9360"/>
        <w:jc w:val="left"/>
        <w:tblLayout w:type="fixed"/>
        <w:tblLook w:firstColumn="1" w:firstRow="1" w:lastColumn="0" w:lastRow="0" w:noHBand="0" w:noVBand="1" w:val="04A0"/>
        <w:tblInd w:w="120" w:type="dxa"/>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9360"/>
      </w:tblGrid>
      <w:tr>
        <w:trPr>
          <w:tblHeader w:val="true"/>
        </w:trPr>
        <w:tc>
          <w:tcPr>
            <w:tcW w:type="dxa" w:w="9360"/>
            <w:vAlign w:val="center"/>
            <w:tcMar>
              <w:top w:w="80" w:type="dxa"/>
              <w:start w:w="120" w:type="dxa"/>
              <w:bottom w:w="80" w:type="dxa"/>
              <w:end w:w="120" w:type="dxa"/>
            </w:tcMar>
            <w:shd w:fill="FFF1F1" w:val="clear"/>
          </w:tcPr>
          <w:p>
            <w:pPr>
              <w:spacing w:after="0" w:line="276" w:lineRule="auto"/>
            </w:pPr>
            <w:r>
              <w:rPr>
                <w:rFonts w:ascii="Calibri" w:hAnsi="Calibri"/>
                <w:b/>
                <w:color w:val="9B1C1C"/>
                <w:sz w:val="20"/>
              </w:rPr>
              <w:t xml:space="preserve">Sécurité d’exploitation  </w:t>
            </w:r>
            <w:r>
              <w:rPr>
                <w:rFonts w:ascii="Calibri" w:hAnsi="Calibri"/>
                <w:color w:val="111111"/>
                <w:sz w:val="20"/>
              </w:rPr>
              <w:t>Des informations sensibles de connexion sont présentes dans des fichiers de configuration versionnés. Elles doivent être externalisées vers des variables d’environnement ou un gestionnaire de secrets, puis renouvelées.</w:t>
            </w:r>
          </w:p>
        </w:tc>
      </w:tr>
    </w:tbl>
    <w:p>
      <w:pPr>
        <w:spacing w:after="40"/>
      </w:pPr>
    </w:p>
    <w:p>
      <w:pPr>
        <w:pStyle w:val="Heading2"/>
      </w:pPr>
      <w:r>
        <w:rPr>
          <w:rFonts w:ascii="Calibri" w:hAnsi="Calibri"/>
          <w:b/>
          <w:color w:val="2E74B5"/>
          <w:sz w:val="26"/>
        </w:rPr>
        <w:t>10.5 Exigences non fonctionnelles cibles</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900"/>
        <w:gridCol w:w="7460"/>
      </w:tblGrid>
      <w:tr>
        <w:trPr>
          <w:tblHeader w:val="true"/>
        </w:trPr>
        <w:tc>
          <w:tcPr>
            <w:tcW w:type="dxa" w:w="19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Domaine</w:t>
            </w:r>
          </w:p>
        </w:tc>
        <w:tc>
          <w:tcPr>
            <w:tcW w:type="dxa" w:w="746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Exigence proposée</w:t>
            </w:r>
          </w:p>
        </w:tc>
      </w:tr>
      <w:tr>
        <w:tc>
          <w:tcPr>
            <w:tcW w:type="dxa" w:w="19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Disponibilité</w:t>
            </w:r>
          </w:p>
        </w:tc>
        <w:tc>
          <w:tcPr>
            <w:tcW w:type="dxa" w:w="74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Sauvegarde PostgreSQL, supervision Actuator, alertes import/run en échec.</w:t>
            </w:r>
          </w:p>
        </w:tc>
      </w:tr>
      <w:tr>
        <w:tc>
          <w:tcPr>
            <w:tcW w:type="dxa" w:w="19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Performance</w:t>
            </w:r>
          </w:p>
        </w:tc>
        <w:tc>
          <w:tcPr>
            <w:tcW w:type="dxa" w:w="74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Pagination systématique, batch sur gros fichiers, index mesurés, éviter findAll AMPLITUDE à grande volumétrie.</w:t>
            </w:r>
          </w:p>
        </w:tc>
      </w:tr>
      <w:tr>
        <w:tc>
          <w:tcPr>
            <w:tcW w:type="dxa" w:w="19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Sécurité</w:t>
            </w:r>
          </w:p>
        </w:tc>
        <w:tc>
          <w:tcPr>
            <w:tcW w:type="dxa" w:w="74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RBAC par fonctionnalité, secrets externes, CORS explicite, limitation des tentatives, logs sans données sensibles.</w:t>
            </w:r>
          </w:p>
        </w:tc>
      </w:tr>
      <w:tr>
        <w:tc>
          <w:tcPr>
            <w:tcW w:type="dxa" w:w="19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Audit</w:t>
            </w:r>
          </w:p>
        </w:tc>
        <w:tc>
          <w:tcPr>
            <w:tcW w:type="dxa" w:w="74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Journaliser imports, suppressions, runs, exports, rétention et décisions utilisateur.</w:t>
            </w:r>
          </w:p>
        </w:tc>
      </w:tr>
      <w:tr>
        <w:tc>
          <w:tcPr>
            <w:tcW w:type="dxa" w:w="19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Résilience</w:t>
            </w:r>
          </w:p>
        </w:tc>
        <w:tc>
          <w:tcPr>
            <w:tcW w:type="dxa" w:w="74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Statut FAILED persistant, reprise contrôlée, idempotence des runs, nettoyage des fichiers orphelins.</w:t>
            </w:r>
          </w:p>
        </w:tc>
      </w:tr>
      <w:tr>
        <w:tc>
          <w:tcPr>
            <w:tcW w:type="dxa" w:w="19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Protection des données</w:t>
            </w:r>
          </w:p>
        </w:tc>
        <w:tc>
          <w:tcPr>
            <w:tcW w:type="dxa" w:w="74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Durée de conservation validée, minimisation des raw payloads, chiffrement et contrôle d’accès.</w:t>
            </w:r>
          </w:p>
        </w:tc>
      </w:tr>
      <w:tr>
        <w:tc>
          <w:tcPr>
            <w:tcW w:type="dxa" w:w="19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Interopérabilité</w:t>
            </w:r>
          </w:p>
        </w:tc>
        <w:tc>
          <w:tcPr>
            <w:tcW w:type="dxa" w:w="74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Contrats OpenAPI versionnés et formats d’erreurs homogènes.</w:t>
            </w:r>
          </w:p>
        </w:tc>
      </w:tr>
    </w:tbl>
    <w:p>
      <w:pPr>
        <w:spacing w:before="0" w:after="80"/>
      </w:pPr>
    </w:p>
    <w:p>
      <w:r>
        <w:br w:type="page"/>
      </w:r>
    </w:p>
    <w:p>
      <w:pPr>
        <w:pStyle w:val="Heading1"/>
      </w:pPr>
      <w:r>
        <w:rPr>
          <w:rFonts w:ascii="Calibri" w:hAnsi="Calibri"/>
          <w:b/>
          <w:color w:val="2E74B5"/>
          <w:sz w:val="32"/>
        </w:rPr>
        <w:t>11. Tests, recette et qualité</w:t>
      </w:r>
    </w:p>
    <w:p>
      <w:pPr>
        <w:pStyle w:val="Heading2"/>
      </w:pPr>
      <w:r>
        <w:rPr>
          <w:rFonts w:ascii="Calibri" w:hAnsi="Calibri"/>
          <w:b/>
          <w:color w:val="2E74B5"/>
          <w:sz w:val="26"/>
        </w:rPr>
        <w:t>11.1 État des tests</w:t>
      </w:r>
    </w:p>
    <w:tbl>
      <w:tblPr>
        <w:tblW w:type="dxa" w:w="9360"/>
        <w:jc w:val="left"/>
        <w:tblLayout w:type="fixed"/>
        <w:tblLook w:firstColumn="1" w:firstRow="1" w:lastColumn="0" w:lastRow="0" w:noHBand="0" w:noVBand="1" w:val="04A0"/>
        <w:tblInd w:w="120" w:type="dxa"/>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9360"/>
      </w:tblGrid>
      <w:tr>
        <w:trPr>
          <w:tblHeader w:val="true"/>
        </w:trPr>
        <w:tc>
          <w:tcPr>
            <w:tcW w:type="dxa" w:w="9360"/>
            <w:vAlign w:val="center"/>
            <w:tcMar>
              <w:top w:w="80" w:type="dxa"/>
              <w:start w:w="120" w:type="dxa"/>
              <w:bottom w:w="80" w:type="dxa"/>
              <w:end w:w="120" w:type="dxa"/>
            </w:tcMar>
            <w:shd w:fill="EAF4EE" w:val="clear"/>
          </w:tcPr>
          <w:p>
            <w:pPr>
              <w:spacing w:after="0" w:line="276" w:lineRule="auto"/>
            </w:pPr>
            <w:r>
              <w:rPr>
                <w:rFonts w:ascii="Calibri" w:hAnsi="Calibri"/>
                <w:b/>
                <w:color w:val="1F5C3A"/>
                <w:sz w:val="20"/>
              </w:rPr>
              <w:t xml:space="preserve">Résultat vérifié  </w:t>
            </w:r>
            <w:r>
              <w:rPr>
                <w:rFonts w:ascii="Calibri" w:hAnsi="Calibri"/>
                <w:color w:val="111111"/>
                <w:sz w:val="20"/>
              </w:rPr>
              <w:t>mvn test : 28 tests exécutés, 0 échec, 0 erreur, 0 ignoré. Build SUCCESS le 22 juin 2026.</w:t>
            </w:r>
          </w:p>
        </w:tc>
      </w:tr>
    </w:tbl>
    <w:p>
      <w:pPr>
        <w:spacing w:after="40"/>
      </w:pP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200"/>
        <w:gridCol w:w="7160"/>
      </w:tblGrid>
      <w:tr>
        <w:trPr>
          <w:tblHeader w:val="true"/>
        </w:trPr>
        <w:tc>
          <w:tcPr>
            <w:tcW w:type="dxa" w:w="22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Zone</w:t>
            </w:r>
          </w:p>
        </w:tc>
        <w:tc>
          <w:tcPr>
            <w:tcW w:type="dxa" w:w="7160"/>
            <w:vAlign w:val="center"/>
            <w:tcMar>
              <w:top w:w="80" w:type="dxa"/>
              <w:start w:w="120" w:type="dxa"/>
              <w:bottom w:w="80" w:type="dxa"/>
              <w:end w:w="120" w:type="dxa"/>
            </w:tcMar>
            <w:shd w:fill="E8EEF5" w:val="clear"/>
          </w:tcPr>
          <w:p>
            <w:pPr>
              <w:spacing w:before="0" w:after="0" w:line="264" w:lineRule="auto"/>
              <w:jc w:val="left"/>
            </w:pPr>
            <w:r>
              <w:rPr>
                <w:rFonts w:ascii="Calibri" w:hAnsi="Calibri"/>
                <w:b/>
                <w:color w:val="0B2545"/>
                <w:sz w:val="18"/>
              </w:rPr>
              <w:t>Couverture observée</w:t>
            </w:r>
          </w:p>
        </w:tc>
      </w:tr>
      <w:tr>
        <w:tc>
          <w:tcPr>
            <w:tcW w:type="dxa" w:w="22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Normalisation</w:t>
            </w:r>
          </w:p>
        </w:tc>
        <w:tc>
          <w:tcPr>
            <w:tcW w:type="dxa" w:w="71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Statuts Banque, MOOV et Orange.</w:t>
            </w:r>
          </w:p>
        </w:tc>
      </w:tr>
      <w:tr>
        <w:tc>
          <w:tcPr>
            <w:tcW w:type="dxa" w:w="22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Classification</w:t>
            </w:r>
          </w:p>
        </w:tc>
        <w:tc>
          <w:tcPr>
            <w:tcW w:type="dxa" w:w="71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MATCH_OK, écart MOOV, Orange, opérateur succès/échec sans Banque.</w:t>
            </w:r>
          </w:p>
        </w:tc>
      </w:tr>
      <w:tr>
        <w:tc>
          <w:tcPr>
            <w:tcW w:type="dxa" w:w="22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Import</w:t>
            </w:r>
          </w:p>
        </w:tc>
        <w:tc>
          <w:tcPr>
            <w:tcW w:type="dxa" w:w="71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Formats Banque, directions, extraction MOOV, montants AMPLITUDE, dédoublonnage.</w:t>
            </w:r>
          </w:p>
        </w:tc>
      </w:tr>
      <w:tr>
        <w:tc>
          <w:tcPr>
            <w:tcW w:type="dxa" w:w="22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Résultats</w:t>
            </w:r>
          </w:p>
        </w:tc>
        <w:tc>
          <w:tcPr>
            <w:tcW w:type="dxa" w:w="71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Résolution de la date métier Banque/Orange.</w:t>
            </w:r>
          </w:p>
        </w:tc>
      </w:tr>
      <w:tr>
        <w:tc>
          <w:tcPr>
            <w:tcW w:type="dxa" w:w="22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Dashboard</w:t>
            </w:r>
          </w:p>
        </w:tc>
        <w:tc>
          <w:tcPr>
            <w:tcW w:type="dxa" w:w="71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Synthèse, dernier run et validation de filtres.</w:t>
            </w:r>
          </w:p>
        </w:tc>
      </w:tr>
      <w:tr>
        <w:tc>
          <w:tcPr>
            <w:tcW w:type="dxa" w:w="22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Intégration</w:t>
            </w:r>
          </w:p>
        </w:tc>
        <w:tc>
          <w:tcPr>
            <w:tcW w:type="dxa" w:w="71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Classes IT avec fichiers d’exemple, non exécutées par mvn test par défaut.</w:t>
            </w:r>
          </w:p>
        </w:tc>
      </w:tr>
    </w:tbl>
    <w:p>
      <w:pPr>
        <w:spacing w:before="0" w:after="80"/>
      </w:pPr>
    </w:p>
    <w:p>
      <w:pPr>
        <w:pStyle w:val="Heading2"/>
      </w:pPr>
      <w:r>
        <w:rPr>
          <w:rFonts w:ascii="Calibri" w:hAnsi="Calibri"/>
          <w:b/>
          <w:color w:val="2E74B5"/>
          <w:sz w:val="26"/>
        </w:rPr>
        <w:t>11.2 Scénarios de recette prioritaires</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000"/>
        <w:gridCol w:w="3560"/>
        <w:gridCol w:w="4800"/>
      </w:tblGrid>
      <w:tr>
        <w:trPr>
          <w:tblHeader w:val="true"/>
        </w:trPr>
        <w:tc>
          <w:tcPr>
            <w:tcW w:type="dxa" w:w="10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ID</w:t>
            </w:r>
          </w:p>
        </w:tc>
        <w:tc>
          <w:tcPr>
            <w:tcW w:type="dxa" w:w="356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Scénario</w:t>
            </w:r>
          </w:p>
        </w:tc>
        <w:tc>
          <w:tcPr>
            <w:tcW w:type="dxa" w:w="48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Résultat attendu</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REC-01</w:t>
            </w:r>
          </w:p>
        </w:tc>
        <w:tc>
          <w:tcPr>
            <w:tcW w:type="dxa" w:w="35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Import Banque sans opérateur</w:t>
            </w:r>
          </w:p>
        </w:tc>
        <w:tc>
          <w:tcPr>
            <w:tcW w:type="dxa" w:w="48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Rejet 400 avec message explicite.</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REC-02</w:t>
            </w:r>
          </w:p>
        </w:tc>
        <w:tc>
          <w:tcPr>
            <w:tcW w:type="dxa" w:w="35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Réimport du même fichier</w:t>
            </w:r>
          </w:p>
        </w:tc>
        <w:tc>
          <w:tcPr>
            <w:tcW w:type="dxa" w:w="48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Blocage et conservation de l’import initial.</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REC-03</w:t>
            </w:r>
          </w:p>
        </w:tc>
        <w:tc>
          <w:tcPr>
            <w:tcW w:type="dxa" w:w="35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MOOV avec lignes invalides</w:t>
            </w:r>
          </w:p>
        </w:tc>
        <w:tc>
          <w:tcPr>
            <w:tcW w:type="dxa" w:w="48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PARTIAL_SUCCESS et compteurs exacts.</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REC-04</w:t>
            </w:r>
          </w:p>
        </w:tc>
        <w:tc>
          <w:tcPr>
            <w:tcW w:type="dxa" w:w="35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Orange avec séparateur non attendu</w:t>
            </w:r>
          </w:p>
        </w:tc>
        <w:tc>
          <w:tcPr>
            <w:tcW w:type="dxa" w:w="48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Erreur maîtrisée et diagnostiquable.</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REC-05</w:t>
            </w:r>
          </w:p>
        </w:tc>
        <w:tc>
          <w:tcPr>
            <w:tcW w:type="dxa" w:w="35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Deux succès, montants égaux</w:t>
            </w:r>
          </w:p>
        </w:tc>
        <w:tc>
          <w:tcPr>
            <w:tcW w:type="dxa" w:w="48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MATCH_OK pour chaque canal.</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REC-06</w:t>
            </w:r>
          </w:p>
        </w:tc>
        <w:tc>
          <w:tcPr>
            <w:tcW w:type="dxa" w:w="35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Deux succès, montants différents</w:t>
            </w:r>
          </w:p>
        </w:tc>
        <w:tc>
          <w:tcPr>
            <w:tcW w:type="dxa" w:w="48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Résultat harmonisé attendu selon règle validée.</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REC-07</w:t>
            </w:r>
          </w:p>
        </w:tc>
        <w:tc>
          <w:tcPr>
            <w:tcW w:type="dxa" w:w="35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Opérateur échec sans Banque</w:t>
            </w:r>
          </w:p>
        </w:tc>
        <w:tc>
          <w:tcPr>
            <w:tcW w:type="dxa" w:w="48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Exclu des KPI financiers ; exposé par operatorOutOfScopeCount/rate et le reporting hors périmètre.</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REC-08</w:t>
            </w:r>
          </w:p>
        </w:tc>
        <w:tc>
          <w:tcPr>
            <w:tcW w:type="dxa" w:w="35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Paiement généré avec/sans AMPLITUDE</w:t>
            </w:r>
          </w:p>
        </w:tc>
        <w:tc>
          <w:tcPr>
            <w:tcW w:type="dxa" w:w="48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Classification et périmètre comptable conformes.</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REC-09</w:t>
            </w:r>
          </w:p>
        </w:tc>
        <w:tc>
          <w:tcPr>
            <w:tcW w:type="dxa" w:w="35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Run sans import</w:t>
            </w:r>
          </w:p>
        </w:tc>
        <w:tc>
          <w:tcPr>
            <w:tcW w:type="dxa" w:w="48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Comportement métier validé : blocage ou run vide signalé.</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REC-10</w:t>
            </w:r>
          </w:p>
        </w:tc>
        <w:tc>
          <w:tcPr>
            <w:tcW w:type="dxa" w:w="35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Suppression import utilisé</w:t>
            </w:r>
          </w:p>
        </w:tc>
        <w:tc>
          <w:tcPr>
            <w:tcW w:type="dxa" w:w="48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HTTP 409 sans confirmation ; avec confirmCascade, le bilan supprimé égale la prévisualisation.</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REC-11</w:t>
            </w:r>
          </w:p>
        </w:tc>
        <w:tc>
          <w:tcPr>
            <w:tcW w:type="dxa" w:w="35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Rétention archive puis purge</w:t>
            </w:r>
          </w:p>
        </w:tc>
        <w:tc>
          <w:tcPr>
            <w:tcW w:type="dxa" w:w="48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Volumes et données archivées identiques à la source.</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REC-12</w:t>
            </w:r>
          </w:p>
        </w:tc>
        <w:tc>
          <w:tcPr>
            <w:tcW w:type="dxa" w:w="35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JWT expiré / rôle insuffisant</w:t>
            </w:r>
          </w:p>
        </w:tc>
        <w:tc>
          <w:tcPr>
            <w:tcW w:type="dxa" w:w="48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401/403 homogènes.</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REC-13</w:t>
            </w:r>
          </w:p>
        </w:tc>
        <w:tc>
          <w:tcPr>
            <w:tcW w:type="dxa" w:w="35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Volumétrie élevée</w:t>
            </w:r>
          </w:p>
        </w:tc>
        <w:tc>
          <w:tcPr>
            <w:tcW w:type="dxa" w:w="48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Temps et mémoire dans les seuils convenus.</w:t>
            </w:r>
          </w:p>
        </w:tc>
      </w:tr>
      <w:tr>
        <w:tc>
          <w:tcPr>
            <w:tcW w:type="dxa" w:w="1000"/>
            <w:vAlign w:val="center"/>
            <w:tcMar>
              <w:top w:w="80" w:type="dxa"/>
              <w:start w:w="120" w:type="dxa"/>
              <w:bottom w:w="80" w:type="dxa"/>
              <w:end w:w="120" w:type="dxa"/>
            </w:tcMar>
          </w:tcPr>
          <w:p>
            <w:pPr>
              <w:spacing w:before="0" w:after="0" w:line="264" w:lineRule="auto"/>
              <w:jc w:val="center"/>
            </w:pPr>
            <w:r>
              <w:rPr>
                <w:rFonts w:ascii="Calibri" w:hAnsi="Calibri"/>
                <w:b/>
                <w:color w:val="111111"/>
                <w:sz w:val="17"/>
              </w:rPr>
              <w:t>REC-14</w:t>
            </w:r>
          </w:p>
        </w:tc>
        <w:tc>
          <w:tcPr>
            <w:tcW w:type="dxa" w:w="35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Port de conteneur</w:t>
            </w:r>
          </w:p>
        </w:tc>
        <w:tc>
          <w:tcPr>
            <w:tcW w:type="dxa" w:w="48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7"/>
              </w:rPr>
              <w:t>Health check accessible via le port publié.</w:t>
            </w:r>
          </w:p>
        </w:tc>
      </w:tr>
    </w:tbl>
    <w:p>
      <w:pPr>
        <w:spacing w:before="0" w:after="80"/>
      </w:pPr>
    </w:p>
    <w:p>
      <w:pPr>
        <w:pStyle w:val="Heading2"/>
      </w:pPr>
      <w:r>
        <w:rPr>
          <w:rFonts w:ascii="Calibri" w:hAnsi="Calibri"/>
          <w:b/>
          <w:color w:val="2E74B5"/>
          <w:sz w:val="26"/>
        </w:rPr>
        <w:t>11.3 Critères d’acceptation globaux</w:t>
      </w:r>
    </w:p>
    <w:p>
      <w:pPr>
        <w:numPr>
          <w:ilvl w:val="0"/>
          <w:numId w:val="10"/>
        </w:numPr>
        <w:spacing w:before="0" w:after="80" w:line="300" w:lineRule="auto"/>
      </w:pPr>
      <w:r>
        <w:rPr>
          <w:rFonts w:ascii="Calibri" w:hAnsi="Calibri"/>
          <w:color w:val="111111"/>
          <w:sz w:val="22"/>
        </w:rPr>
        <w:t>Chaque fichier accepté est traçable jusqu’aux lignes et aux erreurs.</w:t>
      </w:r>
    </w:p>
    <w:p>
      <w:pPr>
        <w:numPr>
          <w:ilvl w:val="0"/>
          <w:numId w:val="10"/>
        </w:numPr>
        <w:spacing w:before="0" w:after="80" w:line="300" w:lineRule="auto"/>
      </w:pPr>
      <w:r>
        <w:rPr>
          <w:rFonts w:ascii="Calibri" w:hAnsi="Calibri"/>
          <w:color w:val="111111"/>
          <w:sz w:val="22"/>
        </w:rPr>
        <w:t>Chaque run indique clairement son canal, sa période, ses imports et son issue.</w:t>
      </w:r>
    </w:p>
    <w:p>
      <w:pPr>
        <w:numPr>
          <w:ilvl w:val="0"/>
          <w:numId w:val="10"/>
        </w:numPr>
        <w:spacing w:before="0" w:after="80" w:line="300" w:lineRule="auto"/>
      </w:pPr>
      <w:r>
        <w:rPr>
          <w:rFonts w:ascii="Calibri" w:hAnsi="Calibri"/>
          <w:color w:val="111111"/>
          <w:sz w:val="22"/>
        </w:rPr>
        <w:t>Les catégories de résultat sont déterministes et identiques pour des situations métier équivalentes.</w:t>
      </w:r>
    </w:p>
    <w:p>
      <w:pPr>
        <w:numPr>
          <w:ilvl w:val="0"/>
          <w:numId w:val="10"/>
        </w:numPr>
        <w:spacing w:before="0" w:after="80" w:line="300" w:lineRule="auto"/>
      </w:pPr>
      <w:r>
        <w:rPr>
          <w:rFonts w:ascii="Calibri" w:hAnsi="Calibri"/>
          <w:color w:val="111111"/>
          <w:sz w:val="22"/>
        </w:rPr>
        <w:t>Les KPI sont reproductibles à partir des résultats détaillés.</w:t>
      </w:r>
    </w:p>
    <w:p>
      <w:pPr>
        <w:numPr>
          <w:ilvl w:val="0"/>
          <w:numId w:val="10"/>
        </w:numPr>
        <w:spacing w:before="0" w:after="80" w:line="300" w:lineRule="auto"/>
      </w:pPr>
      <w:r>
        <w:rPr>
          <w:rFonts w:ascii="Calibri" w:hAnsi="Calibri"/>
          <w:color w:val="111111"/>
          <w:sz w:val="22"/>
        </w:rPr>
        <w:t>Toute suppression ou purge fournit un bilan et respecte les dépendances.</w:t>
      </w:r>
    </w:p>
    <w:p>
      <w:pPr>
        <w:numPr>
          <w:ilvl w:val="0"/>
          <w:numId w:val="10"/>
        </w:numPr>
        <w:spacing w:before="0" w:after="80" w:line="300" w:lineRule="auto"/>
      </w:pPr>
      <w:r>
        <w:rPr>
          <w:rFonts w:ascii="Calibri" w:hAnsi="Calibri"/>
          <w:color w:val="111111"/>
          <w:sz w:val="22"/>
        </w:rPr>
        <w:t>Les endpoints sensibles sont protégés par une autorisation explicite.</w:t>
      </w:r>
    </w:p>
    <w:p>
      <w:r>
        <w:br w:type="page"/>
      </w:r>
    </w:p>
    <w:p>
      <w:pPr>
        <w:pStyle w:val="Heading1"/>
      </w:pPr>
      <w:r>
        <w:rPr>
          <w:rFonts w:ascii="Calibri" w:hAnsi="Calibri"/>
          <w:b/>
          <w:color w:val="2E74B5"/>
          <w:sz w:val="32"/>
        </w:rPr>
        <w:t>12. Écarts, risques et recommandations</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700"/>
        <w:gridCol w:w="1100"/>
        <w:gridCol w:w="3610"/>
        <w:gridCol w:w="3950"/>
      </w:tblGrid>
      <w:tr>
        <w:trPr>
          <w:tblHeader w:val="true"/>
        </w:trPr>
        <w:tc>
          <w:tcPr>
            <w:tcW w:type="dxa" w:w="7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ID</w:t>
            </w:r>
          </w:p>
        </w:tc>
        <w:tc>
          <w:tcPr>
            <w:tcW w:type="dxa" w:w="11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Priorité</w:t>
            </w:r>
          </w:p>
        </w:tc>
        <w:tc>
          <w:tcPr>
            <w:tcW w:type="dxa" w:w="361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Risque / écart</w:t>
            </w:r>
          </w:p>
        </w:tc>
        <w:tc>
          <w:tcPr>
            <w:tcW w:type="dxa" w:w="395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Recommandation</w:t>
            </w:r>
          </w:p>
        </w:tc>
      </w:tr>
      <w:tr>
        <w:tc>
          <w:tcPr>
            <w:tcW w:type="dxa" w:w="70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R01</w:t>
            </w:r>
          </w:p>
        </w:tc>
        <w:tc>
          <w:tcPr>
            <w:tcW w:type="dxa" w:w="11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Critique</w:t>
            </w:r>
          </w:p>
        </w:tc>
        <w:tc>
          <w:tcPr>
            <w:tcW w:type="dxa" w:w="36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Ports 8087/8083 incohérents entre application et Docker.</w:t>
            </w:r>
          </w:p>
        </w:tc>
        <w:tc>
          <w:tcPr>
            <w:tcW w:type="dxa" w:w="39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Aligner EXPOSE, mapping et SERVER_PORT ; ajouter un health check.</w:t>
            </w:r>
          </w:p>
        </w:tc>
      </w:tr>
      <w:tr>
        <w:tc>
          <w:tcPr>
            <w:tcW w:type="dxa" w:w="70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R02</w:t>
            </w:r>
          </w:p>
        </w:tc>
        <w:tc>
          <w:tcPr>
            <w:tcW w:type="dxa" w:w="11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Critique</w:t>
            </w:r>
          </w:p>
        </w:tc>
        <w:tc>
          <w:tcPr>
            <w:tcW w:type="dxa" w:w="36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Secrets présents dans la configuration versionnée.</w:t>
            </w:r>
          </w:p>
        </w:tc>
        <w:tc>
          <w:tcPr>
            <w:tcW w:type="dxa" w:w="39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Externaliser, renouveler et scanner l’historique Git.</w:t>
            </w:r>
          </w:p>
        </w:tc>
      </w:tr>
      <w:tr>
        <w:tc>
          <w:tcPr>
            <w:tcW w:type="dxa" w:w="70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R03</w:t>
            </w:r>
          </w:p>
        </w:tc>
        <w:tc>
          <w:tcPr>
            <w:tcW w:type="dxa" w:w="11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Élevé</w:t>
            </w:r>
          </w:p>
        </w:tc>
        <w:tc>
          <w:tcPr>
            <w:tcW w:type="dxa" w:w="36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GET/POST /api/users potentiellement publics en production.</w:t>
            </w:r>
          </w:p>
        </w:tc>
        <w:tc>
          <w:tcPr>
            <w:tcW w:type="dxa" w:w="39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Restreindre par méthode et clarifier le parcours d’inscription.</w:t>
            </w:r>
          </w:p>
        </w:tc>
      </w:tr>
      <w:tr>
        <w:tc>
          <w:tcPr>
            <w:tcW w:type="dxa" w:w="70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R04</w:t>
            </w:r>
          </w:p>
        </w:tc>
        <w:tc>
          <w:tcPr>
            <w:tcW w:type="dxa" w:w="11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Élevé</w:t>
            </w:r>
          </w:p>
        </w:tc>
        <w:tc>
          <w:tcPr>
            <w:tcW w:type="dxa" w:w="36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Pas d’autorisation métier fine par module.</w:t>
            </w:r>
          </w:p>
        </w:tc>
        <w:tc>
          <w:tcPr>
            <w:tcW w:type="dxa" w:w="39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Définir RBAC et ajouter @PreAuthorize ou règles HTTP explicites.</w:t>
            </w:r>
          </w:p>
        </w:tc>
      </w:tr>
      <w:tr>
        <w:tc>
          <w:tcPr>
            <w:tcW w:type="dxa" w:w="70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R05</w:t>
            </w:r>
          </w:p>
        </w:tc>
        <w:tc>
          <w:tcPr>
            <w:tcW w:type="dxa" w:w="11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Élevé</w:t>
            </w:r>
          </w:p>
        </w:tc>
        <w:tc>
          <w:tcPr>
            <w:tcW w:type="dxa" w:w="36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Tolérance montant MOOV non appliquée à Orange.</w:t>
            </w:r>
          </w:p>
        </w:tc>
        <w:tc>
          <w:tcPr>
            <w:tcW w:type="dxa" w:w="39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Introduire une règle commune opérateur et des tests croisés.</w:t>
            </w:r>
          </w:p>
        </w:tc>
      </w:tr>
      <w:tr>
        <w:tc>
          <w:tcPr>
            <w:tcW w:type="dxa" w:w="70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R06</w:t>
            </w:r>
          </w:p>
        </w:tc>
        <w:tc>
          <w:tcPr>
            <w:tcW w:type="dxa" w:w="11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Élevé</w:t>
            </w:r>
          </w:p>
        </w:tc>
        <w:tc>
          <w:tcPr>
            <w:tcW w:type="dxa" w:w="36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Asymétries Banque seule entre MOOV et Orange.</w:t>
            </w:r>
          </w:p>
        </w:tc>
        <w:tc>
          <w:tcPr>
            <w:tcW w:type="dxa" w:w="39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Valider la matrice métier et harmoniser les stratégies.</w:t>
            </w:r>
          </w:p>
        </w:tc>
      </w:tr>
      <w:tr>
        <w:tc>
          <w:tcPr>
            <w:tcW w:type="dxa" w:w="70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R07</w:t>
            </w:r>
          </w:p>
        </w:tc>
        <w:tc>
          <w:tcPr>
            <w:tcW w:type="dxa" w:w="11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Élevé</w:t>
            </w:r>
          </w:p>
        </w:tc>
        <w:tc>
          <w:tcPr>
            <w:tcW w:type="dxa" w:w="36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Request de run peu validée ; IDs d’import fournis mais ignorés.</w:t>
            </w:r>
          </w:p>
        </w:tc>
        <w:tc>
          <w:tcPr>
            <w:tcW w:type="dxa" w:w="39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Valider date/plage, imports et opérateur ; supprimer ou utiliser les champs.</w:t>
            </w:r>
          </w:p>
        </w:tc>
      </w:tr>
      <w:tr>
        <w:tc>
          <w:tcPr>
            <w:tcW w:type="dxa" w:w="70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R08</w:t>
            </w:r>
          </w:p>
        </w:tc>
        <w:tc>
          <w:tcPr>
            <w:tcW w:type="dxa" w:w="11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Élevé</w:t>
            </w:r>
          </w:p>
        </w:tc>
        <w:tc>
          <w:tcPr>
            <w:tcW w:type="dxa" w:w="36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Run vide peut être marqué COMPLETED.</w:t>
            </w:r>
          </w:p>
        </w:tc>
        <w:tc>
          <w:tcPr>
            <w:tcW w:type="dxa" w:w="39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Bloquer ou produire un statut/avertissement explicite.</w:t>
            </w:r>
          </w:p>
        </w:tc>
      </w:tr>
      <w:tr>
        <w:tc>
          <w:tcPr>
            <w:tcW w:type="dxa" w:w="70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R09</w:t>
            </w:r>
          </w:p>
        </w:tc>
        <w:tc>
          <w:tcPr>
            <w:tcW w:type="dxa" w:w="11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Moyen</w:t>
            </w:r>
          </w:p>
        </w:tc>
        <w:tc>
          <w:tcPr>
            <w:tcW w:type="dxa" w:w="36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summaryJson contient toString() et non du JSON.</w:t>
            </w:r>
          </w:p>
        </w:tc>
        <w:tc>
          <w:tcPr>
            <w:tcW w:type="dxa" w:w="39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Sérialiser avec Jackson dans une structure versionnée.</w:t>
            </w:r>
          </w:p>
        </w:tc>
      </w:tr>
      <w:tr>
        <w:tc>
          <w:tcPr>
            <w:tcW w:type="dxa" w:w="70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R10</w:t>
            </w:r>
          </w:p>
        </w:tc>
        <w:tc>
          <w:tcPr>
            <w:tcW w:type="dxa" w:w="11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Moyen</w:t>
            </w:r>
          </w:p>
        </w:tc>
        <w:tc>
          <w:tcPr>
            <w:tcW w:type="dxa" w:w="36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Endpoint doublons retourne seulement DOUBLON_BANQUE.</w:t>
            </w:r>
          </w:p>
        </w:tc>
        <w:tc>
          <w:tcPr>
            <w:tcW w:type="dxa" w:w="39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Retourner Banque + opérateur ou séparer deux vues.</w:t>
            </w:r>
          </w:p>
        </w:tc>
      </w:tr>
      <w:tr>
        <w:tc>
          <w:tcPr>
            <w:tcW w:type="dxa" w:w="70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R11</w:t>
            </w:r>
          </w:p>
        </w:tc>
        <w:tc>
          <w:tcPr>
            <w:tcW w:type="dxa" w:w="11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Moyen</w:t>
            </w:r>
          </w:p>
        </w:tc>
        <w:tc>
          <w:tcPr>
            <w:tcW w:type="dxa" w:w="36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Recherche avancée globale ne reprend pas la sémantique du dernier run.</w:t>
            </w:r>
          </w:p>
        </w:tc>
        <w:tc>
          <w:tcPr>
            <w:tcW w:type="dxa" w:w="39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Unifier le filtrage afin d’éviter les doublons inter-runs.</w:t>
            </w:r>
          </w:p>
        </w:tc>
      </w:tr>
      <w:tr>
        <w:tc>
          <w:tcPr>
            <w:tcW w:type="dxa" w:w="70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R12</w:t>
            </w:r>
          </w:p>
        </w:tc>
        <w:tc>
          <w:tcPr>
            <w:tcW w:type="dxa" w:w="11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Moyen</w:t>
            </w:r>
          </w:p>
        </w:tc>
        <w:tc>
          <w:tcPr>
            <w:tcW w:type="dxa" w:w="36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Champs moov_* réutilisés pour Orange.</w:t>
            </w:r>
          </w:p>
        </w:tc>
        <w:tc>
          <w:tcPr>
            <w:tcW w:type="dxa" w:w="39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Renommer en operator_* ou normaliser le modèle.</w:t>
            </w:r>
          </w:p>
        </w:tc>
      </w:tr>
      <w:tr>
        <w:tc>
          <w:tcPr>
            <w:tcW w:type="dxa" w:w="70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R13</w:t>
            </w:r>
          </w:p>
        </w:tc>
        <w:tc>
          <w:tcPr>
            <w:tcW w:type="dxa" w:w="11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Moyen</w:t>
            </w:r>
          </w:p>
        </w:tc>
        <w:tc>
          <w:tcPr>
            <w:tcW w:type="dxa" w:w="36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Archives de run incomplètes pour operator/orange_import_ids.</w:t>
            </w:r>
          </w:p>
        </w:tc>
        <w:tc>
          <w:tcPr>
            <w:tcW w:type="dxa" w:w="39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Faire évoluer le schéma et le SQL d’archivage.</w:t>
            </w:r>
          </w:p>
        </w:tc>
      </w:tr>
      <w:tr>
        <w:tc>
          <w:tcPr>
            <w:tcW w:type="dxa" w:w="70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R14</w:t>
            </w:r>
          </w:p>
        </w:tc>
        <w:tc>
          <w:tcPr>
            <w:tcW w:type="dxa" w:w="11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Moyen</w:t>
            </w:r>
          </w:p>
        </w:tc>
        <w:tc>
          <w:tcPr>
            <w:tcW w:type="dxa" w:w="36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cutoff nommé exclusive mais SQL utilise &lt;=.</w:t>
            </w:r>
          </w:p>
        </w:tc>
        <w:tc>
          <w:tcPr>
            <w:tcW w:type="dxa" w:w="39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Clarifier le contrat et tester la date frontière.</w:t>
            </w:r>
          </w:p>
        </w:tc>
      </w:tr>
      <w:tr>
        <w:tc>
          <w:tcPr>
            <w:tcW w:type="dxa" w:w="70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R15</w:t>
            </w:r>
          </w:p>
        </w:tc>
        <w:tc>
          <w:tcPr>
            <w:tcW w:type="dxa" w:w="11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Moyen</w:t>
            </w:r>
          </w:p>
        </w:tc>
        <w:tc>
          <w:tcPr>
            <w:tcW w:type="dxa" w:w="36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Reporting/comptabilisation chargent des ensembles larges en mémoire.</w:t>
            </w:r>
          </w:p>
        </w:tc>
        <w:tc>
          <w:tcPr>
            <w:tcW w:type="dxa" w:w="39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Ajouter des requêtes ciblées et mesures de volumétrie.</w:t>
            </w:r>
          </w:p>
        </w:tc>
      </w:tr>
      <w:tr>
        <w:tc>
          <w:tcPr>
            <w:tcW w:type="dxa" w:w="70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R16</w:t>
            </w:r>
          </w:p>
        </w:tc>
        <w:tc>
          <w:tcPr>
            <w:tcW w:type="dxa" w:w="11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Moyen</w:t>
            </w:r>
          </w:p>
        </w:tc>
        <w:tc>
          <w:tcPr>
            <w:tcW w:type="dxa" w:w="36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Tests IT non intégrés au build par défaut.</w:t>
            </w:r>
          </w:p>
        </w:tc>
        <w:tc>
          <w:tcPr>
            <w:tcW w:type="dxa" w:w="39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Configurer Failsafe verify et un profil CI.</w:t>
            </w:r>
          </w:p>
        </w:tc>
      </w:tr>
      <w:tr>
        <w:tc>
          <w:tcPr>
            <w:tcW w:type="dxa" w:w="70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R17</w:t>
            </w:r>
          </w:p>
        </w:tc>
        <w:tc>
          <w:tcPr>
            <w:tcW w:type="dxa" w:w="11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Faible</w:t>
            </w:r>
          </w:p>
        </w:tc>
        <w:tc>
          <w:tcPr>
            <w:tcW w:type="dxa" w:w="361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README indique encore XLSX comme placeholder et un autre port.</w:t>
            </w:r>
          </w:p>
        </w:tc>
        <w:tc>
          <w:tcPr>
            <w:tcW w:type="dxa" w:w="395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Mettre la documentation sous contrôle de version avec revue.</w:t>
            </w:r>
          </w:p>
        </w:tc>
      </w:tr>
    </w:tbl>
    <w:p>
      <w:pPr>
        <w:spacing w:before="0" w:after="80"/>
      </w:pPr>
    </w:p>
    <w:p>
      <w:r>
        <w:br w:type="page"/>
      </w:r>
    </w:p>
    <w:p>
      <w:pPr>
        <w:pStyle w:val="Heading1"/>
      </w:pPr>
      <w:r>
        <w:rPr>
          <w:rFonts w:ascii="Calibri" w:hAnsi="Calibri"/>
          <w:b/>
          <w:color w:val="2E74B5"/>
          <w:sz w:val="32"/>
        </w:rPr>
        <w:t>13. Feuille de route et traçabilité</w:t>
      </w:r>
    </w:p>
    <w:p>
      <w:pPr>
        <w:pStyle w:val="Heading2"/>
      </w:pPr>
      <w:r>
        <w:rPr>
          <w:rFonts w:ascii="Calibri" w:hAnsi="Calibri"/>
          <w:b/>
          <w:color w:val="2E74B5"/>
          <w:sz w:val="26"/>
        </w:rPr>
        <w:t>13.1 Feuille de route proposée</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100"/>
        <w:gridCol w:w="1800"/>
        <w:gridCol w:w="5460"/>
      </w:tblGrid>
      <w:tr>
        <w:trPr>
          <w:tblHeader w:val="true"/>
        </w:trPr>
        <w:tc>
          <w:tcPr>
            <w:tcW w:type="dxa" w:w="21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Lot</w:t>
            </w:r>
          </w:p>
        </w:tc>
        <w:tc>
          <w:tcPr>
            <w:tcW w:type="dxa" w:w="18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Horizon</w:t>
            </w:r>
          </w:p>
        </w:tc>
        <w:tc>
          <w:tcPr>
            <w:tcW w:type="dxa" w:w="546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Contenu</w:t>
            </w:r>
          </w:p>
        </w:tc>
      </w:tr>
      <w:tr>
        <w:tc>
          <w:tcPr>
            <w:tcW w:type="dxa" w:w="21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Lot 0 — Sécurisation</w:t>
            </w:r>
          </w:p>
        </w:tc>
        <w:tc>
          <w:tcPr>
            <w:tcW w:type="dxa" w:w="18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1 à 2 semaines</w:t>
            </w:r>
          </w:p>
        </w:tc>
        <w:tc>
          <w:tcPr>
            <w:tcW w:type="dxa" w:w="54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Ports, secrets, règles publiques, RBAC minimal, validation des runs.</w:t>
            </w:r>
          </w:p>
        </w:tc>
      </w:tr>
      <w:tr>
        <w:tc>
          <w:tcPr>
            <w:tcW w:type="dxa" w:w="21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Lot 1 — Cohérence métier</w:t>
            </w:r>
          </w:p>
        </w:tc>
        <w:tc>
          <w:tcPr>
            <w:tcW w:type="dxa" w:w="18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2 à 3 semaines</w:t>
            </w:r>
          </w:p>
        </w:tc>
        <w:tc>
          <w:tcPr>
            <w:tcW w:type="dxa" w:w="54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Matrice commune MOOV/Orange, tolérance montant, doublons, tests de décision.</w:t>
            </w:r>
          </w:p>
        </w:tc>
      </w:tr>
      <w:tr>
        <w:tc>
          <w:tcPr>
            <w:tcW w:type="dxa" w:w="21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Lot 2 — Données et audit</w:t>
            </w:r>
          </w:p>
        </w:tc>
        <w:tc>
          <w:tcPr>
            <w:tcW w:type="dxa" w:w="18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2 à 4 semaines</w:t>
            </w:r>
          </w:p>
        </w:tc>
        <w:tc>
          <w:tcPr>
            <w:tcW w:type="dxa" w:w="54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Schéma operator_*, associations d’import, JSON de synthèse, archives fidèles.</w:t>
            </w:r>
          </w:p>
        </w:tc>
      </w:tr>
      <w:tr>
        <w:tc>
          <w:tcPr>
            <w:tcW w:type="dxa" w:w="21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Lot 3 — Industrialisation</w:t>
            </w:r>
          </w:p>
        </w:tc>
        <w:tc>
          <w:tcPr>
            <w:tcW w:type="dxa" w:w="18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2 à 4 semaines</w:t>
            </w:r>
          </w:p>
        </w:tc>
        <w:tc>
          <w:tcPr>
            <w:tcW w:type="dxa" w:w="54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CI avec IT, health checks, métriques, performances, sauvegarde et reprise.</w:t>
            </w:r>
          </w:p>
        </w:tc>
      </w:tr>
      <w:tr>
        <w:tc>
          <w:tcPr>
            <w:tcW w:type="dxa" w:w="21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Lot 4 — Workflow métier</w:t>
            </w:r>
          </w:p>
        </w:tc>
        <w:tc>
          <w:tcPr>
            <w:tcW w:type="dxa" w:w="18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Selon besoin</w:t>
            </w:r>
          </w:p>
        </w:tc>
        <w:tc>
          <w:tcPr>
            <w:tcW w:type="dxa" w:w="54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Affectation, commentaire, justification, validation et clôture des anomalies.</w:t>
            </w:r>
          </w:p>
        </w:tc>
      </w:tr>
    </w:tbl>
    <w:p>
      <w:pPr>
        <w:spacing w:before="0" w:after="80"/>
      </w:pPr>
    </w:p>
    <w:p>
      <w:pPr>
        <w:pStyle w:val="Heading2"/>
      </w:pPr>
      <w:r>
        <w:rPr>
          <w:rFonts w:ascii="Calibri" w:hAnsi="Calibri"/>
          <w:b/>
          <w:color w:val="2E74B5"/>
          <w:sz w:val="26"/>
        </w:rPr>
        <w:t>13.2 Décisions à faire valider</w:t>
      </w:r>
    </w:p>
    <w:p>
      <w:pPr>
        <w:numPr>
          <w:ilvl w:val="0"/>
          <w:numId w:val="10"/>
        </w:numPr>
        <w:spacing w:before="0" w:after="80" w:line="300" w:lineRule="auto"/>
      </w:pPr>
      <w:r>
        <w:rPr>
          <w:rFonts w:ascii="Calibri" w:hAnsi="Calibri"/>
          <w:color w:val="111111"/>
          <w:sz w:val="22"/>
        </w:rPr>
        <w:t>Matrice de classification unique ou règles explicitement différentes par opérateur.</w:t>
      </w:r>
    </w:p>
    <w:p>
      <w:pPr>
        <w:numPr>
          <w:ilvl w:val="0"/>
          <w:numId w:val="10"/>
        </w:numPr>
        <w:spacing w:before="0" w:after="80" w:line="300" w:lineRule="auto"/>
      </w:pPr>
      <w:r>
        <w:rPr>
          <w:rFonts w:ascii="Calibri" w:hAnsi="Calibri"/>
          <w:color w:val="111111"/>
          <w:sz w:val="22"/>
        </w:rPr>
        <w:t>Comportement attendu lorsqu’un run ne trouve aucun import ou aucune transaction.</w:t>
      </w:r>
    </w:p>
    <w:p>
      <w:pPr>
        <w:numPr>
          <w:ilvl w:val="0"/>
          <w:numId w:val="10"/>
        </w:numPr>
        <w:spacing w:before="0" w:after="80" w:line="300" w:lineRule="auto"/>
      </w:pPr>
      <w:r>
        <w:rPr>
          <w:rFonts w:ascii="Calibri" w:hAnsi="Calibri"/>
          <w:color w:val="111111"/>
          <w:sz w:val="22"/>
        </w:rPr>
        <w:t>Règle d’idempotence et politique de conservation de plusieurs runs sur le même périmètre.</w:t>
      </w:r>
    </w:p>
    <w:p>
      <w:pPr>
        <w:numPr>
          <w:ilvl w:val="0"/>
          <w:numId w:val="10"/>
        </w:numPr>
        <w:spacing w:before="0" w:after="80" w:line="300" w:lineRule="auto"/>
      </w:pPr>
      <w:r>
        <w:rPr>
          <w:rFonts w:ascii="Calibri" w:hAnsi="Calibri"/>
          <w:color w:val="111111"/>
          <w:sz w:val="22"/>
        </w:rPr>
        <w:t>Rôles autorisés pour importer, supprimer, exécuter la rétention et administrer les utilisateurs.</w:t>
      </w:r>
    </w:p>
    <w:p>
      <w:pPr>
        <w:numPr>
          <w:ilvl w:val="0"/>
          <w:numId w:val="10"/>
        </w:numPr>
        <w:spacing w:before="0" w:after="80" w:line="300" w:lineRule="auto"/>
      </w:pPr>
      <w:r>
        <w:rPr>
          <w:rFonts w:ascii="Calibri" w:hAnsi="Calibri"/>
          <w:color w:val="111111"/>
          <w:sz w:val="22"/>
        </w:rPr>
        <w:t>Durées de conservation des fichiers bruts, raw payloads, résultats et archives.</w:t>
      </w:r>
    </w:p>
    <w:p>
      <w:pPr>
        <w:numPr>
          <w:ilvl w:val="0"/>
          <w:numId w:val="10"/>
        </w:numPr>
        <w:spacing w:before="0" w:after="80" w:line="300" w:lineRule="auto"/>
      </w:pPr>
      <w:r>
        <w:rPr>
          <w:rFonts w:ascii="Calibri" w:hAnsi="Calibri"/>
          <w:color w:val="111111"/>
          <w:sz w:val="22"/>
        </w:rPr>
        <w:t>Seuils de performance, de volumétrie, de tolérance financière et de compensation.</w:t>
      </w:r>
    </w:p>
    <w:p>
      <w:pPr>
        <w:pStyle w:val="Heading2"/>
      </w:pPr>
      <w:r>
        <w:rPr>
          <w:rFonts w:ascii="Calibri" w:hAnsi="Calibri"/>
          <w:b/>
          <w:color w:val="2E74B5"/>
          <w:sz w:val="26"/>
        </w:rPr>
        <w:t>13.3 Matrice de traçabilité</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250"/>
        <w:gridCol w:w="900"/>
        <w:gridCol w:w="3520"/>
        <w:gridCol w:w="3690"/>
      </w:tblGrid>
      <w:tr>
        <w:trPr>
          <w:tblHeader w:val="true"/>
        </w:trPr>
        <w:tc>
          <w:tcPr>
            <w:tcW w:type="dxa" w:w="125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Exigence</w:t>
            </w:r>
          </w:p>
        </w:tc>
        <w:tc>
          <w:tcPr>
            <w:tcW w:type="dxa" w:w="9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Cas</w:t>
            </w:r>
          </w:p>
        </w:tc>
        <w:tc>
          <w:tcPr>
            <w:tcW w:type="dxa" w:w="352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Composant / API</w:t>
            </w:r>
          </w:p>
        </w:tc>
        <w:tc>
          <w:tcPr>
            <w:tcW w:type="dxa" w:w="369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Preuve ou test</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RF-01 / RF-04</w:t>
            </w:r>
          </w:p>
        </w:tc>
        <w:tc>
          <w:tcPr>
            <w:tcW w:type="dxa" w:w="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UC-01</w:t>
            </w:r>
          </w:p>
        </w:tc>
        <w:tc>
          <w:tcPr>
            <w:tcW w:type="dxa" w:w="352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FileImportService, /api/imports/bank</w:t>
            </w:r>
          </w:p>
        </w:tc>
        <w:tc>
          <w:tcPr>
            <w:tcW w:type="dxa" w:w="369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FileImportServiceImplTest ; BankImportExportMoovFormatIT</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RF-02 / RF-04</w:t>
            </w:r>
          </w:p>
        </w:tc>
        <w:tc>
          <w:tcPr>
            <w:tcW w:type="dxa" w:w="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UC-02</w:t>
            </w:r>
          </w:p>
        </w:tc>
        <w:tc>
          <w:tcPr>
            <w:tcW w:type="dxa" w:w="352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Parseurs, normalisation, /imports/moov|orange</w:t>
            </w:r>
          </w:p>
        </w:tc>
        <w:tc>
          <w:tcPr>
            <w:tcW w:type="dxa" w:w="369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StatusNormalizationServiceTest ; fichiers IT</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RF-03</w:t>
            </w:r>
          </w:p>
        </w:tc>
        <w:tc>
          <w:tcPr>
            <w:tcW w:type="dxa" w:w="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UC-03</w:t>
            </w:r>
          </w:p>
        </w:tc>
        <w:tc>
          <w:tcPr>
            <w:tcW w:type="dxa" w:w="352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AmplitudeTransaction, /imports/amplitude</w:t>
            </w:r>
          </w:p>
        </w:tc>
        <w:tc>
          <w:tcPr>
            <w:tcW w:type="dxa" w:w="369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Tests d’extraction AMPLITUDE</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RF-05 / RF-06</w:t>
            </w:r>
          </w:p>
        </w:tc>
        <w:tc>
          <w:tcPr>
            <w:tcW w:type="dxa" w:w="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UC-04</w:t>
            </w:r>
          </w:p>
        </w:tc>
        <w:tc>
          <w:tcPr>
            <w:tcW w:type="dxa" w:w="352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DeletionPlan, preview-delete, confirmCascade</w:t>
            </w:r>
          </w:p>
        </w:tc>
        <w:tc>
          <w:tcPr>
            <w:tcW w:type="dxa" w:w="369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FileImportDeletionServiceTest</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RF-07 / RF-08</w:t>
            </w:r>
          </w:p>
        </w:tc>
        <w:tc>
          <w:tcPr>
            <w:tcW w:type="dxa" w:w="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UC-05</w:t>
            </w:r>
          </w:p>
        </w:tc>
        <w:tc>
          <w:tcPr>
            <w:tcW w:type="dxa" w:w="352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ReconciliationService, Strategy, Classification</w:t>
            </w:r>
          </w:p>
        </w:tc>
        <w:tc>
          <w:tcPr>
            <w:tcW w:type="dxa" w:w="369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ReconciliationClassificationServiceTest ; SampleFilesIT</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RF-09</w:t>
            </w:r>
          </w:p>
        </w:tc>
        <w:tc>
          <w:tcPr>
            <w:tcW w:type="dxa" w:w="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UC-06</w:t>
            </w:r>
          </w:p>
        </w:tc>
        <w:tc>
          <w:tcPr>
            <w:tcW w:type="dxa" w:w="352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ReconciliationController, exports</w:t>
            </w:r>
          </w:p>
        </w:tc>
        <w:tc>
          <w:tcPr>
            <w:tcW w:type="dxa" w:w="369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Test de contrat/export recommandé</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RF-10</w:t>
            </w:r>
          </w:p>
        </w:tc>
        <w:tc>
          <w:tcPr>
            <w:tcW w:type="dxa" w:w="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UC-07</w:t>
            </w:r>
          </w:p>
        </w:tc>
        <w:tc>
          <w:tcPr>
            <w:tcW w:type="dxa" w:w="352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DashboardService, /dashboard/reconciliation</w:t>
            </w:r>
          </w:p>
        </w:tc>
        <w:tc>
          <w:tcPr>
            <w:tcW w:type="dxa" w:w="369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DashboardServiceImplTest ; DashboardControllerUnitTest</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RF-11</w:t>
            </w:r>
          </w:p>
        </w:tc>
        <w:tc>
          <w:tcPr>
            <w:tcW w:type="dxa" w:w="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UC-08</w:t>
            </w:r>
          </w:p>
        </w:tc>
        <w:tc>
          <w:tcPr>
            <w:tcW w:type="dxa" w:w="352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ReportingService, exports Excel/PDF</w:t>
            </w:r>
          </w:p>
        </w:tc>
        <w:tc>
          <w:tcPr>
            <w:tcW w:type="dxa" w:w="369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Tests de reporting à ajouter</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RF-12</w:t>
            </w:r>
          </w:p>
        </w:tc>
        <w:tc>
          <w:tcPr>
            <w:tcW w:type="dxa" w:w="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UC-09</w:t>
            </w:r>
          </w:p>
        </w:tc>
        <w:tc>
          <w:tcPr>
            <w:tcW w:type="dxa" w:w="352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AccountingService, /api/accounting</w:t>
            </w:r>
          </w:p>
        </w:tc>
        <w:tc>
          <w:tcPr>
            <w:tcW w:type="dxa" w:w="369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Tests comptables à ajouter</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RF-13</w:t>
            </w:r>
          </w:p>
        </w:tc>
        <w:tc>
          <w:tcPr>
            <w:tcW w:type="dxa" w:w="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UC-10</w:t>
            </w:r>
          </w:p>
        </w:tc>
        <w:tc>
          <w:tcPr>
            <w:tcW w:type="dxa" w:w="352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CompensationService, /api/compensations</w:t>
            </w:r>
          </w:p>
        </w:tc>
        <w:tc>
          <w:tcPr>
            <w:tcW w:type="dxa" w:w="369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Tests de compensation à ajouter</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RF-14</w:t>
            </w:r>
          </w:p>
        </w:tc>
        <w:tc>
          <w:tcPr>
            <w:tcW w:type="dxa" w:w="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UC-11</w:t>
            </w:r>
          </w:p>
        </w:tc>
        <w:tc>
          <w:tcPr>
            <w:tcW w:type="dxa" w:w="352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RetentionService, tables archive</w:t>
            </w:r>
          </w:p>
        </w:tc>
        <w:tc>
          <w:tcPr>
            <w:tcW w:type="dxa" w:w="369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Tests PostgreSQL/Flyway à ajouter</w:t>
            </w:r>
          </w:p>
        </w:tc>
      </w:tr>
      <w:tr>
        <w:tc>
          <w:tcPr>
            <w:tcW w:type="dxa" w:w="1250"/>
            <w:vAlign w:val="center"/>
            <w:tcMar>
              <w:top w:w="80" w:type="dxa"/>
              <w:start w:w="120" w:type="dxa"/>
              <w:bottom w:w="80" w:type="dxa"/>
              <w:end w:w="120" w:type="dxa"/>
            </w:tcMar>
          </w:tcPr>
          <w:p>
            <w:pPr>
              <w:spacing w:before="0" w:after="0" w:line="264" w:lineRule="auto"/>
              <w:jc w:val="center"/>
            </w:pPr>
            <w:r>
              <w:rPr>
                <w:rFonts w:ascii="Calibri" w:hAnsi="Calibri"/>
                <w:b/>
                <w:color w:val="111111"/>
                <w:sz w:val="16"/>
              </w:rPr>
              <w:t>RF-15</w:t>
            </w:r>
          </w:p>
        </w:tc>
        <w:tc>
          <w:tcPr>
            <w:tcW w:type="dxa" w:w="90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UC-12</w:t>
            </w:r>
          </w:p>
        </w:tc>
        <w:tc>
          <w:tcPr>
            <w:tcW w:type="dxa" w:w="352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BaUserService, JWT, profils/rôles</w:t>
            </w:r>
          </w:p>
        </w:tc>
        <w:tc>
          <w:tcPr>
            <w:tcW w:type="dxa" w:w="3690"/>
            <w:vAlign w:val="center"/>
            <w:tcMar>
              <w:top w:w="80" w:type="dxa"/>
              <w:start w:w="120" w:type="dxa"/>
              <w:bottom w:w="80" w:type="dxa"/>
              <w:end w:w="120" w:type="dxa"/>
            </w:tcMar>
          </w:tcPr>
          <w:p>
            <w:pPr>
              <w:spacing w:before="0" w:after="0" w:line="264" w:lineRule="auto"/>
              <w:jc w:val="left"/>
            </w:pPr>
            <w:r>
              <w:rPr>
                <w:rFonts w:ascii="Calibri" w:hAnsi="Calibri"/>
                <w:b w:val="0"/>
                <w:color w:val="111111"/>
                <w:sz w:val="16"/>
              </w:rPr>
              <w:t>Tests sécurité/RBAC à ajouter</w:t>
            </w:r>
          </w:p>
        </w:tc>
      </w:tr>
    </w:tbl>
    <w:p>
      <w:pPr>
        <w:spacing w:before="0" w:after="80"/>
      </w:pPr>
    </w:p>
    <w:p>
      <w:pPr>
        <w:spacing w:before="0" w:after="120" w:line="300" w:lineRule="auto"/>
      </w:pPr>
      <w:r>
        <w:rPr>
          <w:rFonts w:ascii="Calibri" w:hAnsi="Calibri"/>
          <w:color w:val="111111"/>
          <w:sz w:val="22"/>
        </w:rPr>
        <w:t>Cette matrice sert de contrôle de couverture : toute exigence doit être reliée à un cas d’utilisation, à un composant ou contrat API, puis à une preuve de recette automatisée ou manuelle.</w:t>
      </w:r>
    </w:p>
    <w:p>
      <w:pPr>
        <w:pStyle w:val="Heading2"/>
      </w:pPr>
      <w:r>
        <w:rPr>
          <w:rFonts w:ascii="Calibri" w:hAnsi="Calibri"/>
          <w:b/>
          <w:color w:val="2E74B5"/>
          <w:sz w:val="26"/>
        </w:rPr>
        <w:t>13.4 Glossaire</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500"/>
        <w:gridCol w:w="6860"/>
      </w:tblGrid>
      <w:tr>
        <w:trPr>
          <w:tblHeader w:val="true"/>
        </w:trPr>
        <w:tc>
          <w:tcPr>
            <w:tcW w:type="dxa" w:w="25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Terme</w:t>
            </w:r>
          </w:p>
        </w:tc>
        <w:tc>
          <w:tcPr>
            <w:tcW w:type="dxa" w:w="686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Définition</w:t>
            </w:r>
          </w:p>
        </w:tc>
      </w:tr>
      <w:tr>
        <w:tc>
          <w:tcPr>
            <w:tcW w:type="dxa" w:w="25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Import</w:t>
            </w:r>
          </w:p>
        </w:tc>
        <w:tc>
          <w:tcPr>
            <w:tcW w:type="dxa" w:w="68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Métadonnée et ensemble de transactions provenant d’un fichier source.</w:t>
            </w:r>
          </w:p>
        </w:tc>
      </w:tr>
      <w:tr>
        <w:tc>
          <w:tcPr>
            <w:tcW w:type="dxa" w:w="25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Run</w:t>
            </w:r>
          </w:p>
        </w:tc>
        <w:tc>
          <w:tcPr>
            <w:tcW w:type="dxa" w:w="68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Exécution de réconciliation portant sur un opérateur et une période.</w:t>
            </w:r>
          </w:p>
        </w:tc>
      </w:tr>
      <w:tr>
        <w:tc>
          <w:tcPr>
            <w:tcW w:type="dxa" w:w="25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Clé de rapprochement</w:t>
            </w:r>
          </w:p>
        </w:tc>
        <w:tc>
          <w:tcPr>
            <w:tcW w:type="dxa" w:w="68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Identifiant commun utilisé pour associer une ligne Banque à une ligne opérateur.</w:t>
            </w:r>
          </w:p>
        </w:tc>
      </w:tr>
      <w:tr>
        <w:tc>
          <w:tcPr>
            <w:tcW w:type="dxa" w:w="25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Carthago</w:t>
            </w:r>
          </w:p>
        </w:tc>
        <w:tc>
          <w:tcPr>
            <w:tcW w:type="dxa" w:w="68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Source bancaire des opérations Banque vers Wallet ou Wallet vers Banque.</w:t>
            </w:r>
          </w:p>
        </w:tc>
      </w:tr>
      <w:tr>
        <w:tc>
          <w:tcPr>
            <w:tcW w:type="dxa" w:w="25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AMPLITUDE</w:t>
            </w:r>
          </w:p>
        </w:tc>
        <w:tc>
          <w:tcPr>
            <w:tcW w:type="dxa" w:w="68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Système comptable utilisé pour vérifier la comptabilisation.</w:t>
            </w:r>
          </w:p>
        </w:tc>
      </w:tr>
      <w:tr>
        <w:tc>
          <w:tcPr>
            <w:tcW w:type="dxa" w:w="25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Anomalie</w:t>
            </w:r>
          </w:p>
        </w:tc>
        <w:tc>
          <w:tcPr>
            <w:tcW w:type="dxa" w:w="68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Résultat différent de MATCH_OK et financièrement pertinent.</w:t>
            </w:r>
          </w:p>
        </w:tc>
      </w:tr>
      <w:tr>
        <w:tc>
          <w:tcPr>
            <w:tcW w:type="dxa" w:w="25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Hors périmètre opérateur</w:t>
            </w:r>
          </w:p>
        </w:tc>
        <w:tc>
          <w:tcPr>
            <w:tcW w:type="dxa" w:w="68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Opération opérateur en échec sans transaction Banque ; suivie en qualité, hors KPI financiers.</w:t>
            </w:r>
          </w:p>
        </w:tc>
      </w:tr>
      <w:tr>
        <w:tc>
          <w:tcPr>
            <w:tcW w:type="dxa" w:w="25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Cascade</w:t>
            </w:r>
          </w:p>
        </w:tc>
        <w:tc>
          <w:tcPr>
            <w:tcW w:type="dxa" w:w="68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Suppression ordonnée des résultats, runs, transactions, import et fichier dépendants.</w:t>
            </w:r>
          </w:p>
        </w:tc>
      </w:tr>
      <w:tr>
        <w:tc>
          <w:tcPr>
            <w:tcW w:type="dxa" w:w="25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KPI</w:t>
            </w:r>
          </w:p>
        </w:tc>
        <w:tc>
          <w:tcPr>
            <w:tcW w:type="dxa" w:w="68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Indicateur chiffré de volume, taux, montant, qualité ou risque.</w:t>
            </w:r>
          </w:p>
        </w:tc>
      </w:tr>
    </w:tbl>
    <w:p>
      <w:pPr>
        <w:spacing w:before="0" w:after="80"/>
      </w:pPr>
    </w:p>
    <w:p>
      <w:pPr>
        <w:pStyle w:val="Heading2"/>
      </w:pPr>
      <w:r>
        <w:rPr>
          <w:rFonts w:ascii="Calibri" w:hAnsi="Calibri"/>
          <w:b/>
          <w:color w:val="2E74B5"/>
          <w:sz w:val="26"/>
        </w:rPr>
        <w:t>13.5 Référentiel de preuve</w:t>
      </w:r>
    </w:p>
    <w:p>
      <w:pPr>
        <w:spacing w:before="0" w:after="120" w:line="300" w:lineRule="auto"/>
      </w:pPr>
      <w:r>
        <w:rPr>
          <w:rFonts w:ascii="Calibri" w:hAnsi="Calibri"/>
          <w:color w:val="111111"/>
          <w:sz w:val="22"/>
        </w:rPr>
        <w:t>Principaux chemins inspectés :</w:t>
      </w:r>
    </w:p>
    <w:tbl>
      <w:tblPr>
        <w:tblStyle w:val="TableGrid"/>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200"/>
        <w:gridCol w:w="7160"/>
      </w:tblGrid>
      <w:tr>
        <w:trPr>
          <w:tblHeader w:val="true"/>
        </w:trPr>
        <w:tc>
          <w:tcPr>
            <w:tcW w:type="dxa" w:w="220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Domaine</w:t>
            </w:r>
          </w:p>
        </w:tc>
        <w:tc>
          <w:tcPr>
            <w:tcW w:type="dxa" w:w="7160"/>
            <w:vAlign w:val="center"/>
            <w:tcMar>
              <w:top w:w="80" w:type="dxa"/>
              <w:start w:w="120" w:type="dxa"/>
              <w:bottom w:w="80" w:type="dxa"/>
              <w:end w:w="120" w:type="dxa"/>
            </w:tcMar>
            <w:shd w:fill="E8EEF5" w:val="clear"/>
          </w:tcPr>
          <w:p>
            <w:pPr>
              <w:spacing w:before="0" w:after="0" w:line="264" w:lineRule="auto"/>
              <w:jc w:val="center"/>
            </w:pPr>
            <w:r>
              <w:rPr>
                <w:rFonts w:ascii="Calibri" w:hAnsi="Calibri"/>
                <w:b/>
                <w:color w:val="0B2545"/>
                <w:sz w:val="18"/>
              </w:rPr>
              <w:t>Chemins source</w:t>
            </w:r>
          </w:p>
        </w:tc>
      </w:tr>
      <w:tr>
        <w:tc>
          <w:tcPr>
            <w:tcW w:type="dxa" w:w="22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API</w:t>
            </w:r>
          </w:p>
        </w:tc>
        <w:tc>
          <w:tcPr>
            <w:tcW w:type="dxa" w:w="71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src/main/java/com/bakouan/app/controller</w:t>
            </w:r>
          </w:p>
        </w:tc>
      </w:tr>
      <w:tr>
        <w:tc>
          <w:tcPr>
            <w:tcW w:type="dxa" w:w="22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Métier</w:t>
            </w:r>
          </w:p>
        </w:tc>
        <w:tc>
          <w:tcPr>
            <w:tcW w:type="dxa" w:w="71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src/main/java/com/bakouan/app/service et service/impl</w:t>
            </w:r>
          </w:p>
        </w:tc>
      </w:tr>
      <w:tr>
        <w:tc>
          <w:tcPr>
            <w:tcW w:type="dxa" w:w="22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Stratégies</w:t>
            </w:r>
          </w:p>
        </w:tc>
        <w:tc>
          <w:tcPr>
            <w:tcW w:type="dxa" w:w="71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src/main/java/com/bakouan/app/service/reconciliation</w:t>
            </w:r>
          </w:p>
        </w:tc>
      </w:tr>
      <w:tr>
        <w:tc>
          <w:tcPr>
            <w:tcW w:type="dxa" w:w="22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Parsing</w:t>
            </w:r>
          </w:p>
        </w:tc>
        <w:tc>
          <w:tcPr>
            <w:tcW w:type="dxa" w:w="71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src/main/java/com/bakouan/app/service/parser</w:t>
            </w:r>
          </w:p>
        </w:tc>
      </w:tr>
      <w:tr>
        <w:tc>
          <w:tcPr>
            <w:tcW w:type="dxa" w:w="22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Données</w:t>
            </w:r>
          </w:p>
        </w:tc>
        <w:tc>
          <w:tcPr>
            <w:tcW w:type="dxa" w:w="71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src/main/java/com/bakouan/app/model, repositories et resources/db/migration</w:t>
            </w:r>
          </w:p>
        </w:tc>
      </w:tr>
      <w:tr>
        <w:tc>
          <w:tcPr>
            <w:tcW w:type="dxa" w:w="22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Sécurité</w:t>
            </w:r>
          </w:p>
        </w:tc>
        <w:tc>
          <w:tcPr>
            <w:tcW w:type="dxa" w:w="71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src/main/java/com/bakouan/app/config et security</w:t>
            </w:r>
          </w:p>
        </w:tc>
      </w:tr>
      <w:tr>
        <w:tc>
          <w:tcPr>
            <w:tcW w:type="dxa" w:w="22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Configuration</w:t>
            </w:r>
          </w:p>
        </w:tc>
        <w:tc>
          <w:tcPr>
            <w:tcW w:type="dxa" w:w="71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pom.xml, application*.yml, Dockerfile, docker-compose.yml</w:t>
            </w:r>
          </w:p>
        </w:tc>
      </w:tr>
      <w:tr>
        <w:tc>
          <w:tcPr>
            <w:tcW w:type="dxa" w:w="2200"/>
            <w:vAlign w:val="center"/>
            <w:tcMar>
              <w:top w:w="80" w:type="dxa"/>
              <w:start w:w="120" w:type="dxa"/>
              <w:bottom w:w="80" w:type="dxa"/>
              <w:end w:w="120" w:type="dxa"/>
            </w:tcMar>
          </w:tcPr>
          <w:p>
            <w:pPr>
              <w:spacing w:before="0" w:after="0" w:line="264" w:lineRule="auto"/>
              <w:jc w:val="center"/>
            </w:pPr>
            <w:r>
              <w:rPr>
                <w:rFonts w:ascii="Calibri" w:hAnsi="Calibri"/>
                <w:b/>
                <w:color w:val="111111"/>
                <w:sz w:val="18"/>
              </w:rPr>
              <w:t>Tests</w:t>
            </w:r>
          </w:p>
        </w:tc>
        <w:tc>
          <w:tcPr>
            <w:tcW w:type="dxa" w:w="71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src/test/java/com/bakouan/app</w:t>
            </w:r>
          </w:p>
        </w:tc>
      </w:tr>
      <w:tr>
        <w:tc>
          <w:tcPr>
            <w:tcW w:type="dxa" w:w="2200"/>
            <w:vAlign w:val="center"/>
            <w:tcMar>
              <w:top w:w="80" w:type="dxa"/>
              <w:start w:w="120" w:type="dxa"/>
              <w:bottom w:w="80" w:type="dxa"/>
              <w:end w:w="120" w:type="dxa"/>
            </w:tcMar>
          </w:tcPr>
          <w:p>
            <w:pPr>
              <w:spacing w:before="0" w:after="0" w:line="264" w:lineRule="auto"/>
              <w:jc w:val="left"/>
            </w:pPr>
            <w:r>
              <w:rPr>
                <w:rFonts w:ascii="Calibri" w:hAnsi="Calibri"/>
                <w:b/>
                <w:color w:val="111111"/>
                <w:sz w:val="18"/>
              </w:rPr>
              <w:t>Documentation existante</w:t>
            </w:r>
          </w:p>
        </w:tc>
        <w:tc>
          <w:tcPr>
            <w:tcW w:type="dxa" w:w="7160"/>
            <w:vAlign w:val="center"/>
            <w:tcMar>
              <w:top w:w="80" w:type="dxa"/>
              <w:start w:w="120" w:type="dxa"/>
              <w:bottom w:w="80" w:type="dxa"/>
              <w:end w:w="120" w:type="dxa"/>
            </w:tcMar>
          </w:tcPr>
          <w:p>
            <w:pPr>
              <w:spacing w:before="0" w:after="0" w:line="264" w:lineRule="auto"/>
              <w:jc w:val="left"/>
            </w:pPr>
            <w:r>
              <w:rPr>
                <w:rFonts w:ascii="Calibri" w:hAnsi="Calibri"/>
                <w:b w:val="0"/>
                <w:color w:val="111111"/>
                <w:sz w:val="18"/>
              </w:rPr>
              <w:t>README.md, README_SERVICES.md, README_REGLES_METIER.md, CAHIER_DESCRIPTION_FONCTIONNALITES.md</w:t>
            </w:r>
          </w:p>
        </w:tc>
      </w:tr>
    </w:tbl>
    <w:p>
      <w:pPr>
        <w:spacing w:before="0" w:after="80"/>
      </w:pPr>
    </w:p>
    <w:tbl>
      <w:tblPr>
        <w:tblW w:type="dxa" w:w="9360"/>
        <w:jc w:val="left"/>
        <w:tblLayout w:type="fixed"/>
        <w:tblLook w:firstColumn="1" w:firstRow="1" w:lastColumn="0" w:lastRow="0" w:noHBand="0" w:noVBand="1" w:val="04A0"/>
        <w:tblInd w:w="120" w:type="dxa"/>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9360"/>
      </w:tblGrid>
      <w:tr>
        <w:trPr>
          <w:tblHeader w:val="true"/>
        </w:trPr>
        <w:tc>
          <w:tcPr>
            <w:tcW w:type="dxa" w:w="9360"/>
            <w:vAlign w:val="center"/>
            <w:tcMar>
              <w:top w:w="80" w:type="dxa"/>
              <w:start w:w="120" w:type="dxa"/>
              <w:bottom w:w="80" w:type="dxa"/>
              <w:end w:w="120" w:type="dxa"/>
            </w:tcMar>
            <w:shd w:fill="F4F6F9" w:val="clear"/>
          </w:tcPr>
          <w:p>
            <w:pPr>
              <w:spacing w:after="0" w:line="276" w:lineRule="auto"/>
            </w:pPr>
            <w:r>
              <w:rPr>
                <w:rFonts w:ascii="Calibri" w:hAnsi="Calibri"/>
                <w:b/>
                <w:color w:val="0B2545"/>
                <w:sz w:val="20"/>
              </w:rPr>
              <w:t xml:space="preserve">Fin du document  </w:t>
            </w:r>
            <w:r>
              <w:rPr>
                <w:rFonts w:ascii="Calibri" w:hAnsi="Calibri"/>
                <w:color w:val="111111"/>
                <w:sz w:val="20"/>
              </w:rPr>
              <w:t>Ce cahier peut servir de base à une validation métier, à la rédaction des spécifications de recette et à la priorisation du backlog technique.</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F6B7A"/>
        <w:sz w:val="16"/>
      </w:rPr>
      <w:t xml:space="preserve">État du code au 22 juin 2026  •  Page </w:t>
    </w:r>
    <w:fldSimple w:instr="PAGE">
      <w:r>
        <w:rPr>
          <w:color w:val="5F6B7A"/>
        </w:rPr>
        <w:t>1</w:t>
      </w:r>
    </w:fldSimple>
    <w:r>
      <w:rPr>
        <w:rFonts w:ascii="Calibri" w:hAnsi="Calibri"/>
        <w:color w:val="5F6B7A"/>
        <w:sz w:val="16"/>
      </w:rPr>
      <w:t xml:space="preserve"> / </w:t>
    </w:r>
    <w:fldSimple w:instr="NUMPAGES">
      <w:r>
        <w:rPr>
          <w:color w:val="5F6B7A"/>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B7A"/>
        <w:sz w:val="17"/>
      </w:rPr>
      <w:t>CAHIER D’ANALYSE ET DE CONCEPTION  |  RECONCILLIATION-SERVICE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160"/>
    </w:pPr>
    <w:rPr>
      <w:rFonts w:ascii="Calibri" w:hAnsi="Calibri"/>
      <w:b/>
      <w:color w:val="0B2545"/>
      <w:sz w:val="6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d’analyse et de conception – Reconcilliation Service</dc:title>
  <dc:subject>Analyse fonctionnelle et conception technique de la plateforme de réconciliation</dc:subject>
  <dc:creator>OpenAI Codex</dc:creator>
  <cp:keywords>réconciliation, MOOV, Orange, AMPLITUDE, Spring Boot, analyse, conception</cp:keywords>
  <dc:description>generated by python-docx</dc:description>
  <cp:lastModifiedBy/>
  <cp:revision>1</cp:revision>
  <dcterms:created xsi:type="dcterms:W3CDTF">2013-12-23T23:15:00Z</dcterms:created>
  <dcterms:modified xsi:type="dcterms:W3CDTF">2013-12-23T23:15:00Z</dcterms:modified>
  <cp:category/>
</cp:coreProperties>
</file>