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03 Technical requirements</w:t>
      </w:r>
    </w:p>
    <w:p>
      <w:pPr>
        <w:pStyle w:val="Subtitle"/>
      </w:pPr>
      <w:r>
        <w:t>TRD v0.5  Reference design and implementation contracts</w:t>
      </w:r>
    </w:p>
    <w:p>
      <w:r>
        <w:t>v0.5  Updated 11 October 2026  Owner decision selects A and B with streaming for A</w:t>
      </w:r>
    </w:p>
    <w:p>
      <w:pPr/>
      <w:r>
        <w:t>TRD v0.5 is the authoritative design and technical contract from 11 October 2026. It preserves v0.4 ingestion, retrieval, eligibility and safety contracts and adopts the owner-selected A/B answer methods in section 14. The approved owner manual governs motorcycle facts. Exact source approval scopes, applicability, usage rights and release gates remain binding; a methodology decision is not a public deployment approval.</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r>
              <w:t>A exact reviewed selection checks; B semantic claim verification; fail-closed delivery</w:t>
            </w:r>
          </w:p>
        </w:tc>
      </w:tr>
      <w:tr>
        <w:trPr>
          <w:cantSplit/>
        </w:trPr>
        <w:tc>
          <w:tcPr>
            <w:tcW w:type="dxa" w:w="3341"/>
            <w:vAlign w:val="center"/>
          </w:tcPr>
          <w:p>
            <w:pPr>
              <w:spacing w:after="20"/>
            </w:pPr>
            <w:r>
              <w:rPr>
                <w:sz w:val="16"/>
              </w:rPr>
              <w:t>State machine</w:t>
            </w:r>
          </w:p>
        </w:tc>
        <w:tc>
          <w:tcPr>
            <w:tcW w:type="dxa" w:w="3341"/>
            <w:vAlign w:val="center"/>
          </w:tcPr>
          <w:p>
            <w:pPr>
              <w:spacing w:after="20"/>
            </w:pPr>
            <w:r>
              <w:rPr>
                <w:sz w:val="16"/>
              </w:rPr>
              <w:t>Next eligible, documented diagnostic branch</w:t>
            </w:r>
          </w:p>
        </w:tc>
        <w:tc>
          <w:tcPr>
            <w:tcW w:type="dxa" w:w="3341"/>
            <w:vAlign w:val="center"/>
          </w:tcPr>
          <w:p>
            <w:pPr>
              <w:spacing w:after="20"/>
            </w:pPr>
            <w:r>
              <w:rPr>
                <w:sz w:val="16"/>
              </w:rPr>
              <w:t>OEM referral if no valid path remains</w:t>
            </w:r>
          </w:p>
        </w:tc>
      </w:tr>
    </w:tbl>
    <w:p>
      <w:pPr>
        <w:spacing w:after="0"/>
      </w:pPr>
    </w:p>
    <w:p>
      <w:pPr>
        <w:pStyle w:val="Heading1"/>
      </w:pPr>
      <w:r>
        <w:rPr>
          <w:color w:val="000000"/>
        </w:rPr>
        <w:t>2  Versioned hosted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rPr>
                <w:sz w:val="16"/>
              </w:rPr>
              <w:t>DiagnosticSession</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rPr>
                <w:sz w:val="16"/>
              </w:rPr>
              <w:t>query_id, manual_checksum, evidence_ids, required_evidence_ids, attached_evidence_ids, missing_evidence_ids, dependency_manifest_version, dependency_review_status, conflicts, missing_conditions, applicability_status, sufficiency_status</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rPr>
                <w:sz w:val="16"/>
              </w:rPr>
              <w:t>type, natural_language, claim_evidence_map, cited_pages, suggested_step_id, clarification_question, escalation_uri, trace_id</w:t>
            </w:r>
          </w:p>
        </w:tc>
      </w:tr>
      <w:tr>
        <w:trPr>
          <w:cantSplit/>
        </w:trPr>
        <w:tc>
          <w:tcPr>
            <w:tcW w:type="dxa" w:w="5011"/>
            <w:vAlign w:val="center"/>
          </w:tcPr>
          <w:p>
            <w:pPr>
              <w:spacing w:after="20"/>
            </w:pPr>
            <w:r>
              <w:rPr>
                <w:sz w:val="16"/>
              </w:rPr>
              <w:t>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rPr>
                <w:sz w:val="16"/>
              </w:rPr>
              <w:t>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rPr>
                <w:sz w:val="16"/>
              </w:rPr>
              <w:t>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r>
        <w:tc>
          <w:tcPr>
            <w:tcW w:type="dxa" w:w="5011"/>
            <w:vAlign w:val="center"/>
            <w:shd w:fill="F3F6FA"/>
          </w:tcPr>
          <w:p>
            <w:r>
              <w:rPr>
                <w:sz w:val="16"/>
              </w:rPr>
              <w:t>RetrievalDecision</w:t>
            </w:r>
          </w:p>
        </w:tc>
        <w:tc>
          <w:tcPr>
            <w:tcW w:type="dxa" w:w="5011"/>
            <w:vAlign w:val="center"/>
            <w:shd w:fill="F3F6FA"/>
          </w:tcPr>
          <w:p>
            <w:r>
              <w:rPr>
                <w:sz w:val="16"/>
              </w:rPr>
              <w:t>policy_version/config, calibration_status, mode, uncertainty_signals, decisions, recovery_attempts, rerank_attempts, requested/fetched/missing_evidence_ids, pair_count, skip_reason, stages_seconds, final_action</w:t>
            </w:r>
          </w:p>
        </w:tc>
      </w:tr>
    </w:tbl>
    <w:p>
      <w:pPr>
        <w:spacing w:after="0"/>
      </w:pPr>
    </w:p>
    <w:p>
      <w:pPr>
        <w:pStyle w:val="Heading1"/>
      </w:pPr>
      <w:r>
        <w:rPr>
          <w:color w:val="000000"/>
        </w:rPr>
        <w:t>4  Retrieval + evidence assembly contract</w:t>
      </w:r>
    </w:p>
    <w:p>
      <w:r>
        <w:t>First-stage dense retrieval uses cosine similarity or the embedding model's recommended metric. Sparse BM25 retrieval handles exact warning labels, component codes and units. Fuse ranks with Reciprocal Rank Fusion, assemble initial parent and verified dependency context, and inspect ranking uncertainty separately from source applicability and evidence coverage. Conditionally rerank a bounded candidate pool before reassembly and the controller/answer gates.</w:t>
      </w:r>
    </w:p>
    <w:p>
      <w:r>
        <w:t>The hosted prototype uses a fused pool of 20 candidates and selects five hits for assembly. One recovery may widen the fused pool to 40 and fetch exact reviewed dependency IDs. Reranking scores at most 20 candidates and 100 token-bounded query/passage pairs. At most 256 mandatory dependency IDs may be attached; an over-limit manifest fails as SYSTEM_ERROR and must not be silently truncated. These limits and trigger thresholds are versioned starting hypotheses, to be calibrated on independently reviewed cases.</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an approved dependency set is incomplete, permit one bounded recovery that fetches the exact required objects and widens retrieval once. If dependencies remain unavailable, withhold technical advice and record a non-rider-resolvable source gap. Allow at most one subsequent reranking attempt when ordering remains uncertain and all source/applicability checks permit it; never loop between search, reranking and generation.</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each searchable child chunk to its full parent procedure or section and build a reviewed dependency manifest for every actionable step. The manifest identifies the action spans, applicability conditions, prerequisites, warnings, table headers and units, variant labels, and referenced figures or sections required to present that step. A section parent remains contextual evidence until its procedure and step boundaries have been reviewed.</w:t>
      </w:r>
    </w:p>
    <w:p>
      <w:pPr/>
      <w:r>
        <w:t>The assembler returns required_evidence_ids, attached_evidence_ids and missing_evidence_ids for the selected candidate, together with dependency_manifest_version and dependency_review_status. missing_evidence_ids is the required set minus the attached set. Coverage is complete only when the dependency manifest is approved for the exact manual checksum, the action evidence is present, all required objects are attached, and their content and provenance pass extraction checks. An empty or unreviewed required set cannot establish sufficiency. Finding a table object is insufficient if its required headers, units or variant context are missing.</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2"/>
      </w:pPr>
      <w:r>
        <w:rPr>
          <w:color w:val="000000"/>
        </w:rPr>
        <w:t>4 2 Conditional reranking and bounded recovery</w:t>
      </w:r>
    </w:p>
    <w:p>
      <w:pPr/>
      <w:r>
        <w:t>The normal request path uses conditional reranking. Clearly ordered candidates with complete reviewed dependencies continue to the eligibility and answer gates. Reranking handles uncertain ordering among plausible candidates; evidence recovery handles required objects absent from the initial bundle. Similarity, RRF and cross-encoder scores cannot prove support or approve a procedure.</w:t>
      </w:r>
    </w:p>
    <w:p>
      <w:pPr/>
      <w:r>
        <w:t>Trigger signals compare distinct parent sections: disagreement between dense and BM25 top sections, or a narrow relative RRF margin between the two leading sections. Sibling chunks from the same section do not create ambiguity. Zero BM25 matches provide no sparse-agreement signal. Initial experimental values are top-three section overlap below 0.5 or relative RRF margin at most 0.05. Mark these values PROVISIONAL_UNCALIBRATED; use reviewed tuning cases to calibrate them and held-out cases to assess their effect before a release decision.</w:t>
      </w:r>
    </w:p>
    <w:p>
      <w:pPr/>
      <w:r>
        <w:t>Apply the routing policy in order. A known safety stop retains its verified warning and skips model work; a known system failure remains SYSTEM_ERROR; a known unsupported request abstains. Missing, stale or unapproved source/dependency review enters source review or abstention. Unconfirmed applicability enters one focused clarification; a confirmed mismatch blocks the action. An approved missing dependency triggers one exact-ID fetch and bounded retrieval expansion. Complete eligible evidence with uncertain ordering triggers one cross-encoder attempt; otherwise continue through the remaining gates.</w:t>
      </w:r>
    </w:p>
    <w:p>
      <w:pPr/>
      <w:r>
        <w:t>Reassemble after reranking and recheck the dependency set. Retain mandatory action, warning, prerequisite, table/header/unit and figure objects for the selected reviewed step. Reranking does not select a diagnostic step or infer OEM order. The controller selects an eligible step; final claim validation follows the A or B method in sections 6 and 14.</w:t>
      </w:r>
    </w:p>
    <w:p>
      <w:pPr/>
      <w:r>
        <w:t>Operational failures in embedding, retrieval, assembly or the cross-encoder yield SYSTEM_ERROR with a typed error class and recorded attempts. A query exceeding the current cross-encoder's 128-token input bound, or work exceeding 100 query/passage pairs, skips that inference with an explicit reason and keeps ranking unresolved. Preserve the full query and source text; never silently truncate a rider report or mandatory evidence. A source gap cannot be resolved by asking the rider to supply a missing manual warning or table header.</w:t>
      </w:r>
    </w:p>
    <w:p>
      <w:pPr/>
      <w:r>
        <w:t>Return a RetrievalDecision with policy version/configuration, calibration status, execution mode, uncertainty signals, decision history, recovery/rerank attempt counts, exact missing/fetched evidence IDs, pair count, skip reason and stage durations. Conditional mode is the normal code path; off and always_diagnostic modes exist only for ablations. Always-diagnostic execution can bypass the scheduling decision but cannot bypass evidence, applicability, safety or answer-release gates. A generic insufficient-bundle flag must never trigger reranking by itself.</w:t>
      </w:r>
    </w:p>
    <w:p>
      <w:pPr/>
      <w:r>
        <w:t>Candidate bundles without approved applicability and dependency scopes remain blocked. Owner-delegated coordinator approval now exists for 161 exact source-content/initial-response scopes and the selected Himalayan BS6 manual scope in release_manifest_v3.json. Consume its exact bindings; do not extend approval to changed objects, full adaptive transitions, general vision or deployment. Conditional retrieval scheduling remains versioned and reuses unchanged document embeddings.</w:t>
      </w:r>
    </w:p>
    <w:p>
      <w:pPr/>
      <w:r>
        <w:t>Evaluate off, always and conditional policies on the same independently reviewed cases. Record complete evidence recall, rescued and regressed cases, proper abstention, wrong-variant leakage, trigger precision/recall, reranking frequency, per-stage latency, TTFO and cost per correctly handled case. Adopt calibrated conditional reranking for release only if it improves reviewed outcomes without violating latency/cost and safety gates. The existing 27 draft in-sample page-coverage probes cannot establish that result.</w:t>
      </w:r>
    </w:p>
    <w:p>
      <w:pPr/>
      <w:r>
        <w:t>Cross-encoder retrieval reference: https://www.sbert.net/examples/sentence_transformer/applications/retrieve_rerank/README.html</w:t>
      </w:r>
    </w:p>
    <w:p>
      <w:pPr>
        <w:pStyle w:val="Heading1"/>
      </w:pPr>
      <w:r>
        <w:rPr>
          <w:color w:val="000000"/>
        </w:rPr>
        <w:t>5  Diagnostic state machine and adaptive branching</w:t>
      </w:r>
    </w:p>
    <w:p>
      <w:r>
        <w:t>A deterministic controller stores the diagnostic session separately from the LLM chat transcript. The controller accepts typed feedback and selects eligible actions only from the verified procedure graph. Generation occurs after next-step selection, never before.</w:t>
      </w:r>
    </w:p>
    <w:p>
      <w:pPr>
        <w:pStyle w:val="Heading2"/>
      </w:pPr>
      <w:r>
        <w:rPr>
          <w:color w:val="000000"/>
        </w:rPr>
        <w:t>5 1 Reviewed step registry and rule authoring</w:t>
      </w:r>
    </w:p>
    <w:p>
      <w:pPr/>
      <w:r>
        <w:t>Create candidate StepDefinition and ApplicabilityRule records from the original owner manual during ingestion. A layout parser or model may propose the records, but an independent reviewer must check each action, condition, prerequisite, warning and stopping condition against the original pages before it becomes runtime-authorized. Record the reviewer, decision, source spans and registry version. Draft, rejected, stale or checksum-mismatched rules must not authorize an action or a cached answer.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An action becomes eligible only when the manual and variant match, the rule is approved, the symptom or documented branch applies, required conditions and prerequisites are true, no applicable safety rule prohibits it, and the attempt history allows it. Evaluate the evidence-completeness and answer-release gates separately before issuing technical text. A direct factual lookup uses the same applicability and evidence gates without fabricating a diagnostic step.</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jc w:val="center"/>
      </w:pPr>
      <w:r>
        <w:drawing>
          <wp:inline xmlns:a="http://schemas.openxmlformats.org/drawingml/2006/main" xmlns:pic="http://schemas.openxmlformats.org/drawingml/2006/picture">
            <wp:extent cx="5989320" cy="4159250"/>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41592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rPr>
                <w:b/>
                <w:color w:val="FFFFFF"/>
                <w:sz w:val="16"/>
              </w:rPr>
              <w:t>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Evidence sufficiency and output validation</w:t>
      </w:r>
    </w:p>
    <w:p>
      <w:r>
        <w:t>Apply the deterministic rules gate to every method: valid manual and variant, complete approved dependencies, satisfied prerequisites, required warnings, no explicit conflict and valid immutable citations. In A, the model selects indices from exact reviewed wording and the server validates the selection and releases only the bound wording; no free technical paraphrase or separate online semantic verifier is permitted in A. In B, the model composes a concise draft and a separate semantic support evaluator checks each proposed claim against its source spans before release. Reject output that fails the applicable method. A receives a post facto semantic verification audit before UI integration, as specified in section 14.</w:t>
      </w:r>
    </w:p>
    <w:p>
      <w:pPr>
        <w:pStyle w:val="Heading2"/>
      </w:pPr>
      <w:r>
        <w:rPr>
          <w:color w:val="000000"/>
        </w:rPr>
        <w:t>6 1 Response routing and release</w:t>
      </w:r>
    </w:p>
    <w:p>
      <w:pPr/>
      <w:r>
        <w:t>The controller selects the response route from structured eligibility decisions, the evidence bundle and gate results. A known applicable stop condition yields SAFETY_STOP and retains its verified warning even if other processing fails. Otherwise, a required component failure yields SYSTEM_ERROR. A resolvable missing applicability fact or documented branch observation yields AMBIGUOUS and one focused question. After bounded recovery, an unsupported request, an unresolved source gap or exhausted documented paths yields UNSUPPORTED with the verified support route.</w:t>
      </w:r>
    </w:p>
    <w:p>
      <w:pPr/>
      <w:r>
        <w:t>SUPPORTED requires an eligible action or applicable factual answer, complete approved dependencies, valid citations, satisfied safety and prerequisite checks and successful method-specific claim validation. A requires exact reviewed wording and valid allowlisted selections; B requires deterministic checks plus successful semantic verification. Both release only after validation and durable session save. Rejected drafts remain withheld. Bounded operational generation/verification failures return SYSTEM_ERROR; established source gaps yield UNSUPPORTED. A post facto audit does not retroactively authorize unsafe output.</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r>
              <w:t>Release only after applicability, complete dependencies, warnings, citations and method-specific claim validation under A or B pass.</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Abstain with “could not verify an applicable procedure” and verified OEM contact option</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Explain temporary inability to verify; do not claim absence from the manual</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r>
              <w:rPr>
                <w:sz w:val="16"/>
              </w:rPr>
              <w:t>POST /sessions/{id}/turns</w:t>
            </w:r>
          </w:p>
        </w:tc>
        <w:tc>
          <w:tcPr>
            <w:tcW w:type="dxa" w:w="3341"/>
            <w:vAlign w:val="center"/>
            <w:shd w:fill="F3F6FA"/>
          </w:tcPr>
          <w:p>
            <w:r>
              <w:rPr>
                <w:sz w:val="16"/>
              </w:rPr>
              <w:t>text; optional image; optional confirmed transcript; previous typed outcome</w:t>
            </w:r>
          </w:p>
        </w:tc>
        <w:tc>
          <w:tcPr>
            <w:tcW w:type="dxa" w:w="3341"/>
            <w:vAlign w:val="center"/>
            <w:shd w:fill="F3F6FA"/>
          </w:tcPr>
          <w:p>
            <w:r>
              <w:rPr>
                <w:sz w:val="16"/>
              </w:rPr>
              <w:t>SUPPORTED / AMBIGUOUS / UNSUPPORTED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rPr>
                <w:sz w:val="16"/>
              </w:rPr>
              <w:t>step_id, outcome_enum, observed_details</w:t>
            </w:r>
          </w:p>
        </w:tc>
        <w:tc>
          <w:tcPr>
            <w:tcW w:type="dxa" w:w="3341"/>
            <w:vAlign w:val="center"/>
          </w:tcPr>
          <w:p>
            <w:pPr>
              <w:spacing w:after="20"/>
            </w:pPr>
            <w:r>
              <w:rPr>
                <w:sz w:val="16"/>
              </w:rPr>
              <w:t>updated session version, next-turn eligibility</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r>
              <w:t>Approved paraphrase and immutable citation metadata only; no end-user PDF, excerpt or crop under current display policy</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r>
              <w:rPr>
                <w:sz w:val="16"/>
              </w:rPr>
              <w:t>Exact reviewed procedure path cache</w:t>
            </w:r>
          </w:p>
        </w:tc>
        <w:tc>
          <w:tcPr>
            <w:tcW w:type="dxa" w:w="3341"/>
            <w:vAlign w:val="center"/>
          </w:tcPr>
          <w:p>
            <w:r>
              <w:rPr>
                <w:sz w:val="16"/>
              </w:rPr>
              <w:t>Avoid repeated generation for approved exact paths</w:t>
            </w:r>
          </w:p>
        </w:tc>
        <w:tc>
          <w:tcPr>
            <w:tcW w:type="dxa" w:w="3341"/>
            <w:vAlign w:val="center"/>
          </w:tcPr>
          <w:p>
            <w:r>
              <w:rPr>
                <w:sz w:val="16"/>
              </w:rPr>
              <w:t>Key checksum, confirmed variant, intent/symptoms, typed outcomes, flow/controller, policy and prompt versions; invalidate on relevant rule/review/dependency changes; draft/stale entries miss</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r>
              <w:rPr>
                <w:sz w:val="16"/>
              </w:rPr>
              <w:t>One attempt for uncertain candidate ordering after source and coverage checks</w:t>
            </w:r>
          </w:p>
        </w:tc>
        <w:tc>
          <w:tcPr>
            <w:tcW w:type="dxa" w:w="3341"/>
            <w:vAlign w:val="center"/>
          </w:tcPr>
          <w:p>
            <w:r>
              <w:rPr>
                <w:sz w:val="16"/>
              </w:rPr>
              <w:t>Versioned provisional thresholds; reviewed calibration; bounded pool; mandatory evidence retained</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Initial benchmarks: text warm p50 &lt;= 2.5 s and p95 &lt;= 5 s; photo p95 &lt;= 10 s; log cold start separately. Measure end-to-end and each stage with p50/p95 and cold/warm split. Provider pricing must be captured at deployment time rather than hardcoded. Measure time to first output (TTFO) from confirmed rider input to the first releasable answer token. A loading indicator is excluded. Technical content is withheld until the required claim and citation checks pass. Report fast-path and recovery/reranking p50/p95, their combined p95, fallback frequency and cold starts separately; reduced average latency alone does not establish a lower p95.</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r>
              <w:rPr>
                <w:sz w:val="16"/>
              </w:rPr>
              <w:t>policy_version, calibration_status, mode, trigger_reasons, ranked_ids, pair_count, skip_reason, verified_edges, added_dependencies, attempt_counts,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use SUPPORTED, AMBIGUOUS, UNSUPPORTED, SAFETY_STOP and SYSTEM_ERROR under section 6 1. Review gaps block advice; rider-resolvable applicability facts clarify; confirmed mismatches block; operational failures remain SYSTEM_ERROR.</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Eligibility and assembly regression cases</w:t>
      </w:r>
    </w:p>
    <w:p>
      <w:pPr/>
      <w:r>
        <w:t>Include independently reviewed cases that verify rule provenance and expected eligibility decisions, in addition to retrieval relevance and answer wording. Record expected condition results, exclusion reasons, required evidence IDs, response route and allowed next step for each case.</w:t>
      </w:r>
    </w:p>
    <w:p>
      <w:pPr>
        <w:pStyle w:val="ListBullet"/>
      </w:pPr>
      <w:r>
        <w:t>TRUE, FALSE and UNKNOWN facts select, exclude or clarify the documented branch correctly; unknown facts and unresolved attempts never become normal observations.</w:t>
      </w:r>
    </w:p>
    <w:p>
      <w:pPr>
        <w:pStyle w:val="ListBullet"/>
      </w:pPr>
      <w:r>
        <w:t>Draft, stale, wrong-variant and checksum-mismatched step rules cannot authorize technical text or cache hits; every manual-derived predicate resolves to its reviewed source spans.</w:t>
      </w:r>
    </w:p>
    <w:p>
      <w:pPr>
        <w:pStyle w:val="ListBullet"/>
      </w:pPr>
      <w:r>
        <w:t>A relevant child chunk with a missing prerequisite, warning, table header/unit or referenced figure cannot pass the completeness gate. A missing or unapproved dependency manifest also fails closed.</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Keep the existing release targets. Report unsupported eligibility approvals and unjustified repeat steps alongside next-step correctness, complete evidence recall, answerable coverage and proper abstention; adjudicate failures against the original manual and reviewed policy rules.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r>
              <w:rPr>
                <w:sz w:val="16"/>
              </w:rPr>
              <w:t>Off vs always vs conditional cross-encoder; optional late-interaction alternative</w:t>
            </w:r>
          </w:p>
        </w:tc>
        <w:tc>
          <w:tcPr>
            <w:tcW w:type="dxa" w:w="3341"/>
            <w:vAlign w:val="center"/>
            <w:shd w:fill="F3F6FA"/>
          </w:tcPr>
          <w:p>
            <w:r>
              <w:rPr>
                <w:sz w:val="16"/>
              </w:rPr>
              <w:t>Complete evidence recall, rescues/regressions, trigger accuracy, fallback rate, TTFO p95, cost</w:t>
            </w:r>
          </w:p>
        </w:tc>
      </w:tr>
      <w:tr>
        <w:trPr>
          <w:cantSplit/>
        </w:trPr>
        <w:tc>
          <w:tcPr>
            <w:tcW w:type="dxa" w:w="3341"/>
            <w:vAlign w:val="center"/>
          </w:tcPr>
          <w:p>
            <w:pPr>
              <w:spacing w:after="20"/>
            </w:pPr>
            <w:r>
              <w:rPr>
                <w:sz w:val="16"/>
              </w:rPr>
              <w:t>E4</w:t>
            </w:r>
          </w:p>
        </w:tc>
        <w:tc>
          <w:tcPr>
            <w:tcW w:type="dxa" w:w="3341"/>
            <w:vAlign w:val="center"/>
          </w:tcPr>
          <w:p>
            <w:pPr>
              <w:spacing w:after="20"/>
            </w:pPr>
            <w:r>
              <w:rPr>
                <w:sz w:val="16"/>
              </w:rPr>
              <w:t>No verifier vs deterministic+semantic support gate</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retrieval policy and trigger thresholds, calibration dataset and approval,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p>
      <w:pPr>
        <w:pStyle w:val="Heading1"/>
      </w:pPr>
      <w:r>
        <w:rPr>
          <w:color w:val="000000"/>
        </w:rPr>
        <w:t>Recorded implementation status</w:t>
      </w:r>
    </w:p>
    <w:p>
      <w:r>
        <w:t>Recorded implementation: hosted BGE M3 candidate index index_a3282c4d98cf54595e4ba168 has 532 children and 277 section parents; authenticated Cloud Run Qdrant restores immutable private vectors on cold start. The historical backend smoke passed 11/11. Isolated A/B/C experiments and verified delivery hooks are measured; the A/B production service and browser/UI delivery boundary require integration and separate validation.</w:t>
      </w:r>
    </w:p>
    <w:p>
      <w:r>
        <w:t>The exact 161 source-content/initial-response scopes have coordinator approval under owner delegation in release_manifest_v3.json, checksum b8f8c7b5a9e1a299f0a90eecbf10127779b62b35fc105f0cd587de433e235298. The 17-test approval consumer validates 187 bound files. Remaining limitations include full adaptive transitions, general vision, changed runtime objects and source-specific gaps outside those scopes. End-user PDF, excerpt and figure delivery remain prohibited by source_manifest.json; approved paraphrases and citation metadata are the UI content boundary.</w:t>
      </w:r>
    </w:p>
    <w:p>
      <w:r>
        <w:t>Authorized repository/project: Maneshwar-Kumar/motomedic-ai and motomedic-ai-20261009; US$10 project scope. Non-recurring INR800 budget starts 9 October 2026; alerts INR400/640/800 and simulation-checked live billing stop INR640 with retries. Reporting delays prevent an exact instantaneous cap. Do not re-enable stopped billing without owner authorization. Public UI daily/rate/upload limits remain pending.</w:t>
      </w:r>
    </w:p>
    <w:p>
      <w:r>
        <w:t>The deployed retrieval record retains the TRD v0.3 candidate assembly boundary. Repository v0.4 retrieval scheduling and isolated answer experiments do not establish a deployed rider service. This v0.5 document selects A/B and A streaming prospectively, with follow-up audit and hosting work in section 14. Progress references remain cloud/deployment_status.json, cloud/live_smoke.json, the exact approval package and the architecture v4 reports.</w:t>
      </w:r>
    </w:p>
    <w:p>
      <w:r>
        <w:br w:type="page"/>
      </w:r>
    </w:p>
    <w:p>
      <w:pPr>
        <w:pStyle w:val="Heading1"/>
      </w:pPr>
      <w:r>
        <w:t>14 Owner selected answer methods and delivery</w:t>
      </w:r>
    </w:p>
    <w:p>
      <w:r>
        <w:t>Decision recorded 11 October 2026. Retain A and B as the application methodologies. Use verified streaming delivery for A. Exclude C from the current UI path because it failed the clock case in both passes and took excessive paced time in the successful cases. This is the owner decision based on a bounded engineering comparison, not a general model quality or p95 finding.</w:t>
      </w:r>
    </w:p>
    <w:tbl>
      <w:tblPr>
        <w:tblStyle w:val="TableGrid"/>
        <w:tblW w:type="auto" w:w="0"/>
        <w:tblLayout w:type="fixed"/>
        <w:tblLook w:firstColumn="1" w:firstRow="1" w:lastColumn="0" w:lastRow="0" w:noHBand="0" w:noVBand="1" w:val="04A0"/>
      </w:tblPr>
      <w:tblGrid>
        <w:gridCol w:w="1656"/>
        <w:gridCol w:w="3384"/>
        <w:gridCol w:w="432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w:t>
            </w:r>
          </w:p>
        </w:tc>
        <w:tc>
          <w:tcPr>
            <w:tcW w:type="dxa" w:w="3384"/>
            <w:tcBorders>
              <w:top w:val="single" w:sz="4" w:color="D9D9D9"/>
              <w:left w:val="single" w:sz="4" w:color="D9D9D9"/>
              <w:bottom w:val="single" w:sz="4" w:color="D9D9D9"/>
              <w:right w:val="single" w:sz="4" w:color="D9D9D9"/>
            </w:tcBorders>
            <w:shd w:fill="DCE6F1"/>
          </w:tcPr>
          <w:p>
            <w:pPr>
              <w:spacing w:after="100" w:before="60"/>
            </w:pPr>
            <w:r>
              <w:rPr>
                <w:b/>
                <w:color w:val="000000"/>
                <w:sz w:val="18"/>
              </w:rPr>
              <w:t>Selected behavior</w:t>
            </w:r>
          </w:p>
        </w:tc>
        <w:tc>
          <w:tcPr>
            <w:tcW w:type="dxa" w:w="4320"/>
            <w:tcBorders>
              <w:top w:val="single" w:sz="4" w:color="D9D9D9"/>
              <w:left w:val="single" w:sz="4" w:color="D9D9D9"/>
              <w:bottom w:val="single" w:sz="4" w:color="D9D9D9"/>
              <w:right w:val="single" w:sz="4" w:color="D9D9D9"/>
            </w:tcBorders>
            <w:shd w:fill="DCE6F1"/>
          </w:tcPr>
          <w:p>
            <w:pPr>
              <w:spacing w:after="100" w:before="60"/>
            </w:pPr>
            <w:r>
              <w:rPr>
                <w:b/>
                <w:color w:val="000000"/>
                <w:sz w:val="18"/>
              </w:rPr>
              <w:t>Release requirement</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among exact reviewed wording; deliver by streaming</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Validate exact indices, scope, dependencies and session; emit the complete approved unit after durable save</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3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 concise source-grounded composition with a separate verifier</w:t>
            </w:r>
          </w:p>
        </w:tc>
        <w:tc>
          <w:tcPr>
            <w:tcW w:type="dxa" w:w="432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Withhold the whole draft until semantic verification, deterministic gates and durable save pass</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independent blocks</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Retain historical experiment only; do not wire into the current UI</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 release route selected; no silent fallback from A/B to C</w:t>
            </w:r>
          </w:p>
        </w:tc>
      </w:tr>
    </w:tbl>
    <w:p/>
    <w:p>
      <w:r>
        <w:t>Streaming for A means HTTP/SSE delivery of a complete verified answer unit. Do not expose raw selection JSON, model token fragments or partial cautions as repair guidance. Preserve terminal complete/error events and session ownership. The UI distinguishes provider TTFT from first safe output; a progress indicator is not TTFO. B may use transport events after its whole-answer gate, but the owner has specifically selected A streaming.</w:t>
      </w:r>
    </w:p>
    <w:p>
      <w:pPr>
        <w:pStyle w:val="Heading1"/>
      </w:pPr>
      <w:r>
        <w:t>14 1 Evidence and latency contract</w:t>
      </w:r>
    </w:p>
    <w:p>
      <w:r>
        <w:t>Hosted run 38122505406 at commit e910c86d2fb8a0a2f955bbea4fa4cbedbe64d82d used gemma-4-26b-a4b-it with minimal thinking on GEN003 mirrors, EXP003 signal cancellation and GEN026 clock settings. Nine initial turns and nine immediate repeats produced 8/9 SUPPORTED outcomes in each pass. All six A/B initial cases passed. C clock delivered no output in either pass. The run made 27 attempts with zero retries: 26 known HTTP200 results and one unknown status.</w:t>
      </w:r>
    </w:p>
    <w:p>
      <w:r>
        <w:t>Report retrieval wall time, provider TTFT, request-relative TTFT, actual first verified output and full completion separately. Keep fresh-worker startup, benchmark cooldown and idle provider-admission waits distinct. Removing idle waits arithmetically is not an observed unpaced run. Actual receipt was measured on hosted localhost HTTP/SSE; public network and browser rendering remain unmeasured. Three cases cannot establish p95 or architecture-wide superiority.</w:t>
      </w:r>
    </w:p>
    <w:p>
      <w:r>
        <w:t>The candidate cache remains bounded and ephemeral. Similarity only locates a candidate; exact source, variant, selected step, typed state/history and runtime approval bindings authorize reuse. Only reviewed wording is stored, fresh retrieval and gates remain mandatory and B retains verification on hits. Three A repeats hit; no B/C repeats hit. Concurrent dense/BM25 retrieval remains implemented, but three paired controls demonstrated no latency gain.</w:t>
      </w:r>
    </w:p>
    <w:p>
      <w:pPr>
        <w:pStyle w:val="Heading1"/>
      </w:pPr>
      <w:r>
        <w:t>14 2 Work before UI integration</w:t>
      </w:r>
    </w:p>
    <w:p>
      <w:r>
        <w:t>First, run the removed semantic verifier post facto on the exact A outputs from all three cases, with repeat provenance retained. Bind the audited wording, claims, warnings and citations to the approved source and existing run. Record valid acceptance, valid rejection, invalid schema and provider/system failure separately; do not regenerate the answers or infer approval from a schema failure. This task is a new audit, not permission to alter old results or widen A beyond approved wording.</w:t>
      </w:r>
    </w:p>
    <w:p>
      <w:r>
        <w:t>Second, investigate current Cloud Run minimum-instance pricing for the actual region, CPU, memory and billing mode, including idle cost, free tier and existing budget impact. Check current startup CPU boost settings and pricing and propose a controlled benchmark. Fresh-worker readiness was 56.64 seconds excluding controls, including 38.25 seconds for dense model/index load; this is not measured Cloud Run request cold latency. Do not change deployment, minimum instances, boost or billing as part of research.</w:t>
      </w:r>
    </w:p>
    <w:p>
      <w:r>
        <w:t>The companion 03_TRD_Architecture_Decision_Note.docx records selected and rejected answer methods, measured retrieval/cache/streaming controls and broader design alternatives, distinguishing completed comparisons from options merely considered. Preserve the v4 raw results and independent audit as evidence. The concept, PRD and evaluation documents dated 9 October retain historical v0.4 language; this v0.5 amendment takes precedence for A/B method-specific validation and A streaming.</w:t>
      </w:r>
    </w:p>
    <w:sectPr w:rsidR="00FC693F" w:rsidRPr="0006063C" w:rsidSect="00034616">
      <w:headerReference w:type="default" r:id="rId9"/>
      <w:footerReference w:type="default" r:id="rId10"/>
      <w:footerReference w:type="first" r:id="rId12"/>
      <w:footerReference w:type="even" r:id="rId13"/>
      <w:headerReference w:type="first" r:id="rId14"/>
      <w:headerReference w:type="even" r:id="rId15"/>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v0.4  |  SOURCE REVIEW PENDING  |  09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version>0.3</cp:version>
</cp:coreProperties>
</file>