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product requirements</w:t>
      </w:r>
    </w:p>
    <w:p>
      <w:pPr>
        <w:pStyle w:val="Subtitle"/>
      </w:pPr>
      <w:r>
        <w:rPr>
          <w:color w:val="000000"/>
        </w:rPr>
        <w:t>PRD version 04 user journeys and acceptance criteria aligned with TRD version 06</w:t>
      </w:r>
    </w:p>
    <w:p>
      <w:r>
        <w:t>Reconciled 11 October 2026 current design implemented status requires fresh evidence</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Product summary</w:t>
      </w:r>
    </w:p>
    <w:p>
      <w:r>
        <w:t>MotoMedic answers natural rider questions about the selected motorcycle using the supplied Royal Enfield New Himalayan 450 owner manual. Success is a concise supported complete or explicitly partial answer, a needed focused clarification, a verified safety stop, or an honest source limitation with OEM support. The assistant is an advisory aid; it does not verify repairs.</w:t>
      </w:r>
    </w:p>
    <w:p>
      <w:pPr>
        <w:pStyle w:val="Heading1"/>
      </w:pPr>
      <w:r>
        <w:rPr>
          <w:color w:val="000000"/>
        </w:rPr>
        <w:t>2  Problem, users and jobs to be done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r>
              <w:rPr>
                <w:b/>
                <w:color w:val="FFFFFF"/>
                <w:sz w:val="16"/>
              </w:rPr>
              <w:t>Persona</w:t>
            </w:r>
          </w:p>
        </w:tc>
        <w:tc>
          <w:tcPr>
            <w:tcW w:type="dxa" w:w="3341"/>
            <w:shd w:fill="102238"/>
          </w:tcPr>
          <w:p>
            <w:r>
              <w:rPr>
                <w:b/>
                <w:color w:val="FFFFFF"/>
                <w:sz w:val="16"/>
              </w:rPr>
              <w:t>Job</w:t>
            </w:r>
          </w:p>
        </w:tc>
        <w:tc>
          <w:tcPr>
            <w:tcW w:type="dxa" w:w="3341"/>
            <w:shd w:fill="102238"/>
          </w:tcPr>
          <w:p>
            <w:r>
              <w:rPr>
                <w:b/>
                <w:color w:val="FFFFFF"/>
                <w:sz w:val="16"/>
              </w:rPr>
              <w:t>Critical need</w:t>
            </w:r>
          </w:p>
        </w:tc>
      </w:tr>
      <w:tr>
        <w:trPr>
          <w:cantSplit/>
        </w:trPr>
        <w:tc>
          <w:tcPr>
            <w:tcW w:type="dxa" w:w="3341"/>
            <w:vAlign w:val="center"/>
          </w:tcPr>
          <w:p>
            <w:pPr>
              <w:spacing w:after="20"/>
            </w:pPr>
            <w:r>
              <w:rPr>
                <w:sz w:val="16"/>
              </w:rPr>
              <w:t>Motorcycle owner / rider</w:t>
            </w:r>
          </w:p>
        </w:tc>
        <w:tc>
          <w:tcPr>
            <w:tcW w:type="dxa" w:w="3341"/>
            <w:vAlign w:val="center"/>
          </w:tcPr>
          <w:p>
            <w:pPr>
              <w:spacing w:after="20"/>
            </w:pPr>
            <w:r>
              <w:rPr>
                <w:sz w:val="16"/>
              </w:rPr>
              <w:t>Understand a warning, symptom or basic maintenance issue</w:t>
            </w:r>
          </w:p>
        </w:tc>
        <w:tc>
          <w:tcPr>
            <w:tcW w:type="dxa" w:w="3341"/>
            <w:vAlign w:val="center"/>
          </w:tcPr>
          <w:p>
            <w:pPr>
              <w:spacing w:after="20"/>
            </w:pPr>
            <w:r>
              <w:rPr>
                <w:sz w:val="16"/>
              </w:rPr>
              <w:t>Simple language; no unsupported repairs</w:t>
            </w:r>
          </w:p>
        </w:tc>
      </w:tr>
      <w:tr>
        <w:trPr>
          <w:cantSplit/>
        </w:trPr>
        <w:tc>
          <w:tcPr>
            <w:tcW w:type="dxa" w:w="3341"/>
            <w:vAlign w:val="center"/>
            <w:shd w:fill="F3F6FA"/>
          </w:tcPr>
          <w:p>
            <w:pPr>
              <w:spacing w:after="20"/>
            </w:pPr>
            <w:r>
              <w:rPr>
                <w:sz w:val="16"/>
              </w:rPr>
              <w:t>Confident hobbyist</w:t>
            </w:r>
          </w:p>
        </w:tc>
        <w:tc>
          <w:tcPr>
            <w:tcW w:type="dxa" w:w="3341"/>
            <w:vAlign w:val="center"/>
            <w:shd w:fill="F3F6FA"/>
          </w:tcPr>
          <w:p>
            <w:pPr>
              <w:spacing w:after="20"/>
            </w:pPr>
            <w:r>
              <w:rPr>
                <w:sz w:val="16"/>
              </w:rPr>
              <w:t>Locate a specific inspection procedure or specification</w:t>
            </w:r>
          </w:p>
        </w:tc>
        <w:tc>
          <w:tcPr>
            <w:tcW w:type="dxa" w:w="3341"/>
            <w:vAlign w:val="center"/>
            <w:shd w:fill="F3F6FA"/>
          </w:tcPr>
          <w:p>
            <w:pPr>
              <w:spacing w:after="20"/>
            </w:pPr>
            <w:r>
              <w:rPr>
                <w:sz w:val="16"/>
              </w:rPr>
              <w:t>Exact variant, units, prerequisites and citations</w:t>
            </w:r>
          </w:p>
        </w:tc>
      </w:tr>
      <w:tr>
        <w:trPr>
          <w:cantSplit/>
        </w:trPr>
        <w:tc>
          <w:tcPr>
            <w:tcW w:type="dxa" w:w="3341"/>
            <w:vAlign w:val="center"/>
          </w:tcPr>
          <w:p>
            <w:pPr>
              <w:spacing w:after="20"/>
            </w:pPr>
            <w:r>
              <w:rPr>
                <w:sz w:val="16"/>
              </w:rPr>
              <w:t>Reviewer / interviewer</w:t>
            </w:r>
          </w:p>
        </w:tc>
        <w:tc>
          <w:tcPr>
            <w:tcW w:type="dxa" w:w="3341"/>
            <w:vAlign w:val="center"/>
          </w:tcPr>
          <w:p>
            <w:pPr>
              <w:spacing w:after="20"/>
            </w:pPr>
            <w:r>
              <w:rPr>
                <w:sz w:val="16"/>
              </w:rPr>
              <w:t>Try known, ambiguous, adversarial and photo scenarios</w:t>
            </w:r>
          </w:p>
        </w:tc>
        <w:tc>
          <w:tcPr>
            <w:tcW w:type="dxa" w:w="3341"/>
            <w:vAlign w:val="center"/>
          </w:tcPr>
          <w:p>
            <w:pPr>
              <w:spacing w:after="20"/>
            </w:pPr>
            <w:r>
              <w:rPr>
                <w:sz w:val="16"/>
              </w:rPr>
              <w:t>A shareable URL, reproducible answers, transparent failures</w:t>
            </w:r>
          </w:p>
        </w:tc>
      </w:tr>
      <w:tr>
        <w:trPr>
          <w:cantSplit/>
        </w:trPr>
        <w:tc>
          <w:tcPr>
            <w:tcW w:type="dxa" w:w="3341"/>
            <w:vAlign w:val="center"/>
            <w:shd w:fill="F3F6FA"/>
          </w:tcPr>
          <w:p>
            <w:pPr>
              <w:spacing w:after="20"/>
            </w:pPr>
            <w:r>
              <w:rPr>
                <w:sz w:val="16"/>
              </w:rPr>
              <w:t>Maintainer / developer</w:t>
            </w:r>
          </w:p>
        </w:tc>
        <w:tc>
          <w:tcPr>
            <w:tcW w:type="dxa" w:w="3341"/>
            <w:vAlign w:val="center"/>
            <w:shd w:fill="F3F6FA"/>
          </w:tcPr>
          <w:p>
            <w:pPr>
              <w:spacing w:after="20"/>
            </w:pPr>
            <w:r>
              <w:rPr>
                <w:sz w:val="16"/>
              </w:rPr>
              <w:t>Audit a conversation and compare pipeline versions</w:t>
            </w:r>
          </w:p>
        </w:tc>
        <w:tc>
          <w:tcPr>
            <w:tcW w:type="dxa" w:w="3341"/>
            <w:vAlign w:val="center"/>
            <w:shd w:fill="F3F6FA"/>
          </w:tcPr>
          <w:p>
            <w:pPr>
              <w:spacing w:after="20"/>
            </w:pPr>
            <w:r>
              <w:rPr>
                <w:sz w:val="16"/>
              </w:rPr>
              <w:t>Traces, regression suite, source and prompt versions</w:t>
            </w:r>
          </w:p>
        </w:tc>
      </w:tr>
    </w:tbl>
    <w:p>
      <w:pPr>
        <w:spacing w:after="0"/>
      </w:pPr>
    </w:p>
    <w:p>
      <w:pPr>
        <w:pStyle w:val="Heading1"/>
      </w:pPr>
      <w:r>
        <w:rPr>
          <w:color w:val="000000"/>
        </w:rPr>
        <w:t>3  Goals and non-goals</w:t>
      </w:r>
    </w:p>
    <w:p>
      <w:pPr>
        <w:pStyle w:val="ListBullet"/>
      </w:pPr>
      <w:r>
        <w:t>G1: Deliver correct manual-supported outcomes with zero manually reviewed unsupported technical steps in the release suite; this is a benchmark gate, not a field guarantee.</w:t>
      </w:r>
    </w:p>
    <w:p>
      <w:pPr>
        <w:pStyle w:val="ListBullet"/>
      </w:pPr>
      <w:r>
        <w:t>G2: Support iterative diagnosis without repeating ruled-out steps or fabricating alternative repair paths</w:t>
      </w:r>
    </w:p>
    <w:p>
      <w:pPr>
        <w:pStyle w:val="ListBullet"/>
      </w:pPr>
      <w:r>
        <w:t>G3: Accept text and bike photos; support optional voice input that resolves to the same grounding flow</w:t>
      </w:r>
    </w:p>
    <w:p>
      <w:pPr>
        <w:pStyle w:val="ListBullet"/>
      </w:pPr>
      <w:r>
        <w:t>G4: Be accessible by URL and independently testable without a local installation</w:t>
      </w:r>
    </w:p>
    <w:p>
      <w:pPr>
        <w:pStyle w:val="ListBullet"/>
      </w:pPr>
      <w:r>
        <w:t>NG1: Diagnose unobservable internal faults from a photograph or guarantee a completed repair</w:t>
      </w:r>
    </w:p>
    <w:p>
      <w:pPr>
        <w:pStyle w:val="ListBullet"/>
      </w:pPr>
      <w:r>
        <w:t>NG2: Blend general web or model knowledge into technical recommendations</w:t>
      </w:r>
    </w:p>
    <w:p>
      <w:pPr>
        <w:pStyle w:val="ListBullet"/>
      </w:pPr>
      <w:r>
        <w:t>NG3: Offer user-configurable aftermarket modifications, undocumented bypasses or unverified safety-critical actions</w:t>
      </w:r>
    </w:p>
    <w:p>
      <w:pPr>
        <w:pStyle w:val="Heading1"/>
      </w:pPr>
      <w:r>
        <w:rPr>
          <w:color w:val="000000"/>
        </w:rPr>
        <w:t>4  Functional requirements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r>
              <w:rPr>
                <w:b/>
                <w:color w:val="FFFFFF"/>
                <w:sz w:val="16"/>
              </w:rPr>
              <w:t>ID / level</w:t>
            </w:r>
          </w:p>
        </w:tc>
        <w:tc>
          <w:tcPr>
            <w:tcW w:type="dxa" w:w="3341"/>
            <w:shd w:fill="102238"/>
          </w:tcPr>
          <w:p>
            <w:r>
              <w:rPr>
                <w:b/>
                <w:color w:val="FFFFFF"/>
                <w:sz w:val="16"/>
              </w:rPr>
              <w:t>Requirement</w:t>
            </w:r>
          </w:p>
        </w:tc>
        <w:tc>
          <w:tcPr>
            <w:tcW w:type="dxa" w:w="3341"/>
            <w:shd w:fill="102238"/>
          </w:tcPr>
          <w:p>
            <w:r>
              <w:rPr>
                <w:b/>
                <w:color w:val="FFFFFF"/>
                <w:sz w:val="16"/>
              </w:rPr>
              <w:t>Acceptance criterion</w:t>
            </w:r>
          </w:p>
        </w:tc>
      </w:tr>
      <w:tr>
        <w:trPr>
          <w:cantSplit/>
        </w:trPr>
        <w:tc>
          <w:tcPr>
            <w:tcW w:type="dxa" w:w="3341"/>
            <w:vAlign w:val="center"/>
          </w:tcPr>
          <w:p>
            <w:pPr>
              <w:spacing w:after="20"/>
            </w:pPr>
            <w:r>
              <w:rPr>
                <w:sz w:val="16"/>
              </w:rPr>
              <w:t>FR-01 / P0</w:t>
            </w:r>
          </w:p>
        </w:tc>
        <w:tc>
          <w:tcPr>
            <w:tcW w:type="dxa" w:w="3341"/>
            <w:vAlign w:val="center"/>
          </w:tcPr>
          <w:p>
            <w:pPr>
              <w:spacing w:after="20"/>
            </w:pPr>
            <w:r>
              <w:rPr>
                <w:sz w:val="16"/>
              </w:rPr>
              <w:t>Manual applicability and version lock</w:t>
            </w:r>
          </w:p>
        </w:tc>
        <w:tc>
          <w:tcPr>
            <w:tcW w:type="dxa" w:w="3341"/>
            <w:vAlign w:val="center"/>
          </w:tcPr>
          <w:p>
            <w:pPr>
              <w:spacing w:after="20"/>
            </w:pPr>
            <w:r>
              <w:rPr>
                <w:sz w:val="16"/>
              </w:rPr>
              <w:t>Confirmed Himalayan BS6 selection and exact immutable manual metadata are visible; follow owner applicability policy without inventing a model-year requirement</w:t>
            </w:r>
          </w:p>
        </w:tc>
      </w:tr>
      <w:tr>
        <w:trPr>
          <w:cantSplit/>
        </w:trPr>
        <w:tc>
          <w:tcPr>
            <w:tcW w:type="dxa" w:w="3341"/>
            <w:vAlign w:val="center"/>
            <w:shd w:fill="F3F6FA"/>
          </w:tcPr>
          <w:p>
            <w:pPr>
              <w:spacing w:after="20"/>
            </w:pPr>
            <w:r>
              <w:rPr>
                <w:sz w:val="16"/>
              </w:rPr>
              <w:t>FR-02 / P0</w:t>
            </w:r>
          </w:p>
        </w:tc>
        <w:tc>
          <w:tcPr>
            <w:tcW w:type="dxa" w:w="3341"/>
            <w:vAlign w:val="center"/>
            <w:shd w:fill="F3F6FA"/>
          </w:tcPr>
          <w:p>
            <w:pPr>
              <w:spacing w:after="20"/>
            </w:pPr>
            <w:r>
              <w:rPr>
                <w:sz w:val="16"/>
              </w:rPr>
              <w:t>Text symptom input</w:t>
            </w:r>
          </w:p>
        </w:tc>
        <w:tc>
          <w:tcPr>
            <w:tcW w:type="dxa" w:w="3341"/>
            <w:vAlign w:val="center"/>
            <w:shd w:fill="F3F6FA"/>
          </w:tcPr>
          <w:p>
            <w:pPr>
              <w:spacing w:after="20"/>
            </w:pPr>
            <w:r>
              <w:rPr>
                <w:sz w:val="16"/>
              </w:rPr>
              <w:t>Free-text query returns supported answer, clarification or documented abstention</w:t>
            </w:r>
          </w:p>
        </w:tc>
      </w:tr>
      <w:tr>
        <w:trPr>
          <w:cantSplit/>
        </w:trPr>
        <w:tc>
          <w:tcPr>
            <w:tcW w:type="dxa" w:w="3341"/>
            <w:vAlign w:val="center"/>
          </w:tcPr>
          <w:p>
            <w:pPr>
              <w:spacing w:after="20"/>
            </w:pPr>
            <w:r>
              <w:rPr>
                <w:sz w:val="16"/>
              </w:rPr>
              <w:t>FR-03 / P0</w:t>
            </w:r>
          </w:p>
        </w:tc>
        <w:tc>
          <w:tcPr>
            <w:tcW w:type="dxa" w:w="3341"/>
            <w:vAlign w:val="center"/>
          </w:tcPr>
          <w:p>
            <w:pPr>
              <w:spacing w:after="20"/>
            </w:pPr>
            <w:r>
              <w:rPr>
                <w:sz w:val="16"/>
              </w:rPr>
              <w:t>Photo symptom input</w:t>
            </w:r>
          </w:p>
        </w:tc>
        <w:tc>
          <w:tcPr>
            <w:tcW w:type="dxa" w:w="3341"/>
            <w:vAlign w:val="center"/>
          </w:tcPr>
          <w:p>
            <w:pPr>
              <w:spacing w:after="20"/>
            </w:pPr>
            <w:r>
              <w:rPr>
                <w:sz w:val="16"/>
              </w:rPr>
              <w:t>Vision extracts visible observations and uncertainty; technical advice remains grounded in manual</w:t>
            </w:r>
          </w:p>
        </w:tc>
      </w:tr>
      <w:tr>
        <w:trPr>
          <w:cantSplit/>
        </w:trPr>
        <w:tc>
          <w:tcPr>
            <w:tcW w:type="dxa" w:w="3341"/>
            <w:vAlign w:val="center"/>
            <w:shd w:fill="F3F6FA"/>
          </w:tcPr>
          <w:p>
            <w:pPr>
              <w:spacing w:after="20"/>
            </w:pPr>
            <w:r>
              <w:rPr>
                <w:sz w:val="16"/>
              </w:rPr>
              <w:t>FR-04 / P0</w:t>
            </w:r>
          </w:p>
        </w:tc>
        <w:tc>
          <w:tcPr>
            <w:tcW w:type="dxa" w:w="3341"/>
            <w:vAlign w:val="center"/>
            <w:shd w:fill="F3F6FA"/>
          </w:tcPr>
          <w:p>
            <w:pPr>
              <w:spacing w:after="20"/>
            </w:pPr>
            <w:r>
              <w:rPr>
                <w:sz w:val="16"/>
              </w:rPr>
              <w:t>Evidence-linked answers</w:t>
            </w:r>
          </w:p>
        </w:tc>
        <w:tc>
          <w:tcPr>
            <w:tcW w:type="dxa" w:w="3341"/>
            <w:vAlign w:val="center"/>
            <w:shd w:fill="F3F6FA"/>
          </w:tcPr>
          <w:p>
            <w:pPr>
              <w:spacing w:after="20"/>
            </w:pPr>
            <w:r>
              <w:rPr>
                <w:sz w:val="16"/>
              </w:rPr>
              <w:t>Each technical instruction has a validated source page and applicable warning/prerequisite</w:t>
            </w:r>
          </w:p>
        </w:tc>
      </w:tr>
      <w:tr>
        <w:trPr>
          <w:cantSplit/>
        </w:trPr>
        <w:tc>
          <w:tcPr>
            <w:tcW w:type="dxa" w:w="3341"/>
            <w:vAlign w:val="center"/>
          </w:tcPr>
          <w:p>
            <w:pPr>
              <w:spacing w:after="20"/>
            </w:pPr>
            <w:r>
              <w:rPr>
                <w:sz w:val="16"/>
              </w:rPr>
              <w:t>FR-05 / P0</w:t>
            </w:r>
          </w:p>
        </w:tc>
        <w:tc>
          <w:tcPr>
            <w:tcW w:type="dxa" w:w="3341"/>
            <w:vAlign w:val="center"/>
          </w:tcPr>
          <w:p>
            <w:pPr>
              <w:spacing w:after="20"/>
            </w:pPr>
            <w:r>
              <w:rPr>
                <w:sz w:val="16"/>
              </w:rPr>
              <w:t>Fail-closed abstention</w:t>
            </w:r>
          </w:p>
        </w:tc>
        <w:tc>
          <w:tcPr>
            <w:tcW w:type="dxa" w:w="3341"/>
            <w:vAlign w:val="center"/>
          </w:tcPr>
          <w:p>
            <w:pPr>
              <w:spacing w:after="20"/>
            </w:pPr>
            <w:r>
              <w:rPr>
                <w:sz w:val="16"/>
              </w:rPr>
              <w:t>No supported evidence =&gt; no repair step; point to verified OEM support route</w:t>
            </w:r>
          </w:p>
        </w:tc>
      </w:tr>
      <w:tr>
        <w:trPr>
          <w:cantSplit/>
        </w:trPr>
        <w:tc>
          <w:tcPr>
            <w:tcW w:type="dxa" w:w="3341"/>
            <w:vAlign w:val="center"/>
            <w:shd w:fill="F3F6FA"/>
          </w:tcPr>
          <w:p>
            <w:pPr>
              <w:spacing w:after="20"/>
            </w:pPr>
            <w:r>
              <w:rPr>
                <w:sz w:val="16"/>
              </w:rPr>
              <w:t>FR-06 / P0</w:t>
            </w:r>
          </w:p>
        </w:tc>
        <w:tc>
          <w:tcPr>
            <w:tcW w:type="dxa" w:w="3341"/>
            <w:vAlign w:val="center"/>
            <w:shd w:fill="F3F6FA"/>
          </w:tcPr>
          <w:p>
            <w:pPr>
              <w:spacing w:after="20"/>
            </w:pPr>
            <w:r>
              <w:rPr>
                <w:sz w:val="16"/>
              </w:rPr>
              <w:t>One-question clarification</w:t>
            </w:r>
          </w:p>
        </w:tc>
        <w:tc>
          <w:tcPr>
            <w:tcW w:type="dxa" w:w="3341"/>
            <w:vAlign w:val="center"/>
            <w:shd w:fill="F3F6FA"/>
          </w:tcPr>
          <w:p>
            <w:pPr>
              <w:spacing w:after="20"/>
            </w:pPr>
            <w:r>
              <w:rPr>
                <w:sz w:val="16"/>
              </w:rPr>
              <w:t>Ask only the focused rider-resolvable clarification needed to answer the actual question; no branch selection required</w:t>
            </w:r>
          </w:p>
        </w:tc>
      </w:tr>
      <w:tr>
        <w:trPr>
          <w:cantSplit/>
        </w:trPr>
        <w:tc>
          <w:tcPr>
            <w:tcW w:type="dxa" w:w="3341"/>
            <w:vAlign w:val="center"/>
          </w:tcPr>
          <w:p>
            <w:pPr>
              <w:spacing w:after="20"/>
            </w:pPr>
            <w:r>
              <w:rPr>
                <w:sz w:val="16"/>
              </w:rPr>
              <w:t>FR-07 / P0</w:t>
            </w:r>
          </w:p>
        </w:tc>
        <w:tc>
          <w:tcPr>
            <w:tcW w:type="dxa" w:w="3341"/>
            <w:vAlign w:val="center"/>
          </w:tcPr>
          <w:p>
            <w:pPr>
              <w:spacing w:after="20"/>
            </w:pPr>
            <w:r>
              <w:rPr>
                <w:sz w:val="16"/>
              </w:rPr>
              <w:t>Relevant history and optional guided troubleshooting</w:t>
            </w:r>
          </w:p>
        </w:tc>
        <w:tc>
          <w:tcPr>
            <w:tcW w:type="dxa" w:w="3341"/>
            <w:vAlign w:val="center"/>
          </w:tcPr>
          <w:p>
            <w:pPr>
              <w:spacing w:after="20"/>
            </w:pPr>
            <w:r>
              <w:rPr>
                <w:sz w:val="16"/>
              </w:rPr>
              <w:t>Preserve typed unresolved outcomes and corrections; ordinary Q&amp;A has no required branch. See current architecture and typed-history policy.</w:t>
            </w:r>
          </w:p>
        </w:tc>
      </w:tr>
      <w:tr>
        <w:trPr>
          <w:cantSplit/>
        </w:trPr>
        <w:tc>
          <w:tcPr>
            <w:tcW w:type="dxa" w:w="3341"/>
            <w:vAlign w:val="center"/>
            <w:shd w:fill="F3F6FA"/>
          </w:tcPr>
          <w:p>
            <w:pPr>
              <w:spacing w:after="20"/>
            </w:pPr>
            <w:r>
              <w:rPr>
                <w:sz w:val="16"/>
              </w:rPr>
              <w:t>FR-08 / P0</w:t>
            </w:r>
          </w:p>
        </w:tc>
        <w:tc>
          <w:tcPr>
            <w:tcW w:type="dxa" w:w="3341"/>
            <w:vAlign w:val="center"/>
            <w:shd w:fill="F3F6FA"/>
          </w:tcPr>
          <w:p>
            <w:pPr>
              <w:spacing w:after="20"/>
            </w:pPr>
            <w:r>
              <w:rPr>
                <w:sz w:val="16"/>
              </w:rPr>
              <w:t>Session continuity</w:t>
            </w:r>
          </w:p>
        </w:tc>
        <w:tc>
          <w:tcPr>
            <w:tcW w:type="dxa" w:w="3341"/>
            <w:vAlign w:val="center"/>
            <w:shd w:fill="F3F6FA"/>
          </w:tcPr>
          <w:p>
            <w:pPr>
              <w:spacing w:after="20"/>
            </w:pPr>
            <w:r>
              <w:rPr>
                <w:sz w:val="16"/>
              </w:rPr>
              <w:t>Follow-up “it didn’t fix it” preserves prior steps in current browser session</w:t>
            </w:r>
          </w:p>
        </w:tc>
      </w:tr>
      <w:tr>
        <w:trPr>
          <w:cantSplit/>
        </w:trPr>
        <w:tc>
          <w:tcPr>
            <w:tcW w:type="dxa" w:w="3341"/>
            <w:vAlign w:val="center"/>
          </w:tcPr>
          <w:p>
            <w:r>
              <w:rPr>
                <w:sz w:val="16"/>
              </w:rPr>
              <w:t>FR-09 / P0</w:t>
            </w:r>
          </w:p>
        </w:tc>
        <w:tc>
          <w:tcPr>
            <w:tcW w:type="dxa" w:w="3341"/>
            <w:vAlign w:val="center"/>
          </w:tcPr>
          <w:p>
            <w:r>
              <w:rPr>
                <w:sz w:val="16"/>
              </w:rPr>
              <w:t>Safety and prerequisite policy</w:t>
            </w:r>
          </w:p>
        </w:tc>
        <w:tc>
          <w:tcPr>
            <w:tcW w:type="dxa" w:w="3341"/>
            <w:vAlign w:val="center"/>
          </w:tcPr>
          <w:p>
            <w:r>
              <w:rPr>
                <w:sz w:val="16"/>
              </w:rPr>
              <w:t>Known applicable stop retains its verified warning; rider-resolvable facts clarify; source gaps block; operational failures return SYSTEM_ERROR</w:t>
            </w:r>
          </w:p>
        </w:tc>
      </w:tr>
      <w:tr>
        <w:trPr>
          <w:cantSplit/>
        </w:trPr>
        <w:tc>
          <w:tcPr>
            <w:tcW w:type="dxa" w:w="3341"/>
            <w:vAlign w:val="center"/>
            <w:shd w:fill="F3F6FA"/>
          </w:tcPr>
          <w:p>
            <w:pPr>
              <w:spacing w:after="20"/>
            </w:pPr>
            <w:r>
              <w:rPr>
                <w:sz w:val="16"/>
              </w:rPr>
              <w:t>FR-10 / P0</w:t>
            </w:r>
          </w:p>
        </w:tc>
        <w:tc>
          <w:tcPr>
            <w:tcW w:type="dxa" w:w="3341"/>
            <w:vAlign w:val="center"/>
            <w:shd w:fill="F3F6FA"/>
          </w:tcPr>
          <w:p>
            <w:pPr>
              <w:spacing w:after="20"/>
            </w:pPr>
            <w:r>
              <w:rPr>
                <w:sz w:val="16"/>
              </w:rPr>
              <w:t>Manual evidence access</w:t>
            </w:r>
          </w:p>
        </w:tc>
        <w:tc>
          <w:tcPr>
            <w:tcW w:type="dxa" w:w="3341"/>
            <w:vAlign w:val="center"/>
            <w:shd w:fill="F3F6FA"/>
          </w:tcPr>
          <w:p>
            <w:pPr>
              <w:spacing w:after="20"/>
            </w:pPr>
            <w:r>
              <w:rPr>
                <w:sz w:val="16"/>
              </w:rPr>
              <w:t>Show immutable evidence ID and server-derived page metadata; rider PDF, excerpt and figure-crop delivery remains prohibited</w:t>
            </w:r>
          </w:p>
        </w:tc>
      </w:tr>
      <w:tr>
        <w:trPr>
          <w:cantSplit/>
        </w:trPr>
        <w:tc>
          <w:tcPr>
            <w:tcW w:type="dxa" w:w="3341"/>
            <w:vAlign w:val="center"/>
          </w:tcPr>
          <w:p>
            <w:pPr>
              <w:spacing w:after="20"/>
            </w:pPr>
            <w:r>
              <w:rPr>
                <w:sz w:val="16"/>
              </w:rPr>
              <w:t>FR-11 / P0</w:t>
            </w:r>
          </w:p>
        </w:tc>
        <w:tc>
          <w:tcPr>
            <w:tcW w:type="dxa" w:w="3341"/>
            <w:vAlign w:val="center"/>
          </w:tcPr>
          <w:p>
            <w:pPr>
              <w:spacing w:after="20"/>
            </w:pPr>
            <w:r>
              <w:rPr>
                <w:sz w:val="16"/>
              </w:rPr>
              <w:t>Shareable web demo</w:t>
            </w:r>
          </w:p>
        </w:tc>
        <w:tc>
          <w:tcPr>
            <w:tcW w:type="dxa" w:w="3341"/>
            <w:vAlign w:val="center"/>
          </w:tcPr>
          <w:p>
            <w:pPr>
              <w:spacing w:after="20"/>
            </w:pPr>
            <w:r>
              <w:rPr>
                <w:sz w:val="16"/>
              </w:rPr>
              <w:t>Accessible at an externally reachable URL with example scenarios</w:t>
            </w:r>
          </w:p>
        </w:tc>
      </w:tr>
      <w:tr>
        <w:trPr>
          <w:cantSplit/>
        </w:trPr>
        <w:tc>
          <w:tcPr>
            <w:tcW w:type="dxa" w:w="3341"/>
            <w:vAlign w:val="center"/>
            <w:shd w:fill="F3F6FA"/>
          </w:tcPr>
          <w:p>
            <w:pPr>
              <w:spacing w:after="20"/>
            </w:pPr>
            <w:r>
              <w:rPr>
                <w:sz w:val="16"/>
              </w:rPr>
              <w:t>FR-12 / P1</w:t>
            </w:r>
          </w:p>
        </w:tc>
        <w:tc>
          <w:tcPr>
            <w:tcW w:type="dxa" w:w="3341"/>
            <w:vAlign w:val="center"/>
            <w:shd w:fill="F3F6FA"/>
          </w:tcPr>
          <w:p>
            <w:pPr>
              <w:spacing w:after="20"/>
            </w:pPr>
            <w:r>
              <w:rPr>
                <w:sz w:val="16"/>
              </w:rPr>
              <w:t>Optional voice-to-text</w:t>
            </w:r>
          </w:p>
        </w:tc>
        <w:tc>
          <w:tcPr>
            <w:tcW w:type="dxa" w:w="3341"/>
            <w:vAlign w:val="center"/>
            <w:shd w:fill="F3F6FA"/>
          </w:tcPr>
          <w:p>
            <w:pPr>
              <w:spacing w:after="20"/>
            </w:pPr>
            <w:r>
              <w:rPr>
                <w:sz w:val="16"/>
              </w:rPr>
              <w:t>Speech transcript displayed/confirmed before applying standard RAG path</w:t>
            </w:r>
          </w:p>
        </w:tc>
      </w:tr>
      <w:tr>
        <w:trPr>
          <w:cantSplit/>
        </w:trPr>
        <w:tc>
          <w:tcPr>
            <w:tcW w:type="dxa" w:w="3341"/>
            <w:vAlign w:val="center"/>
          </w:tcPr>
          <w:p>
            <w:r>
              <w:rPr>
                <w:sz w:val="16"/>
              </w:rPr>
              <w:t>FR-13 / P0</w:t>
            </w:r>
          </w:p>
        </w:tc>
        <w:tc>
          <w:tcPr>
            <w:tcW w:type="dxa" w:w="3341"/>
            <w:vAlign w:val="center"/>
          </w:tcPr>
          <w:p>
            <w:r>
              <w:rPr>
                <w:sz w:val="16"/>
              </w:rPr>
              <w:t>Correction and backtracking</w:t>
            </w:r>
          </w:p>
        </w:tc>
        <w:tc>
          <w:tcPr>
            <w:tcW w:type="dxa" w:w="3341"/>
            <w:vAlign w:val="center"/>
          </w:tcPr>
          <w:p>
            <w:r>
              <w:rPr>
                <w:sz w:val="16"/>
              </w:rPr>
              <w:t>Corrections supersede immutable observations and re-evaluate branches; repetition requires a documented exception and explanation</w:t>
            </w:r>
          </w:p>
        </w:tc>
      </w:tr>
      <w:tr>
        <w:trPr>
          <w:cantSplit/>
        </w:trPr>
        <w:tc>
          <w:tcPr>
            <w:tcW w:type="dxa" w:w="3341"/>
            <w:vAlign w:val="center"/>
            <w:shd w:fill="F3F6FA"/>
          </w:tcPr>
          <w:p>
            <w:pPr>
              <w:spacing w:after="20"/>
            </w:pPr>
            <w:r>
              <w:rPr>
                <w:sz w:val="16"/>
              </w:rPr>
              <w:t>FR-14 / P1</w:t>
            </w:r>
          </w:p>
        </w:tc>
        <w:tc>
          <w:tcPr>
            <w:tcW w:type="dxa" w:w="3341"/>
            <w:vAlign w:val="center"/>
            <w:shd w:fill="F3F6FA"/>
          </w:tcPr>
          <w:p>
            <w:pPr>
              <w:spacing w:after="20"/>
            </w:pPr>
            <w:r>
              <w:rPr>
                <w:sz w:val="16"/>
              </w:rPr>
              <w:t>Diagnostic summary for OEM</w:t>
            </w:r>
          </w:p>
        </w:tc>
        <w:tc>
          <w:tcPr>
            <w:tcW w:type="dxa" w:w="3341"/>
            <w:vAlign w:val="center"/>
            <w:shd w:fill="F3F6FA"/>
          </w:tcPr>
          <w:p>
            <w:pPr>
              <w:spacing w:after="20"/>
            </w:pPr>
            <w:r>
              <w:rPr>
                <w:sz w:val="16"/>
              </w:rPr>
              <w:t>Copyable summary includes symptoms, documented checks, observations and manual version</w:t>
            </w:r>
          </w:p>
        </w:tc>
      </w:tr>
      <w:tr>
        <w:trPr>
          <w:cantSplit/>
        </w:trPr>
        <w:tc>
          <w:tcPr>
            <w:tcW w:type="dxa" w:w="3341"/>
            <w:vAlign w:val="center"/>
          </w:tcPr>
          <w:p>
            <w:pPr>
              <w:spacing w:after="20"/>
            </w:pPr>
            <w:r>
              <w:rPr>
                <w:sz w:val="16"/>
              </w:rPr>
              <w:t>FR-15 / P1</w:t>
            </w:r>
          </w:p>
        </w:tc>
        <w:tc>
          <w:tcPr>
            <w:tcW w:type="dxa" w:w="3341"/>
            <w:vAlign w:val="center"/>
          </w:tcPr>
          <w:p>
            <w:pPr>
              <w:spacing w:after="20"/>
            </w:pPr>
            <w:r>
              <w:rPr>
                <w:sz w:val="16"/>
              </w:rPr>
              <w:t>Anonymous feedback</w:t>
            </w:r>
          </w:p>
        </w:tc>
        <w:tc>
          <w:tcPr>
            <w:tcW w:type="dxa" w:w="3341"/>
            <w:vAlign w:val="center"/>
          </w:tcPr>
          <w:p>
            <w:pPr>
              <w:spacing w:after="20"/>
            </w:pPr>
            <w:r>
              <w:rPr>
                <w:sz w:val="16"/>
              </w:rPr>
              <w:t>Optional useful/not useful feedback with non-sensitive trace reference</w:t>
            </w:r>
          </w:p>
        </w:tc>
      </w:tr>
      <w:tr>
        <w:trPr>
          <w:cantSplit/>
        </w:trPr>
        <w:tc>
          <w:tcPr>
            <w:tcW w:type="dxa" w:w="3341"/>
          </w:tcPr>
          <w:p>
            <w:r>
              <w:rPr>
                <w:sz w:val="16"/>
              </w:rPr>
              <w:t>FR-16 / P0</w:t>
            </w:r>
          </w:p>
        </w:tc>
        <w:tc>
          <w:tcPr>
            <w:tcW w:type="dxa" w:w="3341"/>
          </w:tcPr>
          <w:p>
            <w:r>
              <w:rPr>
                <w:sz w:val="16"/>
              </w:rPr>
              <w:t>Source-derived conditions and warnings</w:t>
            </w:r>
          </w:p>
        </w:tc>
        <w:tc>
          <w:tcPr>
            <w:tcW w:type="dxa" w:w="3341"/>
          </w:tcPr>
          <w:p>
            <w:r>
              <w:rPr>
                <w:sz w:val="16"/>
              </w:rPr>
              <w:t>No universal StepDefinition gate; handle applicable prerequisites in the answer and verify them against source and history</w:t>
            </w:r>
          </w:p>
        </w:tc>
      </w:tr>
      <w:tr>
        <w:trPr>
          <w:cantSplit/>
        </w:trPr>
        <w:tc>
          <w:tcPr>
            <w:tcW w:type="dxa" w:w="3341"/>
          </w:tcPr>
          <w:p>
            <w:r>
              <w:rPr>
                <w:sz w:val="16"/>
              </w:rPr>
              <w:t>FR-17 / P0</w:t>
            </w:r>
          </w:p>
        </w:tc>
        <w:tc>
          <w:tcPr>
            <w:tcW w:type="dxa" w:w="3341"/>
          </w:tcPr>
          <w:p>
            <w:r>
              <w:rPr>
                <w:sz w:val="16"/>
              </w:rPr>
              <w:t>Complete reviewed evidence</w:t>
            </w:r>
          </w:p>
        </w:tc>
        <w:tc>
          <w:tcPr>
            <w:tcW w:type="dxa" w:w="3341"/>
          </w:tcPr>
          <w:p>
            <w:r>
              <w:rPr>
                <w:sz w:val="16"/>
              </w:rPr>
              <w:t>Reviewed source context, required warnings/prerequisites, units, headers and references; no authored answer-scope gate</w:t>
            </w:r>
          </w:p>
        </w:tc>
      </w:tr>
      <w:tr>
        <w:trPr>
          <w:cantSplit/>
        </w:trPr>
        <w:tc>
          <w:tcPr>
            <w:tcW w:type="dxa" w:w="3341"/>
          </w:tcPr>
          <w:p>
            <w:r>
              <w:rPr>
                <w:sz w:val="16"/>
              </w:rPr>
              <w:t>FR-18 / P0</w:t>
            </w:r>
          </w:p>
        </w:tc>
        <w:tc>
          <w:tcPr>
            <w:tcW w:type="dxa" w:w="3341"/>
          </w:tcPr>
          <w:p>
            <w:r>
              <w:rPr>
                <w:sz w:val="16"/>
              </w:rPr>
              <w:t>Bounded retrieval policy</w:t>
            </w:r>
          </w:p>
        </w:tc>
        <w:tc>
          <w:tcPr>
            <w:tcW w:type="dxa" w:w="3341"/>
          </w:tcPr>
          <w:p>
            <w:r>
              <w:rPr>
                <w:sz w:val="16"/>
              </w:rPr>
              <w:t>One approved dependency recovery and one conditional rerank; no rerank for missing review; mandatory evidence retained</w:t>
            </w:r>
          </w:p>
        </w:tc>
      </w:tr>
      <w:tr>
        <w:trPr>
          <w:cantSplit/>
        </w:trPr>
        <w:tc>
          <w:tcPr>
            <w:tcW w:type="dxa" w:w="3341"/>
          </w:tcPr>
          <w:p>
            <w:r>
              <w:rPr>
                <w:sz w:val="16"/>
              </w:rPr>
              <w:t>FR-19 / P0</w:t>
            </w:r>
          </w:p>
        </w:tc>
        <w:tc>
          <w:tcPr>
            <w:tcW w:type="dxa" w:w="3341"/>
          </w:tcPr>
          <w:p>
            <w:r>
              <w:rPr>
                <w:sz w:val="16"/>
              </w:rPr>
              <w:t>Final response contract</w:t>
            </w:r>
          </w:p>
        </w:tc>
        <w:tc>
          <w:tcPr>
            <w:tcW w:type="dxa" w:w="3341"/>
          </w:tcPr>
          <w:p>
            <w:r>
              <w:rPr>
                <w:sz w:val="16"/>
              </w:rPr>
              <w:t>Use SUPPORTED, AMBIGUOUS, UNSUPPORTED, SAFETY_STOP, SYSTEM_ERROR; validate every technical claim before release</w:t>
            </w:r>
          </w:p>
        </w:tc>
      </w:tr>
      <w:tr>
        <w:trPr>
          <w:cantSplit/>
        </w:trPr>
        <w:tc>
          <w:tcPr>
            <w:tcW w:type="dxa" w:w="3341"/>
          </w:tcPr>
          <w:p>
            <w:r>
              <w:rPr>
                <w:sz w:val="16"/>
              </w:rPr>
              <w:t>FR-20 / P0</w:t>
            </w:r>
          </w:p>
        </w:tc>
        <w:tc>
          <w:tcPr>
            <w:tcW w:type="dxa" w:w="3341"/>
          </w:tcPr>
          <w:p>
            <w:r>
              <w:rPr>
                <w:sz w:val="16"/>
              </w:rPr>
              <w:t>Verification and cache controls</w:t>
            </w:r>
          </w:p>
        </w:tc>
        <w:tc>
          <w:tcPr>
            <w:tcW w:type="dxa" w:w="3341"/>
          </w:tcPr>
          <w:p>
            <w:r>
              <w:rPr>
                <w:sz w:val="16"/>
              </w:rPr>
              <w:t>Old Arm A/exact shortcuts remain disabled; all draft/verify/correction work counts against existing controls. See verification and cache policy.</w:t>
            </w:r>
          </w:p>
        </w:tc>
      </w:tr>
      <w:tr>
        <w:trPr>
          <w:cantSplit/>
        </w:trPr>
        <w:tc>
          <w:tcPr>
            <w:tcW w:type="dxa" w:w="3341"/>
          </w:tcPr>
          <w:p>
            <w:r>
              <w:rPr>
                <w:sz w:val="16"/>
              </w:rPr>
              <w:t>FR-21 / P0</w:t>
            </w:r>
          </w:p>
        </w:tc>
        <w:tc>
          <w:tcPr>
            <w:tcW w:type="dxa" w:w="3341"/>
          </w:tcPr>
          <w:p>
            <w:r>
              <w:rPr>
                <w:sz w:val="16"/>
              </w:rPr>
              <w:t>Hosted operations and limits</w:t>
            </w:r>
          </w:p>
        </w:tc>
        <w:tc>
          <w:tcPr>
            <w:tcW w:type="dxa" w:w="3341"/>
          </w:tcPr>
          <w:p>
            <w:r>
              <w:rPr>
                <w:sz w:val="16"/>
              </w:rPr>
              <w:t>Prebuilt index reused; server secrets; upload/rate/spend limits; redacted versioned traces</w:t>
            </w:r>
          </w:p>
        </w:tc>
      </w:tr>
      <w:tr>
        <w:trPr>
          <w:cantSplit/>
        </w:trPr>
        <w:tc>
          <w:tcPr>
            <w:tcW w:type="dxa" w:w="3341"/>
          </w:tcPr>
          <w:p>
            <w:r>
              <w:rPr>
                <w:sz w:val="16"/>
              </w:rPr>
              <w:t>FR-22 / P0</w:t>
            </w:r>
          </w:p>
        </w:tc>
        <w:tc>
          <w:tcPr>
            <w:tcW w:type="dxa" w:w="3341"/>
          </w:tcPr>
          <w:p>
            <w:r>
              <w:rPr>
                <w:sz w:val="16"/>
              </w:rPr>
              <w:t>Private complete draft</w:t>
            </w:r>
          </w:p>
        </w:tc>
        <w:tc>
          <w:tcPr>
            <w:tcW w:type="dxa" w:w="3341"/>
          </w:tcPr>
          <w:p>
            <w:r>
              <w:rPr>
                <w:sz w:val="16"/>
              </w:rPr>
              <w:t>Actual question, relevant history and complete assembled applicable evidence; no assess-first LLM call and no private token leakage</w:t>
            </w:r>
          </w:p>
        </w:tc>
      </w:tr>
      <w:tr>
        <w:trPr>
          <w:cantSplit/>
        </w:trPr>
        <w:tc>
          <w:tcPr>
            <w:tcW w:type="dxa" w:w="3341"/>
          </w:tcPr>
          <w:p>
            <w:r>
              <w:rPr>
                <w:sz w:val="16"/>
              </w:rPr>
              <w:t>FR-23 / P0</w:t>
            </w:r>
          </w:p>
        </w:tc>
        <w:tc>
          <w:tcPr>
            <w:tcW w:type="dxa" w:w="3341"/>
          </w:tcPr>
          <w:p>
            <w:r>
              <w:rPr>
                <w:sz w:val="16"/>
              </w:rPr>
              <w:t>Separate semantic verification</w:t>
            </w:r>
          </w:p>
        </w:tc>
        <w:tc>
          <w:tcPr>
            <w:tcW w:type="dxa" w:w="3341"/>
          </w:tcPr>
          <w:p>
            <w:r>
              <w:rPr>
                <w:sz w:val="16"/>
              </w:rPr>
              <w:t>Bound decision RELEASE_COMPLETE, RELEASE_PARTIAL or SHOW_FALLBACK; verify question coverage and every technical claim. Special decisions RELEASE_CLARIFICATION/RELEASE_SAFETY_STOP preserve AMBIGUOUS/SAFETY_STOP; valid citations alone are insufficient</w:t>
            </w:r>
          </w:p>
        </w:tc>
      </w:tr>
      <w:tr>
        <w:trPr>
          <w:cantSplit/>
        </w:trPr>
        <w:tc>
          <w:tcPr>
            <w:tcW w:type="dxa" w:w="3341"/>
          </w:tcPr>
          <w:p>
            <w:r>
              <w:rPr>
                <w:sz w:val="16"/>
              </w:rPr>
              <w:t>FR-24 / P0</w:t>
            </w:r>
          </w:p>
        </w:tc>
        <w:tc>
          <w:tcPr>
            <w:tcW w:type="dxa" w:w="3341"/>
          </w:tcPr>
          <w:p>
            <w:r>
              <w:rPr>
                <w:sz w:val="16"/>
              </w:rPr>
              <w:t>Bounded correction</w:t>
            </w:r>
          </w:p>
        </w:tc>
        <w:tc>
          <w:tcPr>
            <w:tcW w:type="dxa" w:w="3341"/>
          </w:tcPr>
          <w:p>
            <w:r>
              <w:rPr>
                <w:sz w:val="16"/>
              </w:rPr>
              <w:t>Include partial limitation before verification. At most one evidence-supported correction followed by re-verification; otherwise SHOW_FALLBACK. Operational failure is SYSTEM_ERROR</w:t>
            </w:r>
          </w:p>
        </w:tc>
      </w:tr>
      <w:tr>
        <w:trPr>
          <w:cantSplit/>
        </w:trPr>
        <w:tc>
          <w:tcPr>
            <w:tcW w:type="dxa" w:w="3341"/>
          </w:tcPr>
          <w:p>
            <w:r>
              <w:rPr>
                <w:sz w:val="16"/>
              </w:rPr>
              <w:t>FR-25 / P0</w:t>
            </w:r>
          </w:p>
        </w:tc>
        <w:tc>
          <w:tcPr>
            <w:tcW w:type="dxa" w:w="3341"/>
          </w:tcPr>
          <w:p>
            <w:r>
              <w:rPr>
                <w:sz w:val="16"/>
              </w:rPr>
              <w:t>Truthful progress and buffered delivery</w:t>
            </w:r>
          </w:p>
        </w:tc>
        <w:tc>
          <w:tcPr>
            <w:tcW w:type="dxa" w:w="3341"/>
          </w:tcPr>
          <w:p>
            <w:r>
              <w:rPr>
                <w:sz w:val="16"/>
              </w:rPr>
              <w:t>Backend stage events only; technical release after verification/integrity/save; exact saved stream and recovery. Fixed neutral fallback/error messages need no LLM success</w:t>
            </w:r>
          </w:p>
        </w:tc>
      </w:tr>
      <w:tr>
        <w:trPr>
          <w:cantSplit/>
        </w:trPr>
        <w:tc>
          <w:tcPr>
            <w:tcW w:type="dxa" w:w="3341"/>
          </w:tcPr>
          <w:p>
            <w:r>
              <w:rPr>
                <w:sz w:val="16"/>
              </w:rPr>
              <w:t>FR-26 / P0</w:t>
            </w:r>
          </w:p>
        </w:tc>
        <w:tc>
          <w:tcPr>
            <w:tcW w:type="dxa" w:w="3341"/>
          </w:tcPr>
          <w:p>
            <w:r>
              <w:rPr>
                <w:sz w:val="16"/>
              </w:rPr>
              <w:t>Independent acceptance</w:t>
            </w:r>
          </w:p>
        </w:tc>
        <w:tc>
          <w:tcPr>
            <w:tcW w:type="dxa" w:w="3341"/>
          </w:tcPr>
          <w:p>
            <w:r>
              <w:rPr>
                <w:sz w:val="16"/>
              </w:rPr>
              <w:t>Unseen rider questions, supported partial answers, false verifier acceptance/refusal, no leakage and accepted/streamed/recovered equality</w:t>
            </w:r>
          </w:p>
        </w:tc>
      </w:tr>
      <w:tr>
        <w:trPr>
          <w:cantSplit/>
        </w:trPr>
        <w:tc>
          <w:tcPr>
            <w:tcW w:type="dxa" w:w="3341"/>
          </w:tcPr>
          <w:p>
            <w:r>
              <w:rPr>
                <w:sz w:val="16"/>
              </w:rPr>
              <w:t>FR-27 / P0</w:t>
            </w:r>
          </w:p>
        </w:tc>
        <w:tc>
          <w:tcPr>
            <w:tcW w:type="dxa" w:w="3341"/>
          </w:tcPr>
          <w:p>
            <w:r>
              <w:rPr>
                <w:sz w:val="16"/>
              </w:rPr>
              <w:t>Fixed neutral fallback and operational error</w:t>
            </w:r>
          </w:p>
        </w:tc>
        <w:tc>
          <w:tcPr>
            <w:tcW w:type="dxa" w:w="3341"/>
          </w:tcPr>
          <w:p>
            <w:r>
              <w:rPr>
                <w:sz w:val="16"/>
              </w:rPr>
              <w:t>Use exact neutral messages and manifest contact URI from current policy; no successful LLM call required. Keep fallback and SYSTEM_ERROR distinct.</w:t>
            </w:r>
          </w:p>
        </w:tc>
      </w:tr>
    </w:tbl>
    <w:p>
      <w:pPr>
        <w:spacing w:after="0"/>
      </w:pPr>
    </w:p>
    <w:p>
      <w:pPr>
        <w:pStyle w:val="Heading1"/>
      </w:pPr>
      <w:r>
        <w:rPr>
          <w:color w:val="000000"/>
        </w:rPr>
        <w:t>5  Conversation history and optional troubleshooting</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r>
              <w:rPr>
                <w:b/>
                <w:color w:val="FFFFFF"/>
                <w:sz w:val="16"/>
              </w:rPr>
              <w:t>Outcome</w:t>
            </w:r>
          </w:p>
        </w:tc>
        <w:tc>
          <w:tcPr>
            <w:tcW w:type="dxa" w:w="3341"/>
            <w:shd w:fill="102238"/>
          </w:tcPr>
          <w:p>
            <w:r>
              <w:rPr>
                <w:b/>
                <w:color w:val="FFFFFF"/>
                <w:sz w:val="16"/>
              </w:rPr>
              <w:t>Meaning</w:t>
            </w:r>
          </w:p>
        </w:tc>
        <w:tc>
          <w:tcPr>
            <w:tcW w:type="dxa" w:w="3341"/>
            <w:shd w:fill="102238"/>
          </w:tcPr>
          <w:p>
            <w:r>
              <w:rPr>
                <w:b/>
                <w:color w:val="FFFFFF"/>
                <w:sz w:val="16"/>
              </w:rPr>
              <w:t>Required system behavior</w:t>
            </w:r>
          </w:p>
        </w:tc>
      </w:tr>
      <w:tr>
        <w:trPr>
          <w:cantSplit/>
        </w:trPr>
        <w:tc>
          <w:tcPr>
            <w:tcW w:type="dxa" w:w="3341"/>
            <w:vAlign w:val="center"/>
          </w:tcPr>
          <w:p>
            <w:pPr>
              <w:spacing w:after="20"/>
            </w:pPr>
            <w:r>
              <w:rPr>
                <w:sz w:val="16"/>
              </w:rPr>
              <w:t>NOT_TRIED</w:t>
            </w:r>
          </w:p>
        </w:tc>
        <w:tc>
          <w:tcPr>
            <w:tcW w:type="dxa" w:w="3341"/>
            <w:vAlign w:val="center"/>
          </w:tcPr>
          <w:p>
            <w:pPr>
              <w:spacing w:after="20"/>
            </w:pPr>
            <w:r>
              <w:rPr>
                <w:sz w:val="16"/>
              </w:rPr>
              <w:t>Step suggested but no response yet</w:t>
            </w:r>
          </w:p>
        </w:tc>
        <w:tc>
          <w:tcPr>
            <w:tcW w:type="dxa" w:w="3341"/>
            <w:vAlign w:val="center"/>
          </w:tcPr>
          <w:p>
            <w:pPr>
              <w:spacing w:after="20"/>
            </w:pPr>
            <w:r>
              <w:rPr>
                <w:sz w:val="16"/>
              </w:rPr>
              <w:t>Do not treat as completed</w:t>
            </w:r>
          </w:p>
        </w:tc>
      </w:tr>
      <w:tr>
        <w:trPr>
          <w:cantSplit/>
        </w:trPr>
        <w:tc>
          <w:tcPr>
            <w:tcW w:type="dxa" w:w="3341"/>
            <w:vAlign w:val="center"/>
            <w:shd w:fill="F3F6FA"/>
          </w:tcPr>
          <w:p>
            <w:r>
              <w:rPr>
                <w:sz w:val="16"/>
              </w:rPr>
              <w:t>OBSERVED_NORMAL</w:t>
            </w:r>
          </w:p>
        </w:tc>
        <w:tc>
          <w:tcPr>
            <w:tcW w:type="dxa" w:w="3341"/>
            <w:vAlign w:val="center"/>
            <w:shd w:fill="F3F6FA"/>
          </w:tcPr>
          <w:p>
            <w:r>
              <w:rPr>
                <w:sz w:val="16"/>
              </w:rPr>
              <w:t>A specific tested condition was reported normal</w:t>
            </w:r>
          </w:p>
        </w:tc>
        <w:tc>
          <w:tcPr>
            <w:tcW w:type="dxa" w:w="3341"/>
            <w:vAlign w:val="center"/>
            <w:shd w:fill="F3F6FA"/>
          </w:tcPr>
          <w:p>
            <w:r>
              <w:rPr>
                <w:sz w:val="16"/>
              </w:rPr>
              <w:t>Exclude only the documented branch contradicted by an approved predicate; never infer complete system health</w:t>
            </w:r>
          </w:p>
        </w:tc>
      </w:tr>
      <w:tr>
        <w:trPr>
          <w:cantSplit/>
        </w:trPr>
        <w:tc>
          <w:tcPr>
            <w:tcW w:type="dxa" w:w="3341"/>
            <w:vAlign w:val="center"/>
          </w:tcPr>
          <w:p>
            <w:pPr>
              <w:spacing w:after="20"/>
            </w:pPr>
            <w:r>
              <w:rPr>
                <w:sz w:val="16"/>
              </w:rPr>
              <w:t>OBSERVED_ABNORMAL</w:t>
            </w:r>
          </w:p>
        </w:tc>
        <w:tc>
          <w:tcPr>
            <w:tcW w:type="dxa" w:w="3341"/>
            <w:vAlign w:val="center"/>
          </w:tcPr>
          <w:p>
            <w:pPr>
              <w:spacing w:after="20"/>
            </w:pPr>
            <w:r>
              <w:rPr>
                <w:sz w:val="16"/>
              </w:rPr>
              <w:t>User confirms documented abnormal condition</w:t>
            </w:r>
          </w:p>
        </w:tc>
        <w:tc>
          <w:tcPr>
            <w:tcW w:type="dxa" w:w="3341"/>
            <w:vAlign w:val="center"/>
          </w:tcPr>
          <w:p>
            <w:pPr>
              <w:spacing w:after="20"/>
            </w:pPr>
            <w:r>
              <w:rPr>
                <w:sz w:val="16"/>
              </w:rPr>
              <w:t>Proceed to exact corresponding documented procedure or escalate</w:t>
            </w:r>
          </w:p>
        </w:tc>
      </w:tr>
      <w:tr>
        <w:trPr>
          <w:cantSplit/>
        </w:trPr>
        <w:tc>
          <w:tcPr>
            <w:tcW w:type="dxa" w:w="3341"/>
            <w:vAlign w:val="center"/>
            <w:shd w:fill="F3F6FA"/>
          </w:tcPr>
          <w:p>
            <w:pPr>
              <w:spacing w:after="20"/>
            </w:pPr>
            <w:r>
              <w:rPr>
                <w:sz w:val="16"/>
              </w:rPr>
              <w:t>ACTION_COMPLETED_UNRESOLVED</w:t>
            </w:r>
          </w:p>
        </w:tc>
        <w:tc>
          <w:tcPr>
            <w:tcW w:type="dxa" w:w="3341"/>
            <w:vAlign w:val="center"/>
            <w:shd w:fill="F3F6FA"/>
          </w:tcPr>
          <w:p>
            <w:pPr>
              <w:spacing w:after="20"/>
            </w:pPr>
            <w:r>
              <w:rPr>
                <w:sz w:val="16"/>
              </w:rPr>
              <w:t>Customer tried action; symptom persists</w:t>
            </w:r>
          </w:p>
        </w:tc>
        <w:tc>
          <w:tcPr>
            <w:tcW w:type="dxa" w:w="3341"/>
            <w:vAlign w:val="center"/>
            <w:shd w:fill="F3F6FA"/>
          </w:tcPr>
          <w:p>
            <w:pPr>
              <w:spacing w:after="20"/>
            </w:pPr>
            <w:r>
              <w:rPr>
                <w:sz w:val="16"/>
              </w:rPr>
              <w:t>Select next eligible documented step, without assuming test result</w:t>
            </w:r>
          </w:p>
        </w:tc>
      </w:tr>
      <w:tr>
        <w:trPr>
          <w:cantSplit/>
        </w:trPr>
        <w:tc>
          <w:tcPr>
            <w:tcW w:type="dxa" w:w="3341"/>
            <w:vAlign w:val="center"/>
          </w:tcPr>
          <w:p>
            <w:pPr>
              <w:spacing w:after="20"/>
            </w:pPr>
            <w:r>
              <w:rPr>
                <w:sz w:val="16"/>
              </w:rPr>
              <w:t>NOT_APPLICABLE</w:t>
            </w:r>
          </w:p>
        </w:tc>
        <w:tc>
          <w:tcPr>
            <w:tcW w:type="dxa" w:w="3341"/>
            <w:vAlign w:val="center"/>
          </w:tcPr>
          <w:p>
            <w:pPr>
              <w:spacing w:after="20"/>
            </w:pPr>
            <w:r>
              <w:rPr>
                <w:sz w:val="16"/>
              </w:rPr>
              <w:t>Step/part genuinely does not apply</w:t>
            </w:r>
          </w:p>
        </w:tc>
        <w:tc>
          <w:tcPr>
            <w:tcW w:type="dxa" w:w="3341"/>
            <w:vAlign w:val="center"/>
          </w:tcPr>
          <w:p>
            <w:pPr>
              <w:spacing w:after="20"/>
            </w:pPr>
            <w:r>
              <w:rPr>
                <w:sz w:val="16"/>
              </w:rPr>
              <w:t>Validate variant; exclude step for current context</w:t>
            </w:r>
          </w:p>
        </w:tc>
      </w:tr>
      <w:tr>
        <w:trPr>
          <w:cantSplit/>
        </w:trPr>
        <w:tc>
          <w:tcPr>
            <w:tcW w:type="dxa" w:w="3341"/>
            <w:vAlign w:val="center"/>
            <w:shd w:fill="F3F6FA"/>
          </w:tcPr>
          <w:p>
            <w:pPr>
              <w:spacing w:after="20"/>
            </w:pPr>
            <w:r>
              <w:rPr>
                <w:sz w:val="16"/>
              </w:rPr>
              <w:t>UNCLEAR</w:t>
            </w:r>
          </w:p>
        </w:tc>
        <w:tc>
          <w:tcPr>
            <w:tcW w:type="dxa" w:w="3341"/>
            <w:vAlign w:val="center"/>
            <w:shd w:fill="F3F6FA"/>
          </w:tcPr>
          <w:p>
            <w:pPr>
              <w:spacing w:after="20"/>
            </w:pPr>
            <w:r>
              <w:rPr>
                <w:sz w:val="16"/>
              </w:rPr>
              <w:t>Cannot determine observation or outcome</w:t>
            </w:r>
          </w:p>
        </w:tc>
        <w:tc>
          <w:tcPr>
            <w:tcW w:type="dxa" w:w="3341"/>
            <w:vAlign w:val="center"/>
            <w:shd w:fill="F3F6FA"/>
          </w:tcPr>
          <w:p>
            <w:pPr>
              <w:spacing w:after="20"/>
            </w:pPr>
            <w:r>
              <w:rPr>
                <w:sz w:val="16"/>
              </w:rPr>
              <w:t>Request a precise recheck/photo/answer</w:t>
            </w:r>
          </w:p>
        </w:tc>
      </w:tr>
      <w:tr>
        <w:trPr>
          <w:cantSplit/>
        </w:trPr>
        <w:tc>
          <w:tcPr>
            <w:tcW w:type="dxa" w:w="3341"/>
            <w:vAlign w:val="center"/>
          </w:tcPr>
          <w:p>
            <w:pPr>
              <w:spacing w:after="20"/>
            </w:pPr>
            <w:r>
              <w:rPr>
                <w:sz w:val="16"/>
              </w:rPr>
              <w:t>RESOLVED</w:t>
            </w:r>
          </w:p>
        </w:tc>
        <w:tc>
          <w:tcPr>
            <w:tcW w:type="dxa" w:w="3341"/>
            <w:vAlign w:val="center"/>
          </w:tcPr>
          <w:p>
            <w:pPr>
              <w:spacing w:after="20"/>
            </w:pPr>
            <w:r>
              <w:rPr>
                <w:sz w:val="16"/>
              </w:rPr>
              <w:t>Customer confirms symptom no longer occurs</w:t>
            </w:r>
          </w:p>
        </w:tc>
        <w:tc>
          <w:tcPr>
            <w:tcW w:type="dxa" w:w="3341"/>
            <w:vAlign w:val="center"/>
          </w:tcPr>
          <w:p>
            <w:pPr>
              <w:spacing w:after="20"/>
            </w:pPr>
            <w:r>
              <w:rPr>
                <w:sz w:val="16"/>
              </w:rPr>
              <w:t>Close session; cite actions and avoid unsupported causal explanation</w:t>
            </w:r>
          </w:p>
        </w:tc>
      </w:tr>
    </w:tbl>
    <w:p>
      <w:pPr>
        <w:spacing w:after="0"/>
      </w:pPr>
    </w:p>
    <w:p>
      <w:pPr>
        <w:pStyle w:val="Heading1"/>
      </w:pPr>
      <w:r>
        <w:rPr>
          <w:color w:val="000000"/>
        </w:rPr>
        <w:t>Source support and answer release requirements</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p>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pStyle w:val="Heading1"/>
      </w:pPr>
      <w:r>
        <w:rPr>
          <w:color w:val="000000"/>
        </w:rPr>
        <w:t>6  Interaction examples (illustrative, not manual-grounded)</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r>
              <w:rPr>
                <w:b/>
                <w:color w:val="FFFFFF"/>
                <w:sz w:val="16"/>
              </w:rPr>
              <w:t>Customer</w:t>
            </w:r>
          </w:p>
        </w:tc>
        <w:tc>
          <w:tcPr>
            <w:tcW w:type="dxa" w:w="5011"/>
            <w:shd w:fill="102238"/>
          </w:tcPr>
          <w:p>
            <w:r>
              <w:rPr>
                <w:b/>
                <w:color w:val="FFFFFF"/>
                <w:sz w:val="16"/>
              </w:rPr>
              <w:t>Expected bot behavior</w:t>
            </w:r>
          </w:p>
        </w:tc>
      </w:tr>
      <w:tr>
        <w:trPr>
          <w:cantSplit/>
        </w:trPr>
        <w:tc>
          <w:tcPr>
            <w:tcW w:type="dxa" w:w="5011"/>
            <w:vAlign w:val="center"/>
          </w:tcPr>
          <w:p>
            <w:pPr>
              <w:spacing w:after="20"/>
            </w:pPr>
            <w:r>
              <w:rPr>
                <w:sz w:val="16"/>
              </w:rPr>
              <w:t>“The lights come on but it won’t start.”</w:t>
            </w:r>
          </w:p>
        </w:tc>
        <w:tc>
          <w:tcPr>
            <w:tcW w:type="dxa" w:w="5011"/>
            <w:vAlign w:val="center"/>
          </w:tcPr>
          <w:p>
            <w:pPr>
              <w:spacing w:after="20"/>
            </w:pPr>
            <w:r>
              <w:rPr>
                <w:sz w:val="16"/>
              </w:rPr>
              <w:t>Ask the documented question distinguishing the available start-failure branches</w:t>
            </w:r>
          </w:p>
        </w:tc>
      </w:tr>
      <w:tr>
        <w:trPr>
          <w:cantSplit/>
        </w:trPr>
        <w:tc>
          <w:tcPr>
            <w:tcW w:type="dxa" w:w="5011"/>
            <w:vAlign w:val="center"/>
            <w:shd w:fill="F3F6FA"/>
          </w:tcPr>
          <w:p>
            <w:pPr>
              <w:spacing w:after="20"/>
            </w:pPr>
            <w:r>
              <w:rPr>
                <w:sz w:val="16"/>
              </w:rPr>
              <w:t>“I checked the switch, it was in the correct position.”</w:t>
            </w:r>
          </w:p>
        </w:tc>
        <w:tc>
          <w:tcPr>
            <w:tcW w:type="dxa" w:w="5011"/>
            <w:vAlign w:val="center"/>
            <w:shd w:fill="F3F6FA"/>
          </w:tcPr>
          <w:p>
            <w:pPr>
              <w:spacing w:after="20"/>
            </w:pPr>
            <w:r>
              <w:rPr>
                <w:sz w:val="16"/>
              </w:rPr>
              <w:t>Record OBSERVED_NORMAL; do not repeat that check; retrieve next documented branch</w:t>
            </w:r>
          </w:p>
        </w:tc>
      </w:tr>
      <w:tr>
        <w:trPr>
          <w:cantSplit/>
        </w:trPr>
        <w:tc>
          <w:tcPr>
            <w:tcW w:type="dxa" w:w="5011"/>
            <w:vAlign w:val="center"/>
          </w:tcPr>
          <w:p>
            <w:pPr>
              <w:spacing w:after="20"/>
            </w:pPr>
            <w:r>
              <w:rPr>
                <w:sz w:val="16"/>
              </w:rPr>
              <w:t>“I did step 2 but it did not help.”</w:t>
            </w:r>
          </w:p>
        </w:tc>
        <w:tc>
          <w:tcPr>
            <w:tcW w:type="dxa" w:w="5011"/>
            <w:vAlign w:val="center"/>
          </w:tcPr>
          <w:p>
            <w:pPr>
              <w:spacing w:after="20"/>
            </w:pPr>
            <w:r>
              <w:rPr>
                <w:sz w:val="16"/>
              </w:rPr>
              <w:t>Record ACTION_COMPLETED_UNRESOLVED; offer next eligible documented check or OEM escalation</w:t>
            </w:r>
          </w:p>
        </w:tc>
      </w:tr>
      <w:tr>
        <w:trPr>
          <w:cantSplit/>
        </w:trPr>
        <w:tc>
          <w:tcPr>
            <w:tcW w:type="dxa" w:w="5011"/>
            <w:vAlign w:val="center"/>
            <w:shd w:fill="F3F6FA"/>
          </w:tcPr>
          <w:p>
            <w:pPr>
              <w:spacing w:after="20"/>
            </w:pPr>
            <w:r>
              <w:rPr>
                <w:sz w:val="16"/>
              </w:rPr>
              <w:t>“There is no such component on my variant.”</w:t>
            </w:r>
          </w:p>
        </w:tc>
        <w:tc>
          <w:tcPr>
            <w:tcW w:type="dxa" w:w="5011"/>
            <w:vAlign w:val="center"/>
            <w:shd w:fill="F3F6FA"/>
          </w:tcPr>
          <w:p>
            <w:pPr>
              <w:spacing w:after="20"/>
            </w:pPr>
            <w:r>
              <w:rPr>
                <w:sz w:val="16"/>
              </w:rPr>
              <w:t>Re-confirm manual/variant; mark NOT_APPLICABLE; do not prescribe related work</w:t>
            </w:r>
          </w:p>
        </w:tc>
      </w:tr>
      <w:tr>
        <w:trPr>
          <w:cantSplit/>
        </w:trPr>
        <w:tc>
          <w:tcPr>
            <w:tcW w:type="dxa" w:w="5011"/>
            <w:vAlign w:val="center"/>
          </w:tcPr>
          <w:p>
            <w:pPr>
              <w:spacing w:after="20"/>
            </w:pPr>
            <w:r>
              <w:rPr>
                <w:sz w:val="16"/>
              </w:rPr>
              <w:t>“The photo shows a symbol you cannot clearly recognize.”</w:t>
            </w:r>
          </w:p>
        </w:tc>
        <w:tc>
          <w:tcPr>
            <w:tcW w:type="dxa" w:w="5011"/>
            <w:vAlign w:val="center"/>
          </w:tcPr>
          <w:p>
            <w:pPr>
              <w:spacing w:after="20"/>
            </w:pPr>
            <w:r>
              <w:rPr>
                <w:sz w:val="16"/>
              </w:rPr>
              <w:t>Ask for a clearer view/description; no speculative symbol diagnosis</w:t>
            </w:r>
          </w:p>
        </w:tc>
      </w:tr>
      <w:tr>
        <w:trPr>
          <w:cantSplit/>
        </w:trPr>
        <w:tc>
          <w:tcPr>
            <w:tcW w:type="dxa" w:w="5011"/>
            <w:vAlign w:val="center"/>
            <w:shd w:fill="F3F6FA"/>
          </w:tcPr>
          <w:p>
            <w:pPr>
              <w:spacing w:after="20"/>
            </w:pPr>
            <w:r>
              <w:rPr>
                <w:sz w:val="16"/>
              </w:rPr>
              <w:t>“Tell me an undocumented workaround.”</w:t>
            </w:r>
          </w:p>
        </w:tc>
        <w:tc>
          <w:tcPr>
            <w:tcW w:type="dxa" w:w="5011"/>
            <w:vAlign w:val="center"/>
            <w:shd w:fill="F3F6FA"/>
          </w:tcPr>
          <w:p>
            <w:pPr>
              <w:spacing w:after="20"/>
            </w:pPr>
            <w:r>
              <w:rPr>
                <w:sz w:val="16"/>
              </w:rPr>
              <w:t>Abstain and provide OEM contact channel</w:t>
            </w:r>
          </w:p>
        </w:tc>
      </w:tr>
    </w:tbl>
    <w:p>
      <w:pPr>
        <w:spacing w:after="0"/>
      </w:pPr>
    </w:p>
    <w:p>
      <w:pPr>
        <w:pStyle w:val="Heading1"/>
      </w:pPr>
      <w:r>
        <w:rPr>
          <w:color w:val="000000"/>
        </w:rPr>
        <w:t>7  UX content and presentation policy</w:t>
      </w:r>
    </w:p>
    <w:p>
      <w:pPr>
        <w:pStyle w:val="ListBullet"/>
      </w:pPr>
      <w:r>
        <w:t>Answer layout addresses the actual question first, followed by applicable conditions and safety warnings, citations, and clearly stated limits. Structured feedback is available when useful; an ordinary factual answer need not select a diagnostic step.</w:t>
      </w:r>
    </w:p>
    <w:p>
      <w:pPr>
        <w:pStyle w:val="ListBullet"/>
      </w:pPr>
      <w:r>
        <w:t>Clarification layout: one focused question with a small set of manual-derived answer choices; do not require the rider to use technical jargon</w:t>
      </w:r>
    </w:p>
    <w:p>
      <w:pPr>
        <w:pStyle w:val="ListBullet"/>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pStyle w:val="ListBullet"/>
      </w:pPr>
      <w:r>
        <w:t>Error language: distinguish unsupported evidence from parser failure, API outage, and unconfirmed bike variant; do not misrepresent a system error as absence in the manual</w:t>
      </w:r>
    </w:p>
    <w:p>
      <w:pPr>
        <w:pStyle w:val="Heading1"/>
      </w:pPr>
      <w:r>
        <w:rPr>
          <w:color w:val="000000"/>
        </w:rPr>
        <w:t>8  Safety, privacy and trust requirements</w:t>
      </w:r>
    </w:p>
    <w:p>
      <w:pPr>
        <w:pStyle w:val="ListBullet"/>
      </w:pPr>
      <w:r>
        <w:t>Source-only guarantee applies to substantive technical recommendations; neutral conversational phrasing, source metadata and verified OEM contact information may be outside the manual</w:t>
      </w:r>
    </w:p>
    <w:p>
      <w:pPr>
        <w:pStyle w:val="ListBullet"/>
      </w:pPr>
      <w:r>
        <w:t>Do not continue an unsafe procedure when a relevant manual warning or unmet prerequisite applies; show the warning and stop/clarify appropriately</w:t>
      </w:r>
    </w:p>
    <w:p>
      <w:pPr>
        <w:pStyle w:val="ListBullet"/>
      </w:pPr>
      <w:r>
        <w:t>Treat manuals and user messages as untrusted instruction-bearing data: ignore commands embedded in PDFs or images that attempt to change system policy</w:t>
      </w:r>
    </w:p>
    <w:p>
      <w:pPr>
        <w:pStyle w:val="ListBullet"/>
      </w:pPr>
      <w:r>
        <w:t>Raw photos/audio are ephemeral by default, with no persistent storage in public demo telemetry unless separately opted in</w:t>
      </w:r>
    </w:p>
    <w:p>
      <w:pPr>
        <w:pStyle w:val="ListBullet"/>
      </w:pPr>
      <w:r>
        <w:t>Display that this is an experimental support tool and not a substitute for official service advice</w:t>
      </w:r>
    </w:p>
    <w:p>
      <w:pPr>
        <w:pStyle w:val="Heading1"/>
      </w:pPr>
      <w:r>
        <w:rPr>
          <w:color w:val="000000"/>
        </w:rPr>
        <w:t>9  Nonfunctional requirements and indicative targets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r>
              <w:rPr>
                <w:b/>
                <w:color w:val="FFFFFF"/>
                <w:sz w:val="16"/>
              </w:rPr>
              <w:t>Measure</w:t>
            </w:r>
          </w:p>
        </w:tc>
        <w:tc>
          <w:tcPr>
            <w:tcW w:type="dxa" w:w="5011"/>
            <w:shd w:fill="102238"/>
          </w:tcPr>
          <w:p>
            <w:r>
              <w:rPr>
                <w:b/>
                <w:color w:val="FFFFFF"/>
                <w:sz w:val="16"/>
              </w:rPr>
              <w:t>Target / condition</w:t>
            </w:r>
          </w:p>
        </w:tc>
      </w:tr>
      <w:tr>
        <w:trPr>
          <w:cantSplit/>
        </w:trPr>
        <w:tc>
          <w:tcPr>
            <w:tcW w:type="dxa" w:w="5011"/>
            <w:vAlign w:val="center"/>
          </w:tcPr>
          <w:p>
            <w:pPr>
              <w:spacing w:after="20"/>
            </w:pPr>
            <w:r>
              <w:rPr>
                <w:sz w:val="16"/>
              </w:rPr>
              <w:t>Grounding</w:t>
            </w:r>
          </w:p>
        </w:tc>
        <w:tc>
          <w:tcPr>
            <w:tcW w:type="dxa" w:w="5011"/>
            <w:vAlign w:val="center"/>
          </w:tcPr>
          <w:p>
            <w:pPr>
              <w:spacing w:after="20"/>
            </w:pPr>
            <w:r>
              <w:rPr>
                <w:sz w:val="16"/>
              </w:rPr>
              <w:t>Zero unsupported technical steps across manually reviewed release regression suite; not a production guarantee</w:t>
            </w:r>
          </w:p>
        </w:tc>
      </w:tr>
      <w:tr>
        <w:trPr>
          <w:cantSplit/>
        </w:trPr>
        <w:tc>
          <w:tcPr>
            <w:tcW w:type="dxa" w:w="5011"/>
            <w:vAlign w:val="center"/>
            <w:shd w:fill="F3F6FA"/>
          </w:tcPr>
          <w:p>
            <w:pPr>
              <w:spacing w:after="20"/>
            </w:pPr>
            <w:r>
              <w:rPr>
                <w:sz w:val="16"/>
              </w:rPr>
              <w:t>Abstention recall</w:t>
            </w:r>
          </w:p>
        </w:tc>
        <w:tc>
          <w:tcPr>
            <w:tcW w:type="dxa" w:w="5011"/>
            <w:vAlign w:val="center"/>
            <w:shd w:fill="F3F6FA"/>
          </w:tcPr>
          <w:p>
            <w:pPr>
              <w:spacing w:after="20"/>
            </w:pPr>
            <w:r>
              <w:rPr>
                <w:sz w:val="16"/>
              </w:rPr>
              <w:t>At least 95% on labelled unanswerable test cases; benchmark-dependent</w:t>
            </w:r>
          </w:p>
        </w:tc>
      </w:tr>
      <w:tr>
        <w:trPr>
          <w:cantSplit/>
        </w:trPr>
        <w:tc>
          <w:tcPr>
            <w:tcW w:type="dxa" w:w="5011"/>
            <w:vAlign w:val="center"/>
          </w:tcPr>
          <w:p>
            <w:pPr>
              <w:spacing w:after="20"/>
            </w:pPr>
            <w:r>
              <w:rPr>
                <w:sz w:val="16"/>
              </w:rPr>
              <w:t>Answerable coverage</w:t>
            </w:r>
          </w:p>
        </w:tc>
        <w:tc>
          <w:tcPr>
            <w:tcW w:type="dxa" w:w="5011"/>
            <w:vAlign w:val="center"/>
          </w:tcPr>
          <w:p>
            <w:pPr>
              <w:spacing w:after="20"/>
            </w:pPr>
            <w:r>
              <w:rPr>
                <w:sz w:val="16"/>
              </w:rPr>
              <w:t>At least 80% supported answer rate on answerable cases</w:t>
            </w:r>
          </w:p>
        </w:tc>
      </w:tr>
      <w:tr>
        <w:trPr>
          <w:cantSplit/>
        </w:trPr>
        <w:tc>
          <w:tcPr>
            <w:tcW w:type="dxa" w:w="5011"/>
            <w:vAlign w:val="center"/>
            <w:shd w:fill="F3F6FA"/>
          </w:tcPr>
          <w:p>
            <w:pPr>
              <w:spacing w:after="20"/>
            </w:pPr>
            <w:r>
              <w:rPr>
                <w:sz w:val="16"/>
              </w:rPr>
              <w:t>Complete evidence recall</w:t>
            </w:r>
          </w:p>
        </w:tc>
        <w:tc>
          <w:tcPr>
            <w:tcW w:type="dxa" w:w="5011"/>
            <w:vAlign w:val="center"/>
            <w:shd w:fill="F3F6FA"/>
          </w:tcPr>
          <w:p>
            <w:pPr>
              <w:spacing w:after="20"/>
            </w:pPr>
            <w:r>
              <w:rPr>
                <w:sz w:val="16"/>
              </w:rPr>
              <w:t>At least 90% of answerable cases have all required evidence objects in bundle</w:t>
            </w:r>
          </w:p>
        </w:tc>
      </w:tr>
      <w:tr>
        <w:trPr>
          <w:cantSplit/>
        </w:trPr>
        <w:tc>
          <w:tcPr>
            <w:tcW w:type="dxa" w:w="5011"/>
            <w:vAlign w:val="center"/>
          </w:tcPr>
          <w:p>
            <w:pPr>
              <w:spacing w:after="20"/>
            </w:pPr>
            <w:r>
              <w:rPr>
                <w:sz w:val="16"/>
              </w:rPr>
              <w:t>Citation validity</w:t>
            </w:r>
          </w:p>
        </w:tc>
        <w:tc>
          <w:tcPr>
            <w:tcW w:type="dxa" w:w="5011"/>
            <w:vAlign w:val="center"/>
          </w:tcPr>
          <w:p>
            <w:pPr>
              <w:spacing w:after="20"/>
            </w:pPr>
            <w:r>
              <w:rPr>
                <w:sz w:val="16"/>
              </w:rPr>
              <w:t>At least 98% claim-supporting, correct manual references</w:t>
            </w:r>
          </w:p>
        </w:tc>
      </w:tr>
      <w:tr>
        <w:trPr>
          <w:cantSplit/>
        </w:trPr>
        <w:tc>
          <w:tcPr>
            <w:tcW w:type="dxa" w:w="5011"/>
            <w:vAlign w:val="center"/>
            <w:shd w:fill="F3F6FA"/>
          </w:tcPr>
          <w:p>
            <w:r>
              <w:rPr>
                <w:sz w:val="16"/>
              </w:rPr>
              <w:t>Latency</w:t>
            </w:r>
          </w:p>
        </w:tc>
        <w:tc>
          <w:tcPr>
            <w:tcW w:type="dxa" w:w="5011"/>
            <w:vAlign w:val="center"/>
            <w:shd w:fill="F3F6FA"/>
          </w:tcPr>
          <w:p>
            <w:r>
              <w:rPr>
                <w:sz w:val="16"/>
              </w:rPr>
              <w:t>Measure warm text p50 &lt;=2.5 seconds and p95 &lt;=5 seconds, photo p95 &lt;=10 seconds, with cold starts separate. TTFO runs from confirmed input to the first releasable answer token; loading indicators do not count and technical tokens remain withheld until validation. Report fast, recovery/rerank and combined p95, fallback frequency, stage failures and cost per correctly handled case.</w:t>
            </w:r>
          </w:p>
        </w:tc>
      </w:tr>
      <w:tr>
        <w:trPr>
          <w:cantSplit/>
        </w:trPr>
        <w:tc>
          <w:tcPr>
            <w:tcW w:type="dxa" w:w="5011"/>
            <w:vAlign w:val="center"/>
          </w:tcPr>
          <w:p>
            <w:pPr>
              <w:spacing w:after="20"/>
            </w:pPr>
            <w:r>
              <w:rPr>
                <w:sz w:val="16"/>
              </w:rPr>
              <w:t>Reliability</w:t>
            </w:r>
          </w:p>
        </w:tc>
        <w:tc>
          <w:tcPr>
            <w:tcW w:type="dxa" w:w="5011"/>
            <w:vAlign w:val="center"/>
          </w:tcPr>
          <w:p>
            <w:pPr>
              <w:spacing w:after="20"/>
            </w:pPr>
            <w:r>
              <w:rPr>
                <w:sz w:val="16"/>
              </w:rPr>
              <w:t>External-link smoke tests and session continuity pass before handover</w:t>
            </w:r>
          </w:p>
        </w:tc>
      </w:tr>
      <w:tr>
        <w:trPr>
          <w:cantSplit/>
        </w:trPr>
        <w:tc>
          <w:tcPr>
            <w:tcW w:type="dxa" w:w="5011"/>
            <w:vAlign w:val="center"/>
            <w:shd w:fill="F3F6FA"/>
          </w:tcPr>
          <w:p>
            <w:r>
              <w:rPr>
                <w:sz w:val="16"/>
              </w:rPr>
              <w:t>Cost</w:t>
            </w:r>
          </w:p>
        </w:tc>
        <w:tc>
          <w:tcPr>
            <w:tcW w:type="dxa" w:w="5011"/>
            <w:vAlign w:val="center"/>
            <w:shd w:fill="F3F6FA"/>
          </w:tcPr>
          <w:p>
            <w:r>
              <w:rPr>
                <w:sz w:val="16"/>
              </w:rPr>
              <w:t>Follow current exact authorized budget/spend ledger; historical INR800/640 figures are superseded. No new spending or billing change is authorized here.</w:t>
            </w:r>
          </w:p>
        </w:tc>
      </w:tr>
      <w:tr>
        <w:trPr>
          <w:cantSplit/>
        </w:trPr>
        <w:tc>
          <w:tcPr>
            <w:tcW w:type="dxa" w:w="5011"/>
          </w:tcPr>
          <w:p>
            <w:r>
              <w:rPr>
                <w:sz w:val="16"/>
              </w:rPr>
              <w:t>Next-step correctness and repeat defects</w:t>
            </w:r>
          </w:p>
        </w:tc>
        <w:tc>
          <w:tcPr>
            <w:tcW w:type="dxa" w:w="5011"/>
          </w:tcPr>
          <w:p>
            <w:r>
              <w:rPr>
                <w:sz w:val="16"/>
              </w:rPr>
              <w:t>At least 95% correct transitions; zero unjustified repeats in the manually reviewed release suite</w:t>
            </w:r>
          </w:p>
        </w:tc>
      </w:tr>
    </w:tbl>
    <w:p>
      <w:pPr>
        <w:spacing w:after="0"/>
      </w:pPr>
    </w:p>
    <w:p>
      <w:pPr>
        <w:pStyle w:val="Heading1"/>
      </w:pPr>
      <w:r>
        <w:rPr>
          <w:color w:val="000000"/>
        </w:rPr>
        <w:t>10  Acceptance test / release gates</w:t>
      </w:r>
    </w:p>
    <w:p>
      <w:pPr>
        <w:pStyle w:val="ListNumber"/>
      </w:pPr>
      <w:r>
        <w:t>Choose and freeze one exact manual/variant, source checksum and rights posture</w:t>
      </w:r>
    </w:p>
    <w:p>
      <w:pPr>
        <w:pStyle w:val="ListNumber"/>
      </w:pPr>
      <w:r>
        <w:t>Create at least 25 independently reviewed gold cases before release, including multi-turn and image cases where evidence exists</w:t>
      </w:r>
    </w:p>
    <w:p>
      <w:pPr>
        <w:pStyle w:val="ListNumber"/>
      </w:pPr>
      <w:r>
        <w:t>Validate no unsupported instruction in the release regression set; manually review every high-risk case</w:t>
      </w:r>
    </w:p>
    <w:p>
      <w:pPr>
        <w:pStyle w:val="ListNumber"/>
      </w:pPr>
      <w:r>
        <w:t>Prove that unresolved attempts remain unresolved in relevant follow-ups and do not become normal observations or unjustified repeats; ordinary Q&amp;A must remain available without registered branches.</w:t>
      </w:r>
    </w:p>
    <w:p>
      <w:pPr>
        <w:pStyle w:val="ListNumber"/>
      </w:pPr>
      <w:r>
        <w:t>Prove that missing evidence triggers OEM escalation, while a backend error triggers a service-error message</w:t>
      </w:r>
    </w:p>
    <w:p>
      <w:pPr>
        <w:pStyle w:val="ListNumber"/>
      </w:pPr>
      <w:r>
        <w:t>Verify that an independent reviewer can open the live URL and reproduce named demo scenarios</w:t>
      </w:r>
    </w:p>
    <w:p>
      <w:pPr>
        <w:pStyle w:val="Heading1"/>
      </w:pPr>
      <w:r>
        <w:rPr>
          <w:color w:val="000000"/>
        </w:rPr>
        <w:t>11  Dependencies and open questions</w:t>
      </w:r>
    </w:p>
    <w:p>
      <w:pPr>
        <w:pStyle w:val="ListBullet"/>
      </w:pPr>
      <w:r>
        <w:t>Required: exact OEM source identity, selected-manual applicability, preserved source-only authority, verified OEM route, and enforcement of current source display restrictions. Public source redistribution remains prohibited unless rights change explicitly.</w:t>
      </w:r>
    </w:p>
    <w:p>
      <w:pPr>
        <w:pStyle w:val="ListBullet"/>
      </w:pPr>
      <w:r>
        <w:t>To decide after manual inspection: figure parsing quality, table preservation, graph-edge automation and photo test coverage</w:t>
      </w:r>
    </w:p>
    <w:p>
      <w:pPr>
        <w:pStyle w:val="ListBullet"/>
      </w:pPr>
      <w:r>
        <w:t>Product caveat: if the manual does not document alternative paths, a follow-up may legitimately end with an OEM escalation after only one check</w:t>
      </w:r>
    </w:p>
    <w:p>
      <w:r>
        <w:t>Supporting technical documentation is referenced in the Concept and To Build documents.</w:t>
      </w:r>
    </w:p>
    <w:p>
      <w:pPr>
        <w:pStyle w:val="Heading1"/>
      </w:pPr>
      <w:r>
        <w:rPr>
          <w:color w:val="000000"/>
        </w:rPr>
        <w:t>Recorded progress and remaining release gates</w:t>
      </w:r>
    </w:p>
    <w:p>
      <w:r>
        <w:t>Hosted BGE M3/Qdrant candidate infrastructure records 532 chunks, 277 parents and historical 11/11 backend checks. The new private draft, separate verifier, truthful progress, save and buffered stream boundary requires fresh integration and real-output acceptance; historical infrastructure checks do not establish that result.</w:t>
      </w:r>
    </w:p>
    <w:p>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r>
        <w:t>Keep the approved 161-case v3 source/initial-response scopes exact and preserve provisional cases as evaluation history. Create fresh unseen rider-style held-out questions after the new runtime freeze; keep expected facts and original pages in test metadata, not rider wording or serving prompts. Evaluate question coverage, completeness and claim support separately, including false verifier acceptance and refusal.</w:t>
      </w:r>
    </w:p>
    <w:sectPr w:rsidR="00FC693F" w:rsidRPr="0006063C" w:rsidSect="00034616">
      <w:headerReference w:type="default" r:id="rId9"/>
      <w:footerReference w:type="default" r:id="rId10"/>
      <w:footerReference w:type="first" r:id="rId11"/>
      <w:footerReference w:type="even" r:id="rId12"/>
      <w:headerReference w:type="first" r:id="rId13"/>
      <w:headerReference w:type="even" r:id="rId14"/>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